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207.15</w:t>
            </w:r>
          </w:p>
        </w:tc>
        <w:tc>
          <w:tcPr>
            <w:tcW w:w="4535" w:type="dxa"/>
            <w:vAlign w:val="center"/>
          </w:tcPr>
          <w:p>
            <w:pPr>
              <w:pStyle w:val="13"/>
            </w:pPr>
            <w:r>
              <w:t>一、一般公共服务支出</w:t>
            </w:r>
          </w:p>
        </w:tc>
        <w:tc>
          <w:tcPr>
            <w:tcW w:w="2126" w:type="dxa"/>
            <w:vAlign w:val="center"/>
          </w:tcPr>
          <w:p>
            <w:pPr>
              <w:pStyle w:val="12"/>
            </w:pPr>
            <w:r>
              <w:t>168.35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29.80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207.15</w:t>
            </w:r>
          </w:p>
        </w:tc>
        <w:tc>
          <w:tcPr>
            <w:tcW w:w="4535" w:type="dxa"/>
            <w:vAlign w:val="center"/>
          </w:tcPr>
          <w:p>
            <w:pPr>
              <w:pStyle w:val="15"/>
            </w:pPr>
            <w:r>
              <w:t>本年支出合计</w:t>
            </w:r>
          </w:p>
        </w:tc>
        <w:tc>
          <w:tcPr>
            <w:tcW w:w="2126" w:type="dxa"/>
            <w:vAlign w:val="center"/>
          </w:tcPr>
          <w:p>
            <w:pPr>
              <w:pStyle w:val="16"/>
            </w:pPr>
            <w:r>
              <w:t>210.15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3.00</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210.15</w:t>
            </w:r>
          </w:p>
        </w:tc>
        <w:tc>
          <w:tcPr>
            <w:tcW w:w="4535" w:type="dxa"/>
            <w:vAlign w:val="center"/>
          </w:tcPr>
          <w:p>
            <w:pPr>
              <w:pStyle w:val="15"/>
            </w:pPr>
            <w:r>
              <w:t>支出总计</w:t>
            </w:r>
          </w:p>
        </w:tc>
        <w:tc>
          <w:tcPr>
            <w:tcW w:w="2126" w:type="dxa"/>
            <w:vAlign w:val="center"/>
          </w:tcPr>
          <w:p>
            <w:pPr>
              <w:pStyle w:val="16"/>
            </w:pPr>
            <w:r>
              <w:t>210.15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210.15</w:t>
            </w:r>
          </w:p>
        </w:tc>
        <w:tc>
          <w:tcPr>
            <w:tcW w:w="1134" w:type="dxa"/>
            <w:vAlign w:val="center"/>
          </w:tcPr>
          <w:p>
            <w:pPr>
              <w:pStyle w:val="16"/>
            </w:pPr>
            <w:r>
              <w:t>207.15</w:t>
            </w:r>
          </w:p>
        </w:tc>
        <w:tc>
          <w:tcPr>
            <w:tcW w:w="1134" w:type="dxa"/>
            <w:vAlign w:val="center"/>
          </w:tcPr>
          <w:p>
            <w:pPr>
              <w:pStyle w:val="16"/>
            </w:pPr>
            <w:r>
              <w:t>207.15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168.35</w:t>
            </w:r>
          </w:p>
        </w:tc>
        <w:tc>
          <w:tcPr>
            <w:tcW w:w="1134" w:type="dxa"/>
            <w:vAlign w:val="center"/>
          </w:tcPr>
          <w:p>
            <w:pPr>
              <w:pStyle w:val="12"/>
            </w:pPr>
            <w:r>
              <w:t>165.35</w:t>
            </w:r>
          </w:p>
        </w:tc>
        <w:tc>
          <w:tcPr>
            <w:tcW w:w="1134" w:type="dxa"/>
            <w:vAlign w:val="center"/>
          </w:tcPr>
          <w:p>
            <w:pPr>
              <w:pStyle w:val="12"/>
            </w:pPr>
            <w:r>
              <w:t>165.35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20134</w:t>
            </w:r>
          </w:p>
        </w:tc>
        <w:tc>
          <w:tcPr>
            <w:tcW w:w="1559" w:type="dxa"/>
            <w:vAlign w:val="center"/>
          </w:tcPr>
          <w:p>
            <w:pPr>
              <w:pStyle w:val="13"/>
            </w:pPr>
            <w:r>
              <w:t>统战事务</w:t>
            </w:r>
          </w:p>
        </w:tc>
        <w:tc>
          <w:tcPr>
            <w:tcW w:w="1134" w:type="dxa"/>
            <w:vAlign w:val="center"/>
          </w:tcPr>
          <w:p>
            <w:pPr>
              <w:pStyle w:val="12"/>
            </w:pPr>
            <w:r>
              <w:t>168.35</w:t>
            </w:r>
          </w:p>
        </w:tc>
        <w:tc>
          <w:tcPr>
            <w:tcW w:w="1134" w:type="dxa"/>
            <w:vAlign w:val="center"/>
          </w:tcPr>
          <w:p>
            <w:pPr>
              <w:pStyle w:val="12"/>
            </w:pPr>
            <w:r>
              <w:t>165.35</w:t>
            </w:r>
          </w:p>
        </w:tc>
        <w:tc>
          <w:tcPr>
            <w:tcW w:w="1134" w:type="dxa"/>
            <w:vAlign w:val="center"/>
          </w:tcPr>
          <w:p>
            <w:pPr>
              <w:pStyle w:val="12"/>
            </w:pPr>
            <w:r>
              <w:t>165.35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2013401</w:t>
            </w:r>
          </w:p>
        </w:tc>
        <w:tc>
          <w:tcPr>
            <w:tcW w:w="1559" w:type="dxa"/>
            <w:vAlign w:val="center"/>
          </w:tcPr>
          <w:p>
            <w:pPr>
              <w:pStyle w:val="13"/>
            </w:pPr>
            <w:r>
              <w:t>行政运行</w:t>
            </w:r>
          </w:p>
        </w:tc>
        <w:tc>
          <w:tcPr>
            <w:tcW w:w="1134" w:type="dxa"/>
            <w:vAlign w:val="center"/>
          </w:tcPr>
          <w:p>
            <w:pPr>
              <w:pStyle w:val="12"/>
            </w:pPr>
            <w:r>
              <w:t>162.35</w:t>
            </w:r>
          </w:p>
        </w:tc>
        <w:tc>
          <w:tcPr>
            <w:tcW w:w="1134" w:type="dxa"/>
            <w:vAlign w:val="center"/>
          </w:tcPr>
          <w:p>
            <w:pPr>
              <w:pStyle w:val="12"/>
            </w:pPr>
            <w:r>
              <w:t>162.35</w:t>
            </w:r>
          </w:p>
        </w:tc>
        <w:tc>
          <w:tcPr>
            <w:tcW w:w="1134" w:type="dxa"/>
            <w:vAlign w:val="center"/>
          </w:tcPr>
          <w:p>
            <w:pPr>
              <w:pStyle w:val="12"/>
            </w:pPr>
            <w:r>
              <w:t>162.35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2013404</w:t>
            </w:r>
          </w:p>
        </w:tc>
        <w:tc>
          <w:tcPr>
            <w:tcW w:w="1559" w:type="dxa"/>
            <w:vAlign w:val="center"/>
          </w:tcPr>
          <w:p>
            <w:pPr>
              <w:pStyle w:val="13"/>
            </w:pPr>
            <w:r>
              <w:t>宗教事务</w:t>
            </w:r>
          </w:p>
        </w:tc>
        <w:tc>
          <w:tcPr>
            <w:tcW w:w="1134" w:type="dxa"/>
            <w:vAlign w:val="center"/>
          </w:tcPr>
          <w:p>
            <w:pPr>
              <w:pStyle w:val="12"/>
            </w:pPr>
            <w:r>
              <w:t>6.00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29.80</w:t>
            </w:r>
          </w:p>
        </w:tc>
        <w:tc>
          <w:tcPr>
            <w:tcW w:w="1134" w:type="dxa"/>
            <w:vAlign w:val="center"/>
          </w:tcPr>
          <w:p>
            <w:pPr>
              <w:pStyle w:val="12"/>
            </w:pPr>
            <w:r>
              <w:t>29.80</w:t>
            </w:r>
          </w:p>
        </w:tc>
        <w:tc>
          <w:tcPr>
            <w:tcW w:w="1134" w:type="dxa"/>
            <w:vAlign w:val="center"/>
          </w:tcPr>
          <w:p>
            <w:pPr>
              <w:pStyle w:val="12"/>
            </w:pPr>
            <w:r>
              <w:t>29.80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28.70</w:t>
            </w:r>
          </w:p>
        </w:tc>
        <w:tc>
          <w:tcPr>
            <w:tcW w:w="1134" w:type="dxa"/>
            <w:vAlign w:val="center"/>
          </w:tcPr>
          <w:p>
            <w:pPr>
              <w:pStyle w:val="12"/>
            </w:pPr>
            <w:r>
              <w:t>28.70</w:t>
            </w:r>
          </w:p>
        </w:tc>
        <w:tc>
          <w:tcPr>
            <w:tcW w:w="1134" w:type="dxa"/>
            <w:vAlign w:val="center"/>
          </w:tcPr>
          <w:p>
            <w:pPr>
              <w:pStyle w:val="12"/>
            </w:pPr>
            <w:r>
              <w:t>28.70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3.70</w:t>
            </w:r>
          </w:p>
        </w:tc>
        <w:tc>
          <w:tcPr>
            <w:tcW w:w="1134" w:type="dxa"/>
            <w:vAlign w:val="center"/>
          </w:tcPr>
          <w:p>
            <w:pPr>
              <w:pStyle w:val="12"/>
            </w:pPr>
            <w:r>
              <w:t>3.70</w:t>
            </w:r>
          </w:p>
        </w:tc>
        <w:tc>
          <w:tcPr>
            <w:tcW w:w="1134" w:type="dxa"/>
            <w:vAlign w:val="center"/>
          </w:tcPr>
          <w:p>
            <w:pPr>
              <w:pStyle w:val="12"/>
            </w:pPr>
            <w:r>
              <w:t>3.70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1.10</w:t>
            </w:r>
          </w:p>
        </w:tc>
        <w:tc>
          <w:tcPr>
            <w:tcW w:w="1134" w:type="dxa"/>
            <w:vAlign w:val="center"/>
          </w:tcPr>
          <w:p>
            <w:pPr>
              <w:pStyle w:val="12"/>
            </w:pPr>
            <w:r>
              <w:t>1.10</w:t>
            </w:r>
          </w:p>
        </w:tc>
        <w:tc>
          <w:tcPr>
            <w:tcW w:w="1134" w:type="dxa"/>
            <w:vAlign w:val="center"/>
          </w:tcPr>
          <w:p>
            <w:pPr>
              <w:pStyle w:val="12"/>
            </w:pPr>
            <w:r>
              <w:t>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r>
              <w:t>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0.70</w:t>
            </w:r>
          </w:p>
        </w:tc>
        <w:tc>
          <w:tcPr>
            <w:tcW w:w="1134" w:type="dxa"/>
            <w:vAlign w:val="center"/>
          </w:tcPr>
          <w:p>
            <w:pPr>
              <w:pStyle w:val="12"/>
            </w:pPr>
            <w:r>
              <w:t>0.70</w:t>
            </w:r>
          </w:p>
        </w:tc>
        <w:tc>
          <w:tcPr>
            <w:tcW w:w="1134" w:type="dxa"/>
            <w:vAlign w:val="center"/>
          </w:tcPr>
          <w:p>
            <w:pPr>
              <w:pStyle w:val="12"/>
            </w:pPr>
            <w:r>
              <w:t>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210.15</w:t>
            </w:r>
          </w:p>
        </w:tc>
        <w:tc>
          <w:tcPr>
            <w:tcW w:w="1361" w:type="dxa"/>
            <w:vAlign w:val="center"/>
          </w:tcPr>
          <w:p>
            <w:pPr>
              <w:pStyle w:val="16"/>
            </w:pPr>
            <w:r>
              <w:t>204.15</w:t>
            </w:r>
          </w:p>
        </w:tc>
        <w:tc>
          <w:tcPr>
            <w:tcW w:w="1361" w:type="dxa"/>
            <w:vAlign w:val="center"/>
          </w:tcPr>
          <w:p>
            <w:pPr>
              <w:pStyle w:val="16"/>
            </w:pPr>
            <w:r>
              <w:t>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168.35</w:t>
            </w:r>
          </w:p>
        </w:tc>
        <w:tc>
          <w:tcPr>
            <w:tcW w:w="1361" w:type="dxa"/>
            <w:vAlign w:val="center"/>
          </w:tcPr>
          <w:p>
            <w:pPr>
              <w:pStyle w:val="12"/>
            </w:pPr>
            <w:r>
              <w:t>162.35</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20134</w:t>
            </w:r>
          </w:p>
        </w:tc>
        <w:tc>
          <w:tcPr>
            <w:tcW w:w="4535" w:type="dxa"/>
            <w:vAlign w:val="center"/>
          </w:tcPr>
          <w:p>
            <w:pPr>
              <w:pStyle w:val="13"/>
            </w:pPr>
            <w:r>
              <w:t>统战事务</w:t>
            </w:r>
          </w:p>
        </w:tc>
        <w:tc>
          <w:tcPr>
            <w:tcW w:w="1361" w:type="dxa"/>
            <w:vAlign w:val="center"/>
          </w:tcPr>
          <w:p>
            <w:pPr>
              <w:pStyle w:val="12"/>
            </w:pPr>
            <w:r>
              <w:t>168.35</w:t>
            </w:r>
          </w:p>
        </w:tc>
        <w:tc>
          <w:tcPr>
            <w:tcW w:w="1361" w:type="dxa"/>
            <w:vAlign w:val="center"/>
          </w:tcPr>
          <w:p>
            <w:pPr>
              <w:pStyle w:val="12"/>
            </w:pPr>
            <w:r>
              <w:t>162.35</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2013401</w:t>
            </w:r>
          </w:p>
        </w:tc>
        <w:tc>
          <w:tcPr>
            <w:tcW w:w="4535" w:type="dxa"/>
            <w:vAlign w:val="center"/>
          </w:tcPr>
          <w:p>
            <w:pPr>
              <w:pStyle w:val="13"/>
            </w:pPr>
            <w:r>
              <w:t>行政运行</w:t>
            </w:r>
          </w:p>
        </w:tc>
        <w:tc>
          <w:tcPr>
            <w:tcW w:w="1361" w:type="dxa"/>
            <w:vAlign w:val="center"/>
          </w:tcPr>
          <w:p>
            <w:pPr>
              <w:pStyle w:val="12"/>
            </w:pPr>
            <w:r>
              <w:t>162.35</w:t>
            </w:r>
          </w:p>
        </w:tc>
        <w:tc>
          <w:tcPr>
            <w:tcW w:w="1361" w:type="dxa"/>
            <w:vAlign w:val="center"/>
          </w:tcPr>
          <w:p>
            <w:pPr>
              <w:pStyle w:val="12"/>
            </w:pPr>
            <w:r>
              <w:t>162.35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2013404</w:t>
            </w:r>
          </w:p>
        </w:tc>
        <w:tc>
          <w:tcPr>
            <w:tcW w:w="4535" w:type="dxa"/>
            <w:vAlign w:val="center"/>
          </w:tcPr>
          <w:p>
            <w:pPr>
              <w:pStyle w:val="13"/>
            </w:pPr>
            <w:r>
              <w:t>宗教事务</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29.80</w:t>
            </w:r>
          </w:p>
        </w:tc>
        <w:tc>
          <w:tcPr>
            <w:tcW w:w="1361" w:type="dxa"/>
            <w:vAlign w:val="center"/>
          </w:tcPr>
          <w:p>
            <w:pPr>
              <w:pStyle w:val="12"/>
            </w:pPr>
            <w:r>
              <w:t>29.80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28.70</w:t>
            </w:r>
          </w:p>
        </w:tc>
        <w:tc>
          <w:tcPr>
            <w:tcW w:w="1361" w:type="dxa"/>
            <w:vAlign w:val="center"/>
          </w:tcPr>
          <w:p>
            <w:pPr>
              <w:pStyle w:val="12"/>
            </w:pPr>
            <w:r>
              <w:t>28.70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25.00</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3.70</w:t>
            </w:r>
          </w:p>
        </w:tc>
        <w:tc>
          <w:tcPr>
            <w:tcW w:w="1361" w:type="dxa"/>
            <w:vAlign w:val="center"/>
          </w:tcPr>
          <w:p>
            <w:pPr>
              <w:pStyle w:val="12"/>
            </w:pPr>
            <w:r>
              <w:t>3.70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1.10</w:t>
            </w:r>
          </w:p>
        </w:tc>
        <w:tc>
          <w:tcPr>
            <w:tcW w:w="1361" w:type="dxa"/>
            <w:vAlign w:val="center"/>
          </w:tcPr>
          <w:p>
            <w:pPr>
              <w:pStyle w:val="12"/>
            </w:pPr>
            <w:r>
              <w:t>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0.40</w:t>
            </w:r>
          </w:p>
        </w:tc>
        <w:tc>
          <w:tcPr>
            <w:tcW w:w="1361" w:type="dxa"/>
            <w:vAlign w:val="center"/>
          </w:tcPr>
          <w:p>
            <w:pPr>
              <w:pStyle w:val="12"/>
            </w:pPr>
            <w:r>
              <w:t>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0.70</w:t>
            </w:r>
          </w:p>
        </w:tc>
        <w:tc>
          <w:tcPr>
            <w:tcW w:w="1361" w:type="dxa"/>
            <w:vAlign w:val="center"/>
          </w:tcPr>
          <w:p>
            <w:pPr>
              <w:pStyle w:val="12"/>
            </w:pPr>
            <w:r>
              <w:t>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12.00</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12.00</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12.00</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207.15</w:t>
            </w:r>
          </w:p>
        </w:tc>
        <w:tc>
          <w:tcPr>
            <w:tcW w:w="3402" w:type="dxa"/>
            <w:vAlign w:val="center"/>
          </w:tcPr>
          <w:p>
            <w:pPr>
              <w:pStyle w:val="13"/>
            </w:pPr>
            <w:r>
              <w:t>一、一般公共服务支出</w:t>
            </w:r>
          </w:p>
        </w:tc>
        <w:tc>
          <w:tcPr>
            <w:tcW w:w="1474" w:type="dxa"/>
            <w:vAlign w:val="center"/>
          </w:tcPr>
          <w:p>
            <w:pPr>
              <w:pStyle w:val="12"/>
            </w:pPr>
            <w:r>
              <w:t>168.35</w:t>
            </w:r>
          </w:p>
        </w:tc>
        <w:tc>
          <w:tcPr>
            <w:tcW w:w="1474" w:type="dxa"/>
            <w:vAlign w:val="center"/>
          </w:tcPr>
          <w:p>
            <w:pPr>
              <w:pStyle w:val="12"/>
            </w:pPr>
            <w:r>
              <w:t>168.35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29.80</w:t>
            </w:r>
          </w:p>
        </w:tc>
        <w:tc>
          <w:tcPr>
            <w:tcW w:w="1474" w:type="dxa"/>
            <w:vAlign w:val="center"/>
          </w:tcPr>
          <w:p>
            <w:pPr>
              <w:pStyle w:val="12"/>
            </w:pPr>
            <w:r>
              <w:t>29.80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12.00</w:t>
            </w:r>
          </w:p>
        </w:tc>
        <w:tc>
          <w:tcPr>
            <w:tcW w:w="1474" w:type="dxa"/>
            <w:vAlign w:val="center"/>
          </w:tcPr>
          <w:p>
            <w:pPr>
              <w:pStyle w:val="12"/>
            </w:pPr>
            <w:r>
              <w:t>12.00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207.15</w:t>
            </w:r>
          </w:p>
        </w:tc>
        <w:tc>
          <w:tcPr>
            <w:tcW w:w="3402" w:type="dxa"/>
            <w:vAlign w:val="center"/>
          </w:tcPr>
          <w:p>
            <w:pPr>
              <w:pStyle w:val="15"/>
            </w:pPr>
            <w:r>
              <w:t>本年支出合计</w:t>
            </w:r>
          </w:p>
        </w:tc>
        <w:tc>
          <w:tcPr>
            <w:tcW w:w="1474" w:type="dxa"/>
            <w:vAlign w:val="center"/>
          </w:tcPr>
          <w:p>
            <w:pPr>
              <w:pStyle w:val="16"/>
            </w:pPr>
            <w:r>
              <w:t>210.15</w:t>
            </w:r>
          </w:p>
        </w:tc>
        <w:tc>
          <w:tcPr>
            <w:tcW w:w="1474" w:type="dxa"/>
            <w:vAlign w:val="center"/>
          </w:tcPr>
          <w:p>
            <w:pPr>
              <w:pStyle w:val="16"/>
            </w:pPr>
            <w:r>
              <w:t>210.15</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210.15</w:t>
            </w:r>
          </w:p>
        </w:tc>
        <w:tc>
          <w:tcPr>
            <w:tcW w:w="3402" w:type="dxa"/>
            <w:vAlign w:val="center"/>
          </w:tcPr>
          <w:p>
            <w:pPr>
              <w:pStyle w:val="15"/>
            </w:pPr>
            <w:r>
              <w:t>支出总计</w:t>
            </w:r>
          </w:p>
        </w:tc>
        <w:tc>
          <w:tcPr>
            <w:tcW w:w="1474" w:type="dxa"/>
            <w:vAlign w:val="center"/>
          </w:tcPr>
          <w:p>
            <w:pPr>
              <w:pStyle w:val="16"/>
            </w:pPr>
            <w:r>
              <w:t>210.15</w:t>
            </w:r>
          </w:p>
        </w:tc>
        <w:tc>
          <w:tcPr>
            <w:tcW w:w="1474" w:type="dxa"/>
            <w:vAlign w:val="center"/>
          </w:tcPr>
          <w:p>
            <w:pPr>
              <w:pStyle w:val="16"/>
            </w:pPr>
            <w:r>
              <w:t>210.15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210.15</w:t>
            </w:r>
          </w:p>
        </w:tc>
        <w:tc>
          <w:tcPr>
            <w:tcW w:w="2551" w:type="dxa"/>
            <w:vAlign w:val="center"/>
          </w:tcPr>
          <w:p>
            <w:pPr>
              <w:pStyle w:val="16"/>
            </w:pPr>
            <w:r>
              <w:t>204.15</w:t>
            </w:r>
          </w:p>
        </w:tc>
        <w:tc>
          <w:tcPr>
            <w:tcW w:w="2551" w:type="dxa"/>
            <w:vAlign w:val="center"/>
          </w:tcPr>
          <w:p>
            <w:pPr>
              <w:pStyle w:val="16"/>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168.35</w:t>
            </w:r>
          </w:p>
        </w:tc>
        <w:tc>
          <w:tcPr>
            <w:tcW w:w="2551" w:type="dxa"/>
            <w:vAlign w:val="center"/>
          </w:tcPr>
          <w:p>
            <w:pPr>
              <w:pStyle w:val="12"/>
            </w:pPr>
            <w:r>
              <w:t>162.35</w:t>
            </w: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20134</w:t>
            </w:r>
          </w:p>
        </w:tc>
        <w:tc>
          <w:tcPr>
            <w:tcW w:w="4535" w:type="dxa"/>
            <w:vAlign w:val="center"/>
          </w:tcPr>
          <w:p>
            <w:pPr>
              <w:pStyle w:val="13"/>
            </w:pPr>
            <w:r>
              <w:t>统战事务</w:t>
            </w:r>
          </w:p>
        </w:tc>
        <w:tc>
          <w:tcPr>
            <w:tcW w:w="2551" w:type="dxa"/>
            <w:vAlign w:val="center"/>
          </w:tcPr>
          <w:p>
            <w:pPr>
              <w:pStyle w:val="12"/>
            </w:pPr>
            <w:r>
              <w:t>168.35</w:t>
            </w:r>
          </w:p>
        </w:tc>
        <w:tc>
          <w:tcPr>
            <w:tcW w:w="2551" w:type="dxa"/>
            <w:vAlign w:val="center"/>
          </w:tcPr>
          <w:p>
            <w:pPr>
              <w:pStyle w:val="12"/>
            </w:pPr>
            <w:r>
              <w:t>162.35</w:t>
            </w: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2013401</w:t>
            </w:r>
          </w:p>
        </w:tc>
        <w:tc>
          <w:tcPr>
            <w:tcW w:w="4535" w:type="dxa"/>
            <w:vAlign w:val="center"/>
          </w:tcPr>
          <w:p>
            <w:pPr>
              <w:pStyle w:val="13"/>
            </w:pPr>
            <w:r>
              <w:t>行政运行</w:t>
            </w:r>
          </w:p>
        </w:tc>
        <w:tc>
          <w:tcPr>
            <w:tcW w:w="2551" w:type="dxa"/>
            <w:vAlign w:val="center"/>
          </w:tcPr>
          <w:p>
            <w:pPr>
              <w:pStyle w:val="12"/>
            </w:pPr>
            <w:r>
              <w:t>162.35</w:t>
            </w:r>
          </w:p>
        </w:tc>
        <w:tc>
          <w:tcPr>
            <w:tcW w:w="2551" w:type="dxa"/>
            <w:vAlign w:val="center"/>
          </w:tcPr>
          <w:p>
            <w:pPr>
              <w:pStyle w:val="12"/>
            </w:pPr>
            <w:r>
              <w:t>162.35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2013404</w:t>
            </w:r>
          </w:p>
        </w:tc>
        <w:tc>
          <w:tcPr>
            <w:tcW w:w="4535" w:type="dxa"/>
            <w:vAlign w:val="center"/>
          </w:tcPr>
          <w:p>
            <w:pPr>
              <w:pStyle w:val="13"/>
            </w:pPr>
            <w:r>
              <w:t>宗教事务</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29.80</w:t>
            </w:r>
          </w:p>
        </w:tc>
        <w:tc>
          <w:tcPr>
            <w:tcW w:w="2551" w:type="dxa"/>
            <w:vAlign w:val="center"/>
          </w:tcPr>
          <w:p>
            <w:pPr>
              <w:pStyle w:val="12"/>
            </w:pPr>
            <w:r>
              <w:t>29.80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28.70</w:t>
            </w:r>
          </w:p>
        </w:tc>
        <w:tc>
          <w:tcPr>
            <w:tcW w:w="2551" w:type="dxa"/>
            <w:vAlign w:val="center"/>
          </w:tcPr>
          <w:p>
            <w:pPr>
              <w:pStyle w:val="12"/>
            </w:pPr>
            <w:r>
              <w:t>28.70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3.70</w:t>
            </w:r>
          </w:p>
        </w:tc>
        <w:tc>
          <w:tcPr>
            <w:tcW w:w="2551" w:type="dxa"/>
            <w:vAlign w:val="center"/>
          </w:tcPr>
          <w:p>
            <w:pPr>
              <w:pStyle w:val="12"/>
            </w:pPr>
            <w:r>
              <w:t>3.70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1.10</w:t>
            </w:r>
          </w:p>
        </w:tc>
        <w:tc>
          <w:tcPr>
            <w:tcW w:w="2551" w:type="dxa"/>
            <w:vAlign w:val="center"/>
          </w:tcPr>
          <w:p>
            <w:pPr>
              <w:pStyle w:val="12"/>
            </w:pPr>
            <w:r>
              <w:t>1.10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0.40</w:t>
            </w:r>
          </w:p>
        </w:tc>
        <w:tc>
          <w:tcPr>
            <w:tcW w:w="2551" w:type="dxa"/>
            <w:vAlign w:val="center"/>
          </w:tcPr>
          <w:p>
            <w:pPr>
              <w:pStyle w:val="12"/>
            </w:pPr>
            <w:r>
              <w:t>0.40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0.70</w:t>
            </w:r>
          </w:p>
        </w:tc>
        <w:tc>
          <w:tcPr>
            <w:tcW w:w="2551" w:type="dxa"/>
            <w:vAlign w:val="center"/>
          </w:tcPr>
          <w:p>
            <w:pPr>
              <w:pStyle w:val="12"/>
            </w:pPr>
            <w:r>
              <w:t>0.70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204.15</w:t>
            </w:r>
          </w:p>
        </w:tc>
        <w:tc>
          <w:tcPr>
            <w:tcW w:w="2551" w:type="dxa"/>
            <w:vAlign w:val="center"/>
          </w:tcPr>
          <w:p>
            <w:pPr>
              <w:pStyle w:val="16"/>
            </w:pPr>
            <w:r>
              <w:t>168.20</w:t>
            </w:r>
          </w:p>
        </w:tc>
        <w:tc>
          <w:tcPr>
            <w:tcW w:w="2551" w:type="dxa"/>
            <w:vAlign w:val="center"/>
          </w:tcPr>
          <w:p>
            <w:pPr>
              <w:pStyle w:val="16"/>
            </w:pPr>
            <w:r>
              <w:t>35.95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147.80</w:t>
            </w:r>
          </w:p>
        </w:tc>
        <w:tc>
          <w:tcPr>
            <w:tcW w:w="2551" w:type="dxa"/>
            <w:vAlign w:val="center"/>
          </w:tcPr>
          <w:p>
            <w:pPr>
              <w:pStyle w:val="12"/>
            </w:pPr>
            <w:r>
              <w:t>147.80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48.00</w:t>
            </w:r>
          </w:p>
        </w:tc>
        <w:tc>
          <w:tcPr>
            <w:tcW w:w="2551" w:type="dxa"/>
            <w:vAlign w:val="center"/>
          </w:tcPr>
          <w:p>
            <w:pPr>
              <w:pStyle w:val="12"/>
            </w:pPr>
            <w:r>
              <w:t>48.00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22.40</w:t>
            </w:r>
          </w:p>
        </w:tc>
        <w:tc>
          <w:tcPr>
            <w:tcW w:w="2551" w:type="dxa"/>
            <w:vAlign w:val="center"/>
          </w:tcPr>
          <w:p>
            <w:pPr>
              <w:pStyle w:val="12"/>
            </w:pPr>
            <w:r>
              <w:t>22.40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19.60</w:t>
            </w:r>
          </w:p>
        </w:tc>
        <w:tc>
          <w:tcPr>
            <w:tcW w:w="2551" w:type="dxa"/>
            <w:vAlign w:val="center"/>
          </w:tcPr>
          <w:p>
            <w:pPr>
              <w:pStyle w:val="12"/>
            </w:pPr>
            <w:r>
              <w:t>19.60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25.00</w:t>
            </w:r>
          </w:p>
        </w:tc>
        <w:tc>
          <w:tcPr>
            <w:tcW w:w="2551" w:type="dxa"/>
            <w:vAlign w:val="center"/>
          </w:tcPr>
          <w:p>
            <w:pPr>
              <w:pStyle w:val="12"/>
            </w:pPr>
            <w:r>
              <w:t>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3.70</w:t>
            </w:r>
          </w:p>
        </w:tc>
        <w:tc>
          <w:tcPr>
            <w:tcW w:w="2551" w:type="dxa"/>
            <w:vAlign w:val="center"/>
          </w:tcPr>
          <w:p>
            <w:pPr>
              <w:pStyle w:val="12"/>
            </w:pPr>
            <w:r>
              <w:t>3.70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1.10</w:t>
            </w:r>
          </w:p>
        </w:tc>
        <w:tc>
          <w:tcPr>
            <w:tcW w:w="2551" w:type="dxa"/>
            <w:vAlign w:val="center"/>
          </w:tcPr>
          <w:p>
            <w:pPr>
              <w:pStyle w:val="12"/>
            </w:pPr>
            <w:r>
              <w:t>1.10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35.95</w:t>
            </w:r>
          </w:p>
        </w:tc>
        <w:tc>
          <w:tcPr>
            <w:tcW w:w="2551" w:type="dxa"/>
            <w:vAlign w:val="center"/>
          </w:tcPr>
          <w:p>
            <w:pPr>
              <w:pStyle w:val="12"/>
            </w:pPr>
          </w:p>
        </w:tc>
        <w:tc>
          <w:tcPr>
            <w:tcW w:w="2551" w:type="dxa"/>
            <w:vAlign w:val="center"/>
          </w:tcPr>
          <w:p>
            <w:pPr>
              <w:pStyle w:val="12"/>
            </w:pPr>
            <w:r>
              <w:t>35.95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7.28</w:t>
            </w:r>
          </w:p>
        </w:tc>
        <w:tc>
          <w:tcPr>
            <w:tcW w:w="2551" w:type="dxa"/>
            <w:vAlign w:val="center"/>
          </w:tcPr>
          <w:p>
            <w:pPr>
              <w:pStyle w:val="12"/>
            </w:pPr>
          </w:p>
        </w:tc>
        <w:tc>
          <w:tcPr>
            <w:tcW w:w="2551" w:type="dxa"/>
            <w:vAlign w:val="center"/>
          </w:tcPr>
          <w:p>
            <w:pPr>
              <w:pStyle w:val="12"/>
            </w:pPr>
            <w:r>
              <w:t>7.28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10.27</w:t>
            </w:r>
          </w:p>
        </w:tc>
        <w:tc>
          <w:tcPr>
            <w:tcW w:w="2551" w:type="dxa"/>
            <w:vAlign w:val="center"/>
          </w:tcPr>
          <w:p>
            <w:pPr>
              <w:pStyle w:val="12"/>
            </w:pPr>
          </w:p>
        </w:tc>
        <w:tc>
          <w:tcPr>
            <w:tcW w:w="2551" w:type="dxa"/>
            <w:vAlign w:val="center"/>
          </w:tcPr>
          <w:p>
            <w:pPr>
              <w:pStyle w:val="12"/>
            </w:pPr>
            <w:r>
              <w:t>10.27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8.40</w:t>
            </w:r>
          </w:p>
        </w:tc>
        <w:tc>
          <w:tcPr>
            <w:tcW w:w="2551" w:type="dxa"/>
            <w:vAlign w:val="center"/>
          </w:tcPr>
          <w:p>
            <w:pPr>
              <w:pStyle w:val="12"/>
            </w:pPr>
          </w:p>
        </w:tc>
        <w:tc>
          <w:tcPr>
            <w:tcW w:w="2551" w:type="dxa"/>
            <w:vAlign w:val="center"/>
          </w:tcPr>
          <w:p>
            <w:pPr>
              <w:pStyle w:val="12"/>
            </w:pPr>
            <w:r>
              <w:t>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20.40</w:t>
            </w:r>
          </w:p>
        </w:tc>
        <w:tc>
          <w:tcPr>
            <w:tcW w:w="2551" w:type="dxa"/>
            <w:vAlign w:val="center"/>
          </w:tcPr>
          <w:p>
            <w:pPr>
              <w:pStyle w:val="12"/>
            </w:pPr>
            <w:r>
              <w:t>20.40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20.40</w:t>
            </w:r>
          </w:p>
        </w:tc>
        <w:tc>
          <w:tcPr>
            <w:tcW w:w="2551" w:type="dxa"/>
            <w:vAlign w:val="center"/>
          </w:tcPr>
          <w:p>
            <w:pPr>
              <w:pStyle w:val="12"/>
            </w:pPr>
            <w:r>
              <w:t>20.40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中国共产党无极县委员会统战部2025年部门预算信息公开情况说明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中国共产党无极县委员会统战部2025年部门预算信息公开情况说明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按照《中华人民共和国预算法》、《地方预决算公开操作规程》和《关于进一步推进预算公开工作的实施意见》规定，现将中国共产党无极县委员会统战部2025年部门预算公开如下：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和落实中央、省委、市委、县委关于统一战线工作重大决策部署，巩固壮大最广泛的统一战线。</w:t>
      </w:r>
    </w:p>
    <w:p>
      <w:pPr>
        <w:pStyle w:val="18"/>
      </w:pPr>
      <w:r>
        <w:t>（二）开展统一战线理论研究，拟订统一战线工作的规范性文件并推动落实，深入调查研究，及时向县委报告统一战线工作情况并提出建议，统筹协调和指导各单位统一战线工作。</w:t>
      </w:r>
    </w:p>
    <w:p>
      <w:pPr>
        <w:pStyle w:val="18"/>
      </w:pPr>
      <w:r>
        <w:t>（三）负责发现、培养党外代表人士，负责党外人士的政治安排，会同有关部门做好安排党外人士担任政府和司法机关等领导职务的工作，协助民主党派、县工商联做好干部管理工作，反映和协调解决党外代表人士工作生活中的实际困难。</w:t>
      </w:r>
    </w:p>
    <w:p>
      <w:pPr>
        <w:pStyle w:val="18"/>
      </w:pPr>
      <w:r>
        <w:t>（四）贯彻落实党的宣传工作方针，统筹推进全县统一战线宣传工作，拟订全县统一战线宣传工作规划并组织实施，研判涉及统一战线的舆情并协调有关部门应对处置。</w:t>
      </w:r>
    </w:p>
    <w:p>
      <w:pPr>
        <w:pStyle w:val="18"/>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8"/>
      </w:pPr>
      <w:r>
        <w:t>（六）统一领导民族宗教工作，贯彻落实党的民族宗教工作方针和政策，协调处理民族宗教工作中的重大问题，归口领导县民族宗教事务局，全面促进民族宗教事业发展，维护全县民族宗教领域和谐稳定。</w:t>
      </w:r>
    </w:p>
    <w:p>
      <w:pPr>
        <w:pStyle w:val="18"/>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学校等有关单位和社会组织开展党外知识分子和新的社会阶层人士统战工作。</w:t>
      </w:r>
    </w:p>
    <w:p>
      <w:pPr>
        <w:pStyle w:val="18"/>
      </w:pPr>
      <w:r>
        <w:t>（八）调查研究非公有制经济人士情况并提出政策建议，了解和反映非公有制经济人士的意见，团结、服务、引导、教育非公有制经济人士，促进非公有制经济健康发展和非公有制经济人士健康成长。</w:t>
      </w:r>
    </w:p>
    <w:p>
      <w:pPr>
        <w:pStyle w:val="18"/>
      </w:pPr>
      <w:r>
        <w:t>（九）统一领导全县海外统战工作，牵头开展港澳统战工作。贯彻落实党的海外统战工作政策措施，对香港、澳门地区统一战线工作进行调查研究并提出意见建议，联系香港、澳门有关党派、团体及代表人士，联系海外有关社团及代表人士。做好统一战线外事管理工作。</w:t>
      </w:r>
    </w:p>
    <w:p>
      <w:pPr>
        <w:pStyle w:val="18"/>
      </w:pPr>
      <w:r>
        <w:t>（十）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县内的合法权利和利益。</w:t>
      </w:r>
    </w:p>
    <w:p>
      <w:pPr>
        <w:pStyle w:val="18"/>
      </w:pPr>
      <w:r>
        <w:t>（十一）负责全县涉台工作，贯彻执行党中央、国务院对台工作的方针政策。开展对台工作调查研究并结合我县实际提出对策和建议。组织、指导、管理、协调县委、县政府有关部门的对台工作;检查了解各部门对党中央、国务院和省委、省政府以及市委、市政府对台方针政策和市委、市政府及县委、县政府有关对台工作指示贯彻落实情况。调查研究台湾形势和经贸之间交流往来动向，提出对策建议。统筹协调涉台法律事务。会同有关部门统筹协调和指导对台经贸工作。组织重要台商的投资活动，参与市、县政府对台大型招商活动。协调、指导全县涉台金融、文化、学术、教育、科技、体育、卫生等领域的交流与合作及人员往来工作。负责我县赴台交流事项的报批和赴台交流人员的行前指导及归后总结工作;负责对台湾上层重点人士的联络和来我县台胞的接待服务工作。负责全县对台宣传和涉台教育工作。指导全县宣传媒体涉台新闻报道工作;负责全县有关涉台事务的新闻发布;协调、处理县内涉台重大事件;负责对全县对台工作干部的培训工作。指导各民主党派、县工商联和其他群众团体有关重点人士、重大活动方面的涉台工作。按中央有关规定，负责全县对台接触的组织实施。</w:t>
      </w:r>
    </w:p>
    <w:p>
      <w:pPr>
        <w:pStyle w:val="18"/>
      </w:pPr>
      <w:r>
        <w:t>（十二）指导各乡镇党委、县直有关单位党委（组）统一战线工作，负责有关单位统战工作负责人培训工作；协调政府有关部门统一战线工作，协助做好民族宗教部门领导班子成员推荐工作；受县委委托，领导县工商联党组，指导县工商联工作；联系指导县侨联工作；做好统一战线有关单位和团体的管理工作。</w:t>
      </w:r>
    </w:p>
    <w:p>
      <w:pPr>
        <w:pStyle w:val="18"/>
      </w:pPr>
      <w:r>
        <w:t>（十三）完成县委交办的其他任务。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中国共产党无极县委员会统战部本级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按照预算管理有关规定，目前部门预算的编制实行综合预算管理，即全部收入和支出都反映在预算中。中国共产党无极县委员会统战部机关及所属事业单位的收支包含在部门预算中。</w:t>
      </w:r>
    </w:p>
    <w:p>
      <w:pPr>
        <w:pStyle w:val="19"/>
      </w:pPr>
      <w:r>
        <w:t>1、收入说明</w:t>
      </w:r>
    </w:p>
    <w:p>
      <w:pPr>
        <w:pStyle w:val="19"/>
      </w:pPr>
      <w:r>
        <w:t>反映本部门当年全部收入。2025年预算收入210.15万元，其中：一般公共预算收入207.15万元，基金预算收入0.00万元，国有资本经营预算收入0.00万元，财政专户核拨收入0.00万元，单位资金收入0.00万元，上年结转结余3.00万元。</w:t>
      </w:r>
    </w:p>
    <w:p>
      <w:pPr>
        <w:pStyle w:val="19"/>
      </w:pPr>
      <w:r>
        <w:t>2、支出说明</w:t>
      </w:r>
    </w:p>
    <w:p>
      <w:pPr>
        <w:pStyle w:val="19"/>
      </w:pPr>
      <w:r>
        <w:t>收支预算总表支出栏、基本支出表、项目支出表按经济分类和支出功能分类科目编制，反映中国共产党无极县委员会统战部年度部门预算中支出预算的总体情况。2025年支出预算210.15万元，其中基本支出204.15万元，包括人员经费168.20万元和日常公用经费35.95万元；项目支出6.00万元，主要为提前下达2025年省市宗教事务管理补助3万元和2024年宗教事务管理补助3万元。</w:t>
      </w:r>
    </w:p>
    <w:p>
      <w:pPr>
        <w:pStyle w:val="19"/>
      </w:pPr>
      <w:r>
        <w:t>3、比上年增减情况</w:t>
      </w:r>
    </w:p>
    <w:p>
      <w:pPr>
        <w:pStyle w:val="19"/>
      </w:pPr>
      <w:r>
        <w:t>2025年预算收支安排210.15万元，较2024年预算减少48.61万元，其中：基本支出减少22.61万元，主要为2025年人员补贴等减少。项目支出减少26.00万元，主要为2025年项目数量减少，2025年预算项目支出减少。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2025年，我部门机关运行经费共计安排35.95万元，主要用于日常维修、办公用房水电费、办公用房取暖费、办公用房物业管理费等日常运行支出。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我部门财政拨款三公经费预算安排与上年度持平，无增减。原因是严格按照公务用车相关制度进行，预算一致。</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bookmarkStart w:id="14" w:name="_Toc_3_3_0000000015"/>
      <w:r>
        <w:rPr>
          <w:rFonts w:ascii="Times New Roman" w:hAnsi="Times New Roman" w:eastAsia="方正仿宋_GBK" w:cs="Times New Roman"/>
          <w:color w:val="000000"/>
          <w:sz w:val="28"/>
        </w:rPr>
        <w:t>（一）总体绩效目标</w:t>
      </w:r>
    </w:p>
    <w:p>
      <w:pPr>
        <w:pStyle w:val="22"/>
      </w:pPr>
      <w:r>
        <w:t>　全面贯彻《统一战线工作条例》、党的二十大、二十届一中、二中全会精神，坚持以习近平新时代中国特色社会主义思想为统领，牢牢把握大统战格局，扎实推进市委、市政府和县委、县政府工作部署落地落实，努力做好我县统战、民族团结进步宣传工作和少数民族服务工作。全面深化依法行政、推进新修订《宗教事务条例》的贯彻落实。全面深化“设立创建和谐寺观教堂指导员”和“创建星级和谐寺观教堂”两项活动，全面深化宗教中国化方向的引领、积极引导宗教与社会主义社会相适应，全面深化宗教领域专项治理、精准发力解决突出问题，全面深化民族宗教领域平安建设水平、切实维护社会和谐稳定，奋力开创新时代我县统战民族宗教工作新局面。</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贯彻执行国家宗教工作的方针政策；监督检查宗教活动场所。</w:t>
      </w:r>
    </w:p>
    <w:p>
      <w:pPr>
        <w:pStyle w:val="23"/>
      </w:pPr>
      <w:r>
        <w:t>绩效目标：完成宗教基本事务管理，加大全市宗教活动场所监管力度。</w:t>
      </w:r>
    </w:p>
    <w:p>
      <w:pPr>
        <w:pStyle w:val="23"/>
      </w:pPr>
      <w:r>
        <w:t>绩效指标：全县大型宗教活动场所检查覆盖率≥80%</w:t>
      </w:r>
    </w:p>
    <w:p>
      <w:pPr>
        <w:pStyle w:val="23"/>
      </w:pPr>
      <w:r>
        <w:rPr>
          <w:rFonts w:hint="eastAsia"/>
          <w:lang w:val="en-US" w:eastAsia="zh-CN"/>
        </w:rPr>
        <w:t>2.</w:t>
      </w:r>
      <w:r>
        <w:t>调查研究统战、民族、宗教工作的理论、方针、政策和法律法规，做好重要工作和重大问题的处理。</w:t>
      </w:r>
    </w:p>
    <w:p>
      <w:pPr>
        <w:pStyle w:val="23"/>
      </w:pPr>
      <w:r>
        <w:t>　绩效目标：做好落实“双创四进”，支持宗教活动场爱心驿站建设。</w:t>
      </w:r>
    </w:p>
    <w:p>
      <w:pPr>
        <w:pStyle w:val="23"/>
      </w:pPr>
      <w:r>
        <w:t>　绩效指标：组织全县民族宗教领域问题处理督导检查2次；进一步完善爱心驿站建设。</w:t>
      </w:r>
    </w:p>
    <w:p>
      <w:pPr>
        <w:pStyle w:val="23"/>
      </w:pPr>
      <w:r>
        <w:rPr>
          <w:rFonts w:hint="eastAsia"/>
          <w:lang w:val="en-US" w:eastAsia="zh-CN"/>
        </w:rPr>
        <w:t>3.</w:t>
      </w:r>
      <w:r>
        <w:t>做好新的社会阶层人士统战工作。</w:t>
      </w:r>
    </w:p>
    <w:p>
      <w:pPr>
        <w:pStyle w:val="23"/>
      </w:pPr>
      <w:r>
        <w:t>　绩效目标：通过组织活动，加强对新的社会阶层人士的思想政治引领，对新联会加强领导，促进新联会组织建设，进一步加强新的社会阶层人士统战工作。</w:t>
      </w:r>
    </w:p>
    <w:p>
      <w:pPr>
        <w:pStyle w:val="23"/>
      </w:pPr>
      <w:r>
        <w:t>绩效指标：组织新的社会阶层人士开展1-2次活动，加强对新联会的组织领导。</w:t>
      </w:r>
    </w:p>
    <w:p>
      <w:pPr>
        <w:pStyle w:val="23"/>
      </w:pPr>
      <w:r>
        <w:rPr>
          <w:rFonts w:hint="eastAsia"/>
          <w:lang w:val="en-US" w:eastAsia="zh-CN"/>
        </w:rPr>
        <w:t>4.</w:t>
      </w:r>
      <w:r>
        <w:t>做好民营经济代表人士工作。</w:t>
      </w:r>
    </w:p>
    <w:p>
      <w:pPr>
        <w:pStyle w:val="23"/>
      </w:pPr>
      <w:r>
        <w:t>绩效目标：召开政企沟通联席会议，开展企业家沙龙，进一步民营经济代表人士统战工作。</w:t>
      </w:r>
    </w:p>
    <w:p>
      <w:pPr>
        <w:pStyle w:val="23"/>
      </w:pPr>
      <w:r>
        <w:t>绩效指标：筹备召开2-3次政企沟通联席会议，开展1-2次企业家沙龙，组织开展1-2次民营经济代表人士思想政治教育。</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统战部其职责贯彻落实民族宗教工作方针，组织开展民族宗教理论、政策和民族宗教问题等重点课题的调查研究，协调处理涉及民族关系的有关事宜，协调处理民族宗教工作的重大问题，依法管理民族宗教事务，维护全市民族宗教领域和谐稳定。</w:t>
      </w:r>
    </w:p>
    <w:p>
      <w:pPr>
        <w:pStyle w:val="24"/>
      </w:pPr>
      <w:r>
        <w:t>完善制度建设。坚持依法履职行政，依法推动民族宗教工作.制定完善预算绩效管理制度、资金管理办法、工作保障制度等，为全年预算绩效目标的实现奠定制度基础。</w:t>
      </w:r>
    </w:p>
    <w:p>
      <w:pPr>
        <w:pStyle w:val="24"/>
      </w:pPr>
      <w:r>
        <w:t>加强支出管理。在加强制度管理的基础上，通过优化支出结构、编细编实预算、加快履行政府采购手续、尽快启动项目、及时支付资金、按规定及时下达资金等多种措施，确保支出进度达标。</w:t>
      </w:r>
    </w:p>
    <w:p>
      <w:pPr>
        <w:pStyle w:val="24"/>
      </w:pPr>
      <w:r>
        <w:t>加强绩效运行监控。充分发挥信息网络绩效运行等方面的优势，开展绩效运行监控，发现问题及时采取措施，确保绩效目标如期保质实现。</w:t>
      </w:r>
    </w:p>
    <w:p>
      <w:pPr>
        <w:numPr>
          <w:ilvl w:val="0"/>
          <w:numId w:val="1"/>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eastAsia"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bookmarkStart w:id="15" w:name="_Toc_3_3_0000000016"/>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640" w:firstLineChars="200"/>
        <w:jc w:val="left"/>
        <w:textAlignment w:val="auto"/>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1、2024年市级宗教工作补助经费绩效目标表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13013024P000036102180</w:t>
            </w:r>
          </w:p>
        </w:tc>
        <w:tc>
          <w:tcPr>
            <w:tcW w:w="2835" w:type="dxa"/>
            <w:vAlign w:val="center"/>
          </w:tcPr>
          <w:p>
            <w:pPr>
              <w:pStyle w:val="11"/>
            </w:pPr>
            <w:r>
              <w:t>项目名称</w:t>
            </w:r>
          </w:p>
        </w:tc>
        <w:tc>
          <w:tcPr>
            <w:tcW w:w="6095" w:type="dxa"/>
            <w:gridSpan w:val="3"/>
            <w:vAlign w:val="center"/>
          </w:tcPr>
          <w:p>
            <w:pPr>
              <w:pStyle w:val="13"/>
            </w:pPr>
            <w:r>
              <w:t>2024年市级宗教工作补助经费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宗教工作补助经费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t>25%</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t>50%</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1.宗教工作三支队伍能力素质得到进一步改善，双创四进提档升级，宗教中国化，宗教界和谐稳定。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培训次数不少于3次</w:t>
            </w:r>
          </w:p>
        </w:tc>
        <w:tc>
          <w:tcPr>
            <w:tcW w:w="5386" w:type="dxa"/>
            <w:vAlign w:val="center"/>
          </w:tcPr>
          <w:p>
            <w:pPr>
              <w:pStyle w:val="13"/>
            </w:pPr>
            <w:r>
              <w:t>培训次数不少于3次</w:t>
            </w:r>
          </w:p>
        </w:tc>
        <w:tc>
          <w:tcPr>
            <w:tcW w:w="2268" w:type="dxa"/>
            <w:vAlign w:val="center"/>
          </w:tcPr>
          <w:p>
            <w:pPr>
              <w:pStyle w:val="13"/>
            </w:pPr>
            <w:r>
              <w:t>培训次数不少于3次</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事务管理工作合格率</w:t>
            </w:r>
          </w:p>
        </w:tc>
        <w:tc>
          <w:tcPr>
            <w:tcW w:w="5386" w:type="dxa"/>
            <w:vAlign w:val="center"/>
          </w:tcPr>
          <w:p>
            <w:pPr>
              <w:pStyle w:val="13"/>
            </w:pPr>
            <w:r>
              <w:t>事务管理工作合格率</w:t>
            </w:r>
          </w:p>
        </w:tc>
        <w:tc>
          <w:tcPr>
            <w:tcW w:w="2268" w:type="dxa"/>
            <w:vAlign w:val="center"/>
          </w:tcPr>
          <w:p>
            <w:pPr>
              <w:pStyle w:val="13"/>
            </w:pPr>
            <w:r>
              <w:t>≥90%</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资金及时发放</w:t>
            </w:r>
          </w:p>
        </w:tc>
        <w:tc>
          <w:tcPr>
            <w:tcW w:w="5386" w:type="dxa"/>
            <w:vAlign w:val="center"/>
          </w:tcPr>
          <w:p>
            <w:pPr>
              <w:pStyle w:val="13"/>
            </w:pPr>
            <w:r>
              <w:t>资金及时发放</w:t>
            </w:r>
          </w:p>
        </w:tc>
        <w:tc>
          <w:tcPr>
            <w:tcW w:w="2268" w:type="dxa"/>
            <w:vAlign w:val="center"/>
          </w:tcPr>
          <w:p>
            <w:pPr>
              <w:pStyle w:val="13"/>
            </w:pPr>
            <w:r>
              <w:t>资金及时发放</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按项目预算数完成</w:t>
            </w:r>
          </w:p>
        </w:tc>
        <w:tc>
          <w:tcPr>
            <w:tcW w:w="2268" w:type="dxa"/>
            <w:vAlign w:val="center"/>
          </w:tcPr>
          <w:p>
            <w:pPr>
              <w:pStyle w:val="13"/>
            </w:pPr>
            <w:r>
              <w:t>节约成本，不超预算</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宗教界和谐稳定</w:t>
            </w:r>
          </w:p>
        </w:tc>
        <w:tc>
          <w:tcPr>
            <w:tcW w:w="5386" w:type="dxa"/>
            <w:vAlign w:val="center"/>
          </w:tcPr>
          <w:p>
            <w:pPr>
              <w:pStyle w:val="13"/>
            </w:pPr>
            <w:r>
              <w:t>宗教界和谐稳定</w:t>
            </w:r>
          </w:p>
        </w:tc>
        <w:tc>
          <w:tcPr>
            <w:tcW w:w="2268" w:type="dxa"/>
            <w:vAlign w:val="center"/>
          </w:tcPr>
          <w:p>
            <w:pPr>
              <w:pStyle w:val="13"/>
            </w:pPr>
            <w:r>
              <w:t>宗教界和谐稳定</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社会和谐稳定</w:t>
            </w:r>
          </w:p>
        </w:tc>
        <w:tc>
          <w:tcPr>
            <w:tcW w:w="5386" w:type="dxa"/>
            <w:vAlign w:val="center"/>
          </w:tcPr>
          <w:p>
            <w:pPr>
              <w:pStyle w:val="13"/>
            </w:pPr>
            <w:r>
              <w:t>社会和谐稳定</w:t>
            </w:r>
          </w:p>
        </w:tc>
        <w:tc>
          <w:tcPr>
            <w:tcW w:w="2268" w:type="dxa"/>
            <w:vAlign w:val="center"/>
          </w:tcPr>
          <w:p>
            <w:pPr>
              <w:pStyle w:val="13"/>
            </w:pPr>
            <w:r>
              <w:t>社会和谐稳定</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宗教干部队伍能力素质持续提升</w:t>
            </w:r>
          </w:p>
        </w:tc>
        <w:tc>
          <w:tcPr>
            <w:tcW w:w="5386" w:type="dxa"/>
            <w:vAlign w:val="center"/>
          </w:tcPr>
          <w:p>
            <w:pPr>
              <w:pStyle w:val="13"/>
            </w:pPr>
            <w:r>
              <w:t>宗教干部队伍能力素质持续提升</w:t>
            </w:r>
          </w:p>
        </w:tc>
        <w:tc>
          <w:tcPr>
            <w:tcW w:w="2268" w:type="dxa"/>
            <w:vAlign w:val="center"/>
          </w:tcPr>
          <w:p>
            <w:pPr>
              <w:pStyle w:val="13"/>
            </w:pPr>
            <w:r>
              <w:t>宗教干部队伍能力素质持续提升</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宗教界持续和谐稳定</w:t>
            </w:r>
          </w:p>
        </w:tc>
        <w:tc>
          <w:tcPr>
            <w:tcW w:w="5386" w:type="dxa"/>
            <w:vAlign w:val="center"/>
          </w:tcPr>
          <w:p>
            <w:pPr>
              <w:pStyle w:val="13"/>
            </w:pPr>
            <w:r>
              <w:t>宗教界持续和谐稳定</w:t>
            </w:r>
          </w:p>
        </w:tc>
        <w:tc>
          <w:tcPr>
            <w:tcW w:w="2268" w:type="dxa"/>
            <w:vAlign w:val="center"/>
          </w:tcPr>
          <w:p>
            <w:pPr>
              <w:pStyle w:val="13"/>
            </w:pPr>
            <w:r>
              <w:t>宗教界持续和谐稳定</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宗教干部工作热情，满意度</w:t>
            </w:r>
          </w:p>
        </w:tc>
        <w:tc>
          <w:tcPr>
            <w:tcW w:w="2268" w:type="dxa"/>
            <w:vAlign w:val="center"/>
          </w:tcPr>
          <w:p>
            <w:pPr>
              <w:pStyle w:val="13"/>
            </w:pPr>
            <w:r>
              <w:t>≥95%</w:t>
            </w:r>
          </w:p>
        </w:tc>
        <w:tc>
          <w:tcPr>
            <w:tcW w:w="1276" w:type="dxa"/>
            <w:vAlign w:val="center"/>
          </w:tcPr>
          <w:p>
            <w:pPr>
              <w:pStyle w:val="13"/>
            </w:pPr>
            <w:r>
              <w:t>工作要求</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2、提前下达2025年省级基层宗教事务管理补助经费绩效目标表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13013025P00017610056Q</w:t>
            </w:r>
          </w:p>
        </w:tc>
        <w:tc>
          <w:tcPr>
            <w:tcW w:w="2835" w:type="dxa"/>
            <w:vAlign w:val="center"/>
          </w:tcPr>
          <w:p>
            <w:pPr>
              <w:pStyle w:val="11"/>
            </w:pPr>
            <w:r>
              <w:t>项目名称</w:t>
            </w:r>
          </w:p>
        </w:tc>
        <w:tc>
          <w:tcPr>
            <w:tcW w:w="6095" w:type="dxa"/>
            <w:gridSpan w:val="3"/>
            <w:vAlign w:val="center"/>
          </w:tcPr>
          <w:p>
            <w:pPr>
              <w:pStyle w:val="13"/>
            </w:pPr>
            <w:r>
              <w:t>提前下达2025年省级基层宗教事务管理补助经费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宗教干部能力素质提升，宗教领域和谐稳定。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bookmarkStart w:id="20" w:name="_GoBack" w:colFirst="1" w:colLast="6"/>
          </w:p>
        </w:tc>
        <w:tc>
          <w:tcPr>
            <w:tcW w:w="5103"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t>25%</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t>50%</w:t>
            </w:r>
          </w:p>
        </w:tc>
        <w:tc>
          <w:tcPr>
            <w:tcW w:w="255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 xml:space="preserve"> </w:t>
            </w:r>
          </w:p>
        </w:tc>
      </w:tr>
      <w:bookmarkEnd w:id="20"/>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1.宗教干部能力素质提升，宗教界和谐稳定。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一个季度不少于1次</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培训质量高</w:t>
            </w:r>
          </w:p>
        </w:tc>
        <w:tc>
          <w:tcPr>
            <w:tcW w:w="5386" w:type="dxa"/>
            <w:vAlign w:val="center"/>
          </w:tcPr>
          <w:p>
            <w:pPr>
              <w:pStyle w:val="13"/>
            </w:pPr>
            <w:r>
              <w:t>宗教干部能力素质有提升</w:t>
            </w:r>
          </w:p>
        </w:tc>
        <w:tc>
          <w:tcPr>
            <w:tcW w:w="2268" w:type="dxa"/>
            <w:vAlign w:val="center"/>
          </w:tcPr>
          <w:p>
            <w:pPr>
              <w:pStyle w:val="13"/>
            </w:pPr>
            <w:r>
              <w:t>宗教干部能力素质有提升</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准时开展培训</w:t>
            </w:r>
          </w:p>
        </w:tc>
        <w:tc>
          <w:tcPr>
            <w:tcW w:w="5386" w:type="dxa"/>
            <w:vAlign w:val="center"/>
          </w:tcPr>
          <w:p>
            <w:pPr>
              <w:pStyle w:val="13"/>
            </w:pPr>
            <w:r>
              <w:t>准时开展培训</w:t>
            </w:r>
          </w:p>
        </w:tc>
        <w:tc>
          <w:tcPr>
            <w:tcW w:w="2268" w:type="dxa"/>
            <w:vAlign w:val="center"/>
          </w:tcPr>
          <w:p>
            <w:pPr>
              <w:pStyle w:val="13"/>
            </w:pPr>
            <w:r>
              <w:t>准时开展培训</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控制成本</w:t>
            </w:r>
          </w:p>
        </w:tc>
        <w:tc>
          <w:tcPr>
            <w:tcW w:w="2268" w:type="dxa"/>
            <w:vAlign w:val="center"/>
          </w:tcPr>
          <w:p>
            <w:pPr>
              <w:pStyle w:val="13"/>
            </w:pPr>
            <w:r>
              <w:t>不超预算</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宗教领域和谐稳定</w:t>
            </w:r>
          </w:p>
        </w:tc>
        <w:tc>
          <w:tcPr>
            <w:tcW w:w="5386" w:type="dxa"/>
            <w:vAlign w:val="center"/>
          </w:tcPr>
          <w:p>
            <w:pPr>
              <w:pStyle w:val="13"/>
            </w:pPr>
            <w:r>
              <w:t>宗教领域和谐稳定</w:t>
            </w:r>
          </w:p>
        </w:tc>
        <w:tc>
          <w:tcPr>
            <w:tcW w:w="2268" w:type="dxa"/>
            <w:vAlign w:val="center"/>
          </w:tcPr>
          <w:p>
            <w:pPr>
              <w:pStyle w:val="13"/>
            </w:pPr>
            <w:r>
              <w:t>宗教领域和谐稳定</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宗教场所双创四进提档升级</w:t>
            </w:r>
          </w:p>
        </w:tc>
        <w:tc>
          <w:tcPr>
            <w:tcW w:w="5386" w:type="dxa"/>
            <w:vAlign w:val="center"/>
          </w:tcPr>
          <w:p>
            <w:pPr>
              <w:pStyle w:val="13"/>
            </w:pPr>
            <w:r>
              <w:t>宗教场所双创四进提档升级</w:t>
            </w:r>
          </w:p>
        </w:tc>
        <w:tc>
          <w:tcPr>
            <w:tcW w:w="2268" w:type="dxa"/>
            <w:vAlign w:val="center"/>
          </w:tcPr>
          <w:p>
            <w:pPr>
              <w:pStyle w:val="13"/>
            </w:pPr>
            <w:r>
              <w:t>宗教场所双创四进提档升级</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宗教中国化、法制化</w:t>
            </w:r>
          </w:p>
        </w:tc>
        <w:tc>
          <w:tcPr>
            <w:tcW w:w="5386" w:type="dxa"/>
            <w:vAlign w:val="center"/>
          </w:tcPr>
          <w:p>
            <w:pPr>
              <w:pStyle w:val="13"/>
            </w:pPr>
            <w:r>
              <w:t>宗教中国化、法制化</w:t>
            </w:r>
          </w:p>
        </w:tc>
        <w:tc>
          <w:tcPr>
            <w:tcW w:w="2268" w:type="dxa"/>
            <w:vAlign w:val="center"/>
          </w:tcPr>
          <w:p>
            <w:pPr>
              <w:pStyle w:val="13"/>
            </w:pPr>
            <w:r>
              <w:t>宗教中国化、法制化</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宗教干部能力素质持续提升</w:t>
            </w:r>
          </w:p>
        </w:tc>
        <w:tc>
          <w:tcPr>
            <w:tcW w:w="5386" w:type="dxa"/>
            <w:vAlign w:val="center"/>
          </w:tcPr>
          <w:p>
            <w:pPr>
              <w:pStyle w:val="13"/>
            </w:pPr>
            <w:r>
              <w:t>宗教干部能力素质持续提升</w:t>
            </w:r>
          </w:p>
        </w:tc>
        <w:tc>
          <w:tcPr>
            <w:tcW w:w="2268" w:type="dxa"/>
            <w:vAlign w:val="center"/>
          </w:tcPr>
          <w:p>
            <w:pPr>
              <w:pStyle w:val="13"/>
            </w:pPr>
            <w:r>
              <w:t>宗教干部能力素质持续提升</w:t>
            </w:r>
          </w:p>
        </w:tc>
        <w:tc>
          <w:tcPr>
            <w:tcW w:w="1276" w:type="dxa"/>
            <w:vAlign w:val="center"/>
          </w:tcPr>
          <w:p>
            <w:pPr>
              <w:pStyle w:val="13"/>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对象满意度</w:t>
            </w:r>
          </w:p>
        </w:tc>
        <w:tc>
          <w:tcPr>
            <w:tcW w:w="5386" w:type="dxa"/>
            <w:vAlign w:val="center"/>
          </w:tcPr>
          <w:p>
            <w:pPr>
              <w:pStyle w:val="13"/>
            </w:pPr>
            <w:r>
              <w:t>满意度</w:t>
            </w:r>
          </w:p>
        </w:tc>
        <w:tc>
          <w:tcPr>
            <w:tcW w:w="2268" w:type="dxa"/>
            <w:vAlign w:val="center"/>
          </w:tcPr>
          <w:p>
            <w:pPr>
              <w:pStyle w:val="13"/>
            </w:pPr>
            <w:r>
              <w:t>≥85%</w:t>
            </w:r>
          </w:p>
        </w:tc>
        <w:tc>
          <w:tcPr>
            <w:tcW w:w="1276" w:type="dxa"/>
            <w:vAlign w:val="center"/>
          </w:tcPr>
          <w:p>
            <w:pPr>
              <w:pStyle w:val="13"/>
            </w:pPr>
            <w:r>
              <w:t>工作要求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中国共产党无极县委员会统战部（含所属单位）上年末固定资产金额为73.48万元（详见下表）。本年度拟购置固定资产总额为0.00万元。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213中国共产党无极县委员会统战部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73.48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256</w:t>
            </w:r>
          </w:p>
        </w:tc>
        <w:tc>
          <w:tcPr>
            <w:tcW w:w="2835" w:type="dxa"/>
            <w:vAlign w:val="center"/>
          </w:tcPr>
          <w:p>
            <w:pPr>
              <w:pStyle w:val="12"/>
            </w:pPr>
            <w:r>
              <w:t>62.88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D2025BE"/>
    <w:multiLevelType w:val="singleLevel"/>
    <w:tmpl w:val="CD2025B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981DF8"/>
    <w:rsid w:val="0982375D"/>
    <w:rsid w:val="0DD9492C"/>
    <w:rsid w:val="5E557C4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9298</Words>
  <Characters>10701</Characters>
  <TotalTime>0</TotalTime>
  <ScaleCrop>false</ScaleCrop>
  <LinksUpToDate>false</LinksUpToDate>
  <CharactersWithSpaces>10909</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2025-02-13T14:35:00Z</dcterms:created>
  <dc:creator>Administrator</dc:creator>
  <cp:lastModifiedBy>浮生</cp:lastModifiedBy>
  <dcterms:modified xsi:type="dcterms:W3CDTF">2025-10-29T03:15:30Z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6BC71DCE67F14203AF5629988765333B</vt:lpwstr>
  </property>
</Properties>
</file>