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607河北无极经济开发区</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846.10</w:t>
            </w:r>
          </w:p>
        </w:tc>
        <w:tc>
          <w:tcPr>
            <w:tcW w:w="4535" w:type="dxa"/>
            <w:vAlign w:val="center"/>
          </w:tcPr>
          <w:p>
            <w:pPr>
              <w:pStyle w:val="13"/>
            </w:pPr>
            <w:r>
              <w:t>一、一般公共服务支出</w:t>
            </w:r>
          </w:p>
        </w:tc>
        <w:tc>
          <w:tcPr>
            <w:tcW w:w="2126" w:type="dxa"/>
            <w:vAlign w:val="center"/>
          </w:tcPr>
          <w:p>
            <w:pPr>
              <w:pStyle w:val="12"/>
            </w:pPr>
            <w:r>
              <w:t>889.78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846.10</w:t>
            </w:r>
          </w:p>
        </w:tc>
        <w:tc>
          <w:tcPr>
            <w:tcW w:w="4535" w:type="dxa"/>
            <w:vAlign w:val="center"/>
          </w:tcPr>
          <w:p>
            <w:pPr>
              <w:pStyle w:val="15"/>
            </w:pPr>
            <w:r>
              <w:t>本年支出合计</w:t>
            </w:r>
          </w:p>
        </w:tc>
        <w:tc>
          <w:tcPr>
            <w:tcW w:w="2126" w:type="dxa"/>
            <w:vAlign w:val="center"/>
          </w:tcPr>
          <w:p>
            <w:pPr>
              <w:pStyle w:val="16"/>
            </w:pPr>
            <w:r>
              <w:t>1063.88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217.78</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1063.88</w:t>
            </w:r>
          </w:p>
        </w:tc>
        <w:tc>
          <w:tcPr>
            <w:tcW w:w="4535" w:type="dxa"/>
            <w:vAlign w:val="center"/>
          </w:tcPr>
          <w:p>
            <w:pPr>
              <w:pStyle w:val="15"/>
            </w:pPr>
            <w:r>
              <w:t>支出总计</w:t>
            </w:r>
          </w:p>
        </w:tc>
        <w:tc>
          <w:tcPr>
            <w:tcW w:w="2126" w:type="dxa"/>
            <w:vAlign w:val="center"/>
          </w:tcPr>
          <w:p>
            <w:pPr>
              <w:pStyle w:val="16"/>
            </w:pPr>
            <w:r>
              <w:t>1063.88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607河北无极经济开发区</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1063.88</w:t>
            </w:r>
          </w:p>
        </w:tc>
        <w:tc>
          <w:tcPr>
            <w:tcW w:w="1134" w:type="dxa"/>
            <w:vAlign w:val="center"/>
          </w:tcPr>
          <w:p>
            <w:pPr>
              <w:pStyle w:val="16"/>
            </w:pPr>
            <w:r>
              <w:t>846.10</w:t>
            </w:r>
          </w:p>
        </w:tc>
        <w:tc>
          <w:tcPr>
            <w:tcW w:w="1134" w:type="dxa"/>
            <w:vAlign w:val="center"/>
          </w:tcPr>
          <w:p>
            <w:pPr>
              <w:pStyle w:val="16"/>
            </w:pPr>
            <w:r>
              <w:t>846.10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217.78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889.78</w:t>
            </w:r>
          </w:p>
        </w:tc>
        <w:tc>
          <w:tcPr>
            <w:tcW w:w="1134" w:type="dxa"/>
            <w:vAlign w:val="center"/>
          </w:tcPr>
          <w:p>
            <w:pPr>
              <w:pStyle w:val="12"/>
            </w:pPr>
            <w:r>
              <w:t>672.00</w:t>
            </w:r>
          </w:p>
        </w:tc>
        <w:tc>
          <w:tcPr>
            <w:tcW w:w="1134" w:type="dxa"/>
            <w:vAlign w:val="center"/>
          </w:tcPr>
          <w:p>
            <w:pPr>
              <w:pStyle w:val="12"/>
            </w:pPr>
            <w:r>
              <w:t>672.00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889.78</w:t>
            </w:r>
          </w:p>
        </w:tc>
        <w:tc>
          <w:tcPr>
            <w:tcW w:w="1134" w:type="dxa"/>
            <w:vAlign w:val="center"/>
          </w:tcPr>
          <w:p>
            <w:pPr>
              <w:pStyle w:val="12"/>
            </w:pPr>
            <w:r>
              <w:t>672.00</w:t>
            </w:r>
          </w:p>
        </w:tc>
        <w:tc>
          <w:tcPr>
            <w:tcW w:w="1134" w:type="dxa"/>
            <w:vAlign w:val="center"/>
          </w:tcPr>
          <w:p>
            <w:pPr>
              <w:pStyle w:val="12"/>
            </w:pPr>
            <w:r>
              <w:t>672.00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522.00</w:t>
            </w:r>
          </w:p>
        </w:tc>
        <w:tc>
          <w:tcPr>
            <w:tcW w:w="1134" w:type="dxa"/>
            <w:vAlign w:val="center"/>
          </w:tcPr>
          <w:p>
            <w:pPr>
              <w:pStyle w:val="12"/>
            </w:pPr>
            <w:r>
              <w:t>522.00</w:t>
            </w:r>
          </w:p>
        </w:tc>
        <w:tc>
          <w:tcPr>
            <w:tcW w:w="1134" w:type="dxa"/>
            <w:vAlign w:val="center"/>
          </w:tcPr>
          <w:p>
            <w:pPr>
              <w:pStyle w:val="12"/>
            </w:pPr>
            <w:r>
              <w:t>522.00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367.78</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127.60</w:t>
            </w:r>
          </w:p>
        </w:tc>
        <w:tc>
          <w:tcPr>
            <w:tcW w:w="1134" w:type="dxa"/>
            <w:vAlign w:val="center"/>
          </w:tcPr>
          <w:p>
            <w:pPr>
              <w:pStyle w:val="12"/>
            </w:pPr>
            <w:r>
              <w:t>127.60</w:t>
            </w:r>
          </w:p>
        </w:tc>
        <w:tc>
          <w:tcPr>
            <w:tcW w:w="1134" w:type="dxa"/>
            <w:vAlign w:val="center"/>
          </w:tcPr>
          <w:p>
            <w:pPr>
              <w:pStyle w:val="12"/>
            </w:pPr>
            <w:r>
              <w:t>127.60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123.40</w:t>
            </w:r>
          </w:p>
        </w:tc>
        <w:tc>
          <w:tcPr>
            <w:tcW w:w="1134" w:type="dxa"/>
            <w:vAlign w:val="center"/>
          </w:tcPr>
          <w:p>
            <w:pPr>
              <w:pStyle w:val="12"/>
            </w:pPr>
            <w:r>
              <w:t>123.40</w:t>
            </w:r>
          </w:p>
        </w:tc>
        <w:tc>
          <w:tcPr>
            <w:tcW w:w="1134" w:type="dxa"/>
            <w:vAlign w:val="center"/>
          </w:tcPr>
          <w:p>
            <w:pPr>
              <w:pStyle w:val="12"/>
            </w:pPr>
            <w:r>
              <w:t>123.40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105.40</w:t>
            </w:r>
          </w:p>
        </w:tc>
        <w:tc>
          <w:tcPr>
            <w:tcW w:w="1134" w:type="dxa"/>
            <w:vAlign w:val="center"/>
          </w:tcPr>
          <w:p>
            <w:pPr>
              <w:pStyle w:val="12"/>
            </w:pPr>
            <w:r>
              <w:t>105.40</w:t>
            </w:r>
          </w:p>
        </w:tc>
        <w:tc>
          <w:tcPr>
            <w:tcW w:w="1134" w:type="dxa"/>
            <w:vAlign w:val="center"/>
          </w:tcPr>
          <w:p>
            <w:pPr>
              <w:pStyle w:val="12"/>
            </w:pPr>
            <w:r>
              <w:t>105.40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2.40</w:t>
            </w:r>
          </w:p>
        </w:tc>
        <w:tc>
          <w:tcPr>
            <w:tcW w:w="1134" w:type="dxa"/>
            <w:vAlign w:val="center"/>
          </w:tcPr>
          <w:p>
            <w:pPr>
              <w:pStyle w:val="12"/>
            </w:pPr>
            <w:r>
              <w:t>2.40</w:t>
            </w:r>
          </w:p>
        </w:tc>
        <w:tc>
          <w:tcPr>
            <w:tcW w:w="1134" w:type="dxa"/>
            <w:vAlign w:val="center"/>
          </w:tcPr>
          <w:p>
            <w:pPr>
              <w:pStyle w:val="12"/>
            </w:pPr>
            <w:r>
              <w:t>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46.50</w:t>
            </w:r>
          </w:p>
        </w:tc>
        <w:tc>
          <w:tcPr>
            <w:tcW w:w="1134" w:type="dxa"/>
            <w:vAlign w:val="center"/>
          </w:tcPr>
          <w:p>
            <w:pPr>
              <w:pStyle w:val="12"/>
            </w:pPr>
            <w:r>
              <w:t>46.50</w:t>
            </w:r>
          </w:p>
        </w:tc>
        <w:tc>
          <w:tcPr>
            <w:tcW w:w="1134" w:type="dxa"/>
            <w:vAlign w:val="center"/>
          </w:tcPr>
          <w:p>
            <w:pPr>
              <w:pStyle w:val="12"/>
            </w:pPr>
            <w:r>
              <w:t>46.50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46.50</w:t>
            </w:r>
          </w:p>
        </w:tc>
        <w:tc>
          <w:tcPr>
            <w:tcW w:w="1134" w:type="dxa"/>
            <w:vAlign w:val="center"/>
          </w:tcPr>
          <w:p>
            <w:pPr>
              <w:pStyle w:val="12"/>
            </w:pPr>
            <w:r>
              <w:t>46.50</w:t>
            </w:r>
          </w:p>
        </w:tc>
        <w:tc>
          <w:tcPr>
            <w:tcW w:w="1134" w:type="dxa"/>
            <w:vAlign w:val="center"/>
          </w:tcPr>
          <w:p>
            <w:pPr>
              <w:pStyle w:val="12"/>
            </w:pPr>
            <w:r>
              <w:t>46.50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46.50</w:t>
            </w:r>
          </w:p>
        </w:tc>
        <w:tc>
          <w:tcPr>
            <w:tcW w:w="1134" w:type="dxa"/>
            <w:vAlign w:val="center"/>
          </w:tcPr>
          <w:p>
            <w:pPr>
              <w:pStyle w:val="12"/>
            </w:pPr>
            <w:r>
              <w:t>46.50</w:t>
            </w:r>
          </w:p>
        </w:tc>
        <w:tc>
          <w:tcPr>
            <w:tcW w:w="1134" w:type="dxa"/>
            <w:vAlign w:val="center"/>
          </w:tcPr>
          <w:p>
            <w:pPr>
              <w:pStyle w:val="12"/>
            </w:pPr>
            <w:r>
              <w:t>46.50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1063.88</w:t>
            </w:r>
          </w:p>
        </w:tc>
        <w:tc>
          <w:tcPr>
            <w:tcW w:w="1361" w:type="dxa"/>
            <w:vAlign w:val="center"/>
          </w:tcPr>
          <w:p>
            <w:pPr>
              <w:pStyle w:val="16"/>
            </w:pPr>
            <w:r>
              <w:t>696.10</w:t>
            </w:r>
          </w:p>
        </w:tc>
        <w:tc>
          <w:tcPr>
            <w:tcW w:w="1361" w:type="dxa"/>
            <w:vAlign w:val="center"/>
          </w:tcPr>
          <w:p>
            <w:pPr>
              <w:pStyle w:val="16"/>
            </w:pPr>
            <w:r>
              <w:t>367.78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889.78</w:t>
            </w:r>
          </w:p>
        </w:tc>
        <w:tc>
          <w:tcPr>
            <w:tcW w:w="1361" w:type="dxa"/>
            <w:vAlign w:val="center"/>
          </w:tcPr>
          <w:p>
            <w:pPr>
              <w:pStyle w:val="12"/>
            </w:pPr>
            <w:r>
              <w:t>522.00</w:t>
            </w:r>
          </w:p>
        </w:tc>
        <w:tc>
          <w:tcPr>
            <w:tcW w:w="1361" w:type="dxa"/>
            <w:vAlign w:val="center"/>
          </w:tcPr>
          <w:p>
            <w:pPr>
              <w:pStyle w:val="12"/>
            </w:pPr>
            <w:r>
              <w:t>367.78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889.78</w:t>
            </w:r>
          </w:p>
        </w:tc>
        <w:tc>
          <w:tcPr>
            <w:tcW w:w="1361" w:type="dxa"/>
            <w:vAlign w:val="center"/>
          </w:tcPr>
          <w:p>
            <w:pPr>
              <w:pStyle w:val="12"/>
            </w:pPr>
            <w:r>
              <w:t>522.00</w:t>
            </w:r>
          </w:p>
        </w:tc>
        <w:tc>
          <w:tcPr>
            <w:tcW w:w="1361" w:type="dxa"/>
            <w:vAlign w:val="center"/>
          </w:tcPr>
          <w:p>
            <w:pPr>
              <w:pStyle w:val="12"/>
            </w:pPr>
            <w:r>
              <w:t>367.78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522.00</w:t>
            </w:r>
          </w:p>
        </w:tc>
        <w:tc>
          <w:tcPr>
            <w:tcW w:w="1361" w:type="dxa"/>
            <w:vAlign w:val="center"/>
          </w:tcPr>
          <w:p>
            <w:pPr>
              <w:pStyle w:val="12"/>
            </w:pPr>
            <w:r>
              <w:t>522.00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367.78</w:t>
            </w:r>
          </w:p>
        </w:tc>
        <w:tc>
          <w:tcPr>
            <w:tcW w:w="1361" w:type="dxa"/>
            <w:vAlign w:val="center"/>
          </w:tcPr>
          <w:p>
            <w:pPr>
              <w:pStyle w:val="12"/>
            </w:pPr>
          </w:p>
        </w:tc>
        <w:tc>
          <w:tcPr>
            <w:tcW w:w="1361" w:type="dxa"/>
            <w:vAlign w:val="center"/>
          </w:tcPr>
          <w:p>
            <w:pPr>
              <w:pStyle w:val="12"/>
            </w:pPr>
            <w:r>
              <w:t>367.78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127.60</w:t>
            </w:r>
          </w:p>
        </w:tc>
        <w:tc>
          <w:tcPr>
            <w:tcW w:w="1361" w:type="dxa"/>
            <w:vAlign w:val="center"/>
          </w:tcPr>
          <w:p>
            <w:pPr>
              <w:pStyle w:val="12"/>
            </w:pPr>
            <w:r>
              <w:t>127.60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123.40</w:t>
            </w:r>
          </w:p>
        </w:tc>
        <w:tc>
          <w:tcPr>
            <w:tcW w:w="1361" w:type="dxa"/>
            <w:vAlign w:val="center"/>
          </w:tcPr>
          <w:p>
            <w:pPr>
              <w:pStyle w:val="12"/>
            </w:pPr>
            <w:r>
              <w:t>123.40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105.40</w:t>
            </w:r>
          </w:p>
        </w:tc>
        <w:tc>
          <w:tcPr>
            <w:tcW w:w="1361" w:type="dxa"/>
            <w:vAlign w:val="center"/>
          </w:tcPr>
          <w:p>
            <w:pPr>
              <w:pStyle w:val="12"/>
            </w:pPr>
            <w:r>
              <w:t>105.40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18.00</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4.20</w:t>
            </w:r>
          </w:p>
        </w:tc>
        <w:tc>
          <w:tcPr>
            <w:tcW w:w="1361" w:type="dxa"/>
            <w:vAlign w:val="center"/>
          </w:tcPr>
          <w:p>
            <w:pPr>
              <w:pStyle w:val="12"/>
            </w:pPr>
            <w:r>
              <w:t>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2.40</w:t>
            </w:r>
          </w:p>
        </w:tc>
        <w:tc>
          <w:tcPr>
            <w:tcW w:w="1361" w:type="dxa"/>
            <w:vAlign w:val="center"/>
          </w:tcPr>
          <w:p>
            <w:pPr>
              <w:pStyle w:val="12"/>
            </w:pPr>
            <w:r>
              <w:t>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1.80</w:t>
            </w: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46.50</w:t>
            </w:r>
          </w:p>
        </w:tc>
        <w:tc>
          <w:tcPr>
            <w:tcW w:w="1361" w:type="dxa"/>
            <w:vAlign w:val="center"/>
          </w:tcPr>
          <w:p>
            <w:pPr>
              <w:pStyle w:val="12"/>
            </w:pPr>
            <w:r>
              <w:t>46.50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46.50</w:t>
            </w:r>
          </w:p>
        </w:tc>
        <w:tc>
          <w:tcPr>
            <w:tcW w:w="1361" w:type="dxa"/>
            <w:vAlign w:val="center"/>
          </w:tcPr>
          <w:p>
            <w:pPr>
              <w:pStyle w:val="12"/>
            </w:pPr>
            <w:r>
              <w:t>46.50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46.50</w:t>
            </w:r>
          </w:p>
        </w:tc>
        <w:tc>
          <w:tcPr>
            <w:tcW w:w="1361" w:type="dxa"/>
            <w:vAlign w:val="center"/>
          </w:tcPr>
          <w:p>
            <w:pPr>
              <w:pStyle w:val="12"/>
            </w:pPr>
            <w:r>
              <w:t>46.50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846.10</w:t>
            </w:r>
          </w:p>
        </w:tc>
        <w:tc>
          <w:tcPr>
            <w:tcW w:w="3402" w:type="dxa"/>
            <w:vAlign w:val="center"/>
          </w:tcPr>
          <w:p>
            <w:pPr>
              <w:pStyle w:val="13"/>
            </w:pPr>
            <w:r>
              <w:t>一、一般公共服务支出</w:t>
            </w:r>
          </w:p>
        </w:tc>
        <w:tc>
          <w:tcPr>
            <w:tcW w:w="1474" w:type="dxa"/>
            <w:vAlign w:val="center"/>
          </w:tcPr>
          <w:p>
            <w:pPr>
              <w:pStyle w:val="12"/>
            </w:pPr>
            <w:r>
              <w:t>889.78</w:t>
            </w:r>
          </w:p>
        </w:tc>
        <w:tc>
          <w:tcPr>
            <w:tcW w:w="1474" w:type="dxa"/>
            <w:vAlign w:val="center"/>
          </w:tcPr>
          <w:p>
            <w:pPr>
              <w:pStyle w:val="12"/>
            </w:pPr>
            <w:r>
              <w:t>889.78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127.60</w:t>
            </w:r>
          </w:p>
        </w:tc>
        <w:tc>
          <w:tcPr>
            <w:tcW w:w="1474" w:type="dxa"/>
            <w:vAlign w:val="center"/>
          </w:tcPr>
          <w:p>
            <w:pPr>
              <w:pStyle w:val="12"/>
            </w:pPr>
            <w:r>
              <w:t>127.60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46.50</w:t>
            </w:r>
          </w:p>
        </w:tc>
        <w:tc>
          <w:tcPr>
            <w:tcW w:w="1474" w:type="dxa"/>
            <w:vAlign w:val="center"/>
          </w:tcPr>
          <w:p>
            <w:pPr>
              <w:pStyle w:val="12"/>
            </w:pPr>
            <w:r>
              <w:t>46.50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846.10</w:t>
            </w:r>
          </w:p>
        </w:tc>
        <w:tc>
          <w:tcPr>
            <w:tcW w:w="3402" w:type="dxa"/>
            <w:vAlign w:val="center"/>
          </w:tcPr>
          <w:p>
            <w:pPr>
              <w:pStyle w:val="15"/>
            </w:pPr>
            <w:r>
              <w:t>本年支出合计</w:t>
            </w:r>
          </w:p>
        </w:tc>
        <w:tc>
          <w:tcPr>
            <w:tcW w:w="1474" w:type="dxa"/>
            <w:vAlign w:val="center"/>
          </w:tcPr>
          <w:p>
            <w:pPr>
              <w:pStyle w:val="16"/>
            </w:pPr>
            <w:r>
              <w:t>1063.88</w:t>
            </w:r>
          </w:p>
        </w:tc>
        <w:tc>
          <w:tcPr>
            <w:tcW w:w="1474" w:type="dxa"/>
            <w:vAlign w:val="center"/>
          </w:tcPr>
          <w:p>
            <w:pPr>
              <w:pStyle w:val="16"/>
            </w:pPr>
            <w:r>
              <w:t>1063.88</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217.78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217.78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1063.88</w:t>
            </w:r>
          </w:p>
        </w:tc>
        <w:tc>
          <w:tcPr>
            <w:tcW w:w="3402" w:type="dxa"/>
            <w:vAlign w:val="center"/>
          </w:tcPr>
          <w:p>
            <w:pPr>
              <w:pStyle w:val="15"/>
            </w:pPr>
            <w:r>
              <w:t>支出总计</w:t>
            </w:r>
          </w:p>
        </w:tc>
        <w:tc>
          <w:tcPr>
            <w:tcW w:w="1474" w:type="dxa"/>
            <w:vAlign w:val="center"/>
          </w:tcPr>
          <w:p>
            <w:pPr>
              <w:pStyle w:val="16"/>
            </w:pPr>
            <w:r>
              <w:t>1063.88</w:t>
            </w:r>
          </w:p>
        </w:tc>
        <w:tc>
          <w:tcPr>
            <w:tcW w:w="1474" w:type="dxa"/>
            <w:vAlign w:val="center"/>
          </w:tcPr>
          <w:p>
            <w:pPr>
              <w:pStyle w:val="16"/>
            </w:pPr>
            <w:r>
              <w:t>1063.88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1063.88</w:t>
            </w:r>
          </w:p>
        </w:tc>
        <w:tc>
          <w:tcPr>
            <w:tcW w:w="2551" w:type="dxa"/>
            <w:vAlign w:val="center"/>
          </w:tcPr>
          <w:p>
            <w:pPr>
              <w:pStyle w:val="16"/>
            </w:pPr>
            <w:r>
              <w:t>696.10</w:t>
            </w:r>
          </w:p>
        </w:tc>
        <w:tc>
          <w:tcPr>
            <w:tcW w:w="2551" w:type="dxa"/>
            <w:vAlign w:val="center"/>
          </w:tcPr>
          <w:p>
            <w:pPr>
              <w:pStyle w:val="16"/>
            </w:pPr>
            <w:r>
              <w:t>367.78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889.78</w:t>
            </w:r>
          </w:p>
        </w:tc>
        <w:tc>
          <w:tcPr>
            <w:tcW w:w="2551" w:type="dxa"/>
            <w:vAlign w:val="center"/>
          </w:tcPr>
          <w:p>
            <w:pPr>
              <w:pStyle w:val="12"/>
            </w:pPr>
            <w:r>
              <w:t>522.00</w:t>
            </w:r>
          </w:p>
        </w:tc>
        <w:tc>
          <w:tcPr>
            <w:tcW w:w="2551" w:type="dxa"/>
            <w:vAlign w:val="center"/>
          </w:tcPr>
          <w:p>
            <w:pPr>
              <w:pStyle w:val="12"/>
            </w:pPr>
            <w:r>
              <w:t>367.78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889.78</w:t>
            </w:r>
          </w:p>
        </w:tc>
        <w:tc>
          <w:tcPr>
            <w:tcW w:w="2551" w:type="dxa"/>
            <w:vAlign w:val="center"/>
          </w:tcPr>
          <w:p>
            <w:pPr>
              <w:pStyle w:val="12"/>
            </w:pPr>
            <w:r>
              <w:t>522.00</w:t>
            </w:r>
          </w:p>
        </w:tc>
        <w:tc>
          <w:tcPr>
            <w:tcW w:w="2551" w:type="dxa"/>
            <w:vAlign w:val="center"/>
          </w:tcPr>
          <w:p>
            <w:pPr>
              <w:pStyle w:val="12"/>
            </w:pPr>
            <w:r>
              <w:t>367.78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522.00</w:t>
            </w:r>
          </w:p>
        </w:tc>
        <w:tc>
          <w:tcPr>
            <w:tcW w:w="2551" w:type="dxa"/>
            <w:vAlign w:val="center"/>
          </w:tcPr>
          <w:p>
            <w:pPr>
              <w:pStyle w:val="12"/>
            </w:pPr>
            <w:r>
              <w:t>522.00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367.78</w:t>
            </w:r>
          </w:p>
        </w:tc>
        <w:tc>
          <w:tcPr>
            <w:tcW w:w="2551" w:type="dxa"/>
            <w:vAlign w:val="center"/>
          </w:tcPr>
          <w:p>
            <w:pPr>
              <w:pStyle w:val="12"/>
            </w:pPr>
          </w:p>
        </w:tc>
        <w:tc>
          <w:tcPr>
            <w:tcW w:w="2551" w:type="dxa"/>
            <w:vAlign w:val="center"/>
          </w:tcPr>
          <w:p>
            <w:pPr>
              <w:pStyle w:val="12"/>
            </w:pPr>
            <w:r>
              <w:t>367.78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127.60</w:t>
            </w:r>
          </w:p>
        </w:tc>
        <w:tc>
          <w:tcPr>
            <w:tcW w:w="2551" w:type="dxa"/>
            <w:vAlign w:val="center"/>
          </w:tcPr>
          <w:p>
            <w:pPr>
              <w:pStyle w:val="12"/>
            </w:pPr>
            <w:r>
              <w:t>127.60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123.40</w:t>
            </w:r>
          </w:p>
        </w:tc>
        <w:tc>
          <w:tcPr>
            <w:tcW w:w="2551" w:type="dxa"/>
            <w:vAlign w:val="center"/>
          </w:tcPr>
          <w:p>
            <w:pPr>
              <w:pStyle w:val="12"/>
            </w:pPr>
            <w:r>
              <w:t>123.40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105.40</w:t>
            </w:r>
          </w:p>
        </w:tc>
        <w:tc>
          <w:tcPr>
            <w:tcW w:w="2551" w:type="dxa"/>
            <w:vAlign w:val="center"/>
          </w:tcPr>
          <w:p>
            <w:pPr>
              <w:pStyle w:val="12"/>
            </w:pPr>
            <w:r>
              <w:t>105.40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1.80</w:t>
            </w:r>
          </w:p>
        </w:tc>
        <w:tc>
          <w:tcPr>
            <w:tcW w:w="2551" w:type="dxa"/>
            <w:vAlign w:val="center"/>
          </w:tcPr>
          <w:p>
            <w:pPr>
              <w:pStyle w:val="12"/>
            </w:pPr>
            <w:r>
              <w:t>1.80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46.50</w:t>
            </w:r>
          </w:p>
        </w:tc>
        <w:tc>
          <w:tcPr>
            <w:tcW w:w="2551" w:type="dxa"/>
            <w:vAlign w:val="center"/>
          </w:tcPr>
          <w:p>
            <w:pPr>
              <w:pStyle w:val="12"/>
            </w:pPr>
            <w:r>
              <w:t>46.50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46.50</w:t>
            </w:r>
          </w:p>
        </w:tc>
        <w:tc>
          <w:tcPr>
            <w:tcW w:w="2551" w:type="dxa"/>
            <w:vAlign w:val="center"/>
          </w:tcPr>
          <w:p>
            <w:pPr>
              <w:pStyle w:val="12"/>
            </w:pPr>
            <w:r>
              <w:t>46.50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46.50</w:t>
            </w:r>
          </w:p>
        </w:tc>
        <w:tc>
          <w:tcPr>
            <w:tcW w:w="2551" w:type="dxa"/>
            <w:vAlign w:val="center"/>
          </w:tcPr>
          <w:p>
            <w:pPr>
              <w:pStyle w:val="12"/>
            </w:pPr>
            <w:r>
              <w:t>46.50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696.10</w:t>
            </w:r>
          </w:p>
        </w:tc>
        <w:tc>
          <w:tcPr>
            <w:tcW w:w="2551" w:type="dxa"/>
            <w:vAlign w:val="center"/>
          </w:tcPr>
          <w:p>
            <w:pPr>
              <w:pStyle w:val="16"/>
            </w:pPr>
            <w:r>
              <w:t>631.10</w:t>
            </w:r>
          </w:p>
        </w:tc>
        <w:tc>
          <w:tcPr>
            <w:tcW w:w="2551" w:type="dxa"/>
            <w:vAlign w:val="center"/>
          </w:tcPr>
          <w:p>
            <w:pPr>
              <w:pStyle w:val="16"/>
            </w:pPr>
            <w:r>
              <w:t>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631.10</w:t>
            </w:r>
          </w:p>
        </w:tc>
        <w:tc>
          <w:tcPr>
            <w:tcW w:w="2551" w:type="dxa"/>
            <w:vAlign w:val="center"/>
          </w:tcPr>
          <w:p>
            <w:pPr>
              <w:pStyle w:val="12"/>
            </w:pPr>
            <w:r>
              <w:t>631.10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230.00</w:t>
            </w:r>
          </w:p>
        </w:tc>
        <w:tc>
          <w:tcPr>
            <w:tcW w:w="2551" w:type="dxa"/>
            <w:vAlign w:val="center"/>
          </w:tcPr>
          <w:p>
            <w:pPr>
              <w:pStyle w:val="12"/>
            </w:pPr>
            <w:r>
              <w:t>230.00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56.00</w:t>
            </w:r>
          </w:p>
        </w:tc>
        <w:tc>
          <w:tcPr>
            <w:tcW w:w="2551" w:type="dxa"/>
            <w:vAlign w:val="center"/>
          </w:tcPr>
          <w:p>
            <w:pPr>
              <w:pStyle w:val="12"/>
            </w:pPr>
            <w:r>
              <w:t>56.00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131.00</w:t>
            </w:r>
          </w:p>
        </w:tc>
        <w:tc>
          <w:tcPr>
            <w:tcW w:w="2551" w:type="dxa"/>
            <w:vAlign w:val="center"/>
          </w:tcPr>
          <w:p>
            <w:pPr>
              <w:pStyle w:val="12"/>
            </w:pPr>
            <w:r>
              <w:t>131.00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105.40</w:t>
            </w:r>
          </w:p>
        </w:tc>
        <w:tc>
          <w:tcPr>
            <w:tcW w:w="2551" w:type="dxa"/>
            <w:vAlign w:val="center"/>
          </w:tcPr>
          <w:p>
            <w:pPr>
              <w:pStyle w:val="12"/>
            </w:pPr>
            <w:r>
              <w:t>105.40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46.50</w:t>
            </w:r>
          </w:p>
        </w:tc>
        <w:tc>
          <w:tcPr>
            <w:tcW w:w="2551" w:type="dxa"/>
            <w:vAlign w:val="center"/>
          </w:tcPr>
          <w:p>
            <w:pPr>
              <w:pStyle w:val="12"/>
            </w:pPr>
            <w:r>
              <w:t>46.50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65.00</w:t>
            </w:r>
          </w:p>
        </w:tc>
        <w:tc>
          <w:tcPr>
            <w:tcW w:w="2551" w:type="dxa"/>
            <w:vAlign w:val="center"/>
          </w:tcPr>
          <w:p>
            <w:pPr>
              <w:pStyle w:val="12"/>
            </w:pPr>
          </w:p>
        </w:tc>
        <w:tc>
          <w:tcPr>
            <w:tcW w:w="2551" w:type="dxa"/>
            <w:vAlign w:val="center"/>
          </w:tcPr>
          <w:p>
            <w:pPr>
              <w:pStyle w:val="12"/>
            </w:pPr>
            <w:r>
              <w:t>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31.00</w:t>
            </w:r>
          </w:p>
        </w:tc>
        <w:tc>
          <w:tcPr>
            <w:tcW w:w="2551" w:type="dxa"/>
            <w:vAlign w:val="center"/>
          </w:tcPr>
          <w:p>
            <w:pPr>
              <w:pStyle w:val="12"/>
            </w:pPr>
          </w:p>
        </w:tc>
        <w:tc>
          <w:tcPr>
            <w:tcW w:w="2551" w:type="dxa"/>
            <w:vAlign w:val="center"/>
          </w:tcPr>
          <w:p>
            <w:pPr>
              <w:pStyle w:val="12"/>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河北无极经济开发区2025年部门预算信息公开情况说明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河北无极经济开发区2025年部门预算信息公开情况说明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按照《中华人民共和国预算法》、《地方预决算公开操作规程》和《关于进一步推进预算公开工作的实施意见》规定，现将河北无极经济开发区2025年部门预算公开如下：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河北无极经济开发区管理委员会本级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按照预算管理有关规定，目前部门预算的编制实行综合预算管理，即全部收入和支出都反映在预算中。河北无极经济开发区机关及所属事业单位的收支包含在部门预算中。</w:t>
      </w:r>
    </w:p>
    <w:p>
      <w:pPr>
        <w:pStyle w:val="19"/>
      </w:pPr>
      <w:r>
        <w:t>1、收入说明</w:t>
      </w:r>
    </w:p>
    <w:p>
      <w:pPr>
        <w:pStyle w:val="19"/>
      </w:pPr>
      <w:r>
        <w:t>反映本部门当年全部收入。2025年预算收入1063.88万元，其中：一般公共预算收入846.10万元，基金预算收入0.00万元，国有资本经营预算收入0.00万元，财政专户核拨收入0.00万元，单位资金收入0.00万元，上年结转结余217.78万元。</w:t>
      </w:r>
    </w:p>
    <w:p>
      <w:pPr>
        <w:pStyle w:val="19"/>
      </w:pPr>
      <w:r>
        <w:t>2、支出说明</w:t>
      </w:r>
    </w:p>
    <w:p>
      <w:pPr>
        <w:pStyle w:val="19"/>
      </w:pPr>
      <w:r>
        <w:t>收支预算总表支出栏、基本支出表、项目支出表按经济分类和支出功能分类科目编制，反映河北无极经济开发区年度部门预算中支出预算的总体情况。2025年支出预算1063.88万元，其中基本支出696.10万元，包括人员经费631.10万元和日常公用经费65.00万元；项目支出367.78万元，主要为开发区绩效150万元，无极经济开发区北区创业大道等道路排水改造工程100万元，里城道乡工业区鸿瑞大道等三条道路新建工程117.7774万元</w:t>
      </w:r>
    </w:p>
    <w:p>
      <w:pPr>
        <w:pStyle w:val="19"/>
      </w:pPr>
      <w:r>
        <w:t>3、比上年增减情况</w:t>
      </w:r>
    </w:p>
    <w:p>
      <w:pPr>
        <w:pStyle w:val="19"/>
      </w:pPr>
      <w:r>
        <w:t>2025年预算收支安排1063.88万元，较2024年预算减少255.43万元，其中：基本支出减少269.21万元，主要为2025年人员减少，人员经费减少253.71万元，日常公用经费减少15.5万元项目支出增加13.78万元，主要为2025年项目增加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2025年，我部门机关运行经费共计安排65.00万元，主要用于日常维修、办公用房水电费、办公用房取暖费、办公用房物业管理费等日常运行支出。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没有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1、加大招商引资力度，加快园区主导产业转型升级步伐，优化发展结构。实现经济指标快速增长。</w:t>
      </w:r>
    </w:p>
    <w:p>
      <w:pPr>
        <w:pStyle w:val="22"/>
      </w:pPr>
      <w:r>
        <w:t>2、加大园区企业综合执法力度，做好环保、安监工作，确保园区环境质量持续好转。</w:t>
      </w:r>
    </w:p>
    <w:p>
      <w:pPr>
        <w:pStyle w:val="22"/>
      </w:pPr>
      <w:r>
        <w:t>3、加大为企业帮办服务力度，提供一站式服务。</w:t>
      </w:r>
    </w:p>
    <w:p>
      <w:pPr>
        <w:pStyle w:val="22"/>
      </w:pPr>
      <w:r>
        <w:t>4、预防减少不稳定因素的发生，有效化解不稳定隐患、群体性事件和突发事件，维护安全工作。</w:t>
      </w:r>
    </w:p>
    <w:p>
      <w:pPr>
        <w:pStyle w:val="22"/>
      </w:pPr>
      <w:r>
        <w:t>5、加强管理，提高开发区承载能力。加强开发区基础设施建设，改善环境，实现统筹发展。</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1、招商引资</w:t>
      </w:r>
    </w:p>
    <w:p>
      <w:pPr>
        <w:pStyle w:val="23"/>
      </w:pPr>
      <w:r>
        <w:t>绩效目标：搞好产业规划，组织做好招商引资工作，做好引进项目的跟踪服务后续工作，加快园区主导产业转型升级步伐，优化产业结构。</w:t>
      </w:r>
    </w:p>
    <w:p>
      <w:pPr>
        <w:pStyle w:val="23"/>
      </w:pPr>
      <w:r>
        <w:t>绩效指标：经济指标增长率。</w:t>
      </w:r>
    </w:p>
    <w:p>
      <w:pPr>
        <w:pStyle w:val="23"/>
      </w:pPr>
      <w:r>
        <w:t>2、综合执法管理</w:t>
      </w:r>
    </w:p>
    <w:p>
      <w:pPr>
        <w:pStyle w:val="23"/>
      </w:pPr>
      <w:r>
        <w:t>绩效目标：采取各项有效措施，进一步加大管控力度，并加强对污染成因的分析研判，科学制定管控措施。严格按照网格化分包责任制，加大对企业的督查力度。</w:t>
      </w:r>
    </w:p>
    <w:p>
      <w:pPr>
        <w:pStyle w:val="23"/>
      </w:pPr>
      <w:r>
        <w:t>绩效指标：工作完成率。</w:t>
      </w:r>
    </w:p>
    <w:p>
      <w:pPr>
        <w:pStyle w:val="23"/>
      </w:pPr>
      <w:r>
        <w:t>3、综合事务管理：</w:t>
      </w:r>
    </w:p>
    <w:p>
      <w:pPr>
        <w:pStyle w:val="23"/>
      </w:pPr>
      <w:r>
        <w:t>绩效目标：满足园区内企业对公共服务的实际需求。</w:t>
      </w:r>
    </w:p>
    <w:p>
      <w:pPr>
        <w:pStyle w:val="23"/>
      </w:pPr>
      <w:r>
        <w:t>绩效指标：企业满意度。</w:t>
      </w:r>
    </w:p>
    <w:p>
      <w:pPr>
        <w:pStyle w:val="23"/>
      </w:pPr>
      <w:r>
        <w:t>4、维护社会稳定</w:t>
      </w:r>
    </w:p>
    <w:p>
      <w:pPr>
        <w:pStyle w:val="23"/>
      </w:pPr>
      <w:r>
        <w:t>绩效目标：提高治安防范整体水平；预防和减少重大矛盾纠纷和群体性事件的发生，提高企业法律意识和法律素养。</w:t>
      </w:r>
    </w:p>
    <w:p>
      <w:pPr>
        <w:pStyle w:val="23"/>
      </w:pPr>
      <w:r>
        <w:t>绩效指标：安全隐患排查率、普法率等。</w:t>
      </w:r>
    </w:p>
    <w:p>
      <w:pPr>
        <w:pStyle w:val="23"/>
      </w:pPr>
      <w:r>
        <w:t>5、开发区建设</w:t>
      </w:r>
    </w:p>
    <w:p>
      <w:pPr>
        <w:pStyle w:val="23"/>
      </w:pPr>
      <w:r>
        <w:t>绩效目标：实现开发区规划多规合一，科学合理布局，借助交通优势打造新型产业聚集区。加快推进全区基础设施工作，确保2025年全区基础设施建设顺利进行。</w:t>
      </w:r>
    </w:p>
    <w:p>
      <w:pPr>
        <w:pStyle w:val="23"/>
      </w:pPr>
      <w:r>
        <w:t>绩效指标：基础设施建设完工率。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建立科学理论体系。2024年切实加强学习型党组织建设，以“不忘初心、牢记使命”主题教育为契机，把深入学习贯彻习近平新时代中国特色社会主义思想和党的十九大精神为根本任务，加强“四个意识”、树立“四个自信”，不断加强党章党规党纪教育，坚持以党工委集中学习和个人自学相结合的方式，严格执行集中学习制度，坚持领导带头学习、带头上党课，推动形成“以上率下”的榜样机制，为学习型党组织建设作出表率。</w:t>
      </w:r>
    </w:p>
    <w:p>
      <w:pPr>
        <w:pStyle w:val="24"/>
      </w:pPr>
      <w:r>
        <w:t>二、完善制度建设。制定完善开发区预算绩效管理制度、资金管理办法、工作保障制度，为全年预算绩效目标的实现奠定制度基础。</w:t>
      </w:r>
    </w:p>
    <w:p>
      <w:pPr>
        <w:pStyle w:val="24"/>
      </w:pPr>
      <w:r>
        <w:t>三、加强支出管理。通过优化支出结构、编细编实预算、加快履行政府采购手续、尽快启动项目、及时支付资金。</w:t>
      </w:r>
    </w:p>
    <w:p>
      <w:pPr>
        <w:pStyle w:val="24"/>
      </w:pPr>
      <w:r>
        <w:t>四、加强绩效运行监控。按要求开展绩效运行监控，发现问题及时采取措施，确保绩效目标如期保质实现。</w:t>
      </w:r>
    </w:p>
    <w:p>
      <w:pPr>
        <w:pStyle w:val="24"/>
      </w:pPr>
      <w:r>
        <w:t>五、做好绩效自评。按要求开展上年度部门预算绩效自评和重点评价工作，对评价中发现的问题及时整改，调整优化支出结构，提高财政资金使用效益。</w:t>
      </w:r>
    </w:p>
    <w:p>
      <w:pPr>
        <w:pStyle w:val="24"/>
      </w:pPr>
      <w:r>
        <w:t>六、规范财务资产管理。完善财务管理制度，严格审批程序，加强固定资产登记、使用和报废处置管理，做到支出合理，物尽其用。</w:t>
      </w:r>
    </w:p>
    <w:p>
      <w:pPr>
        <w:pStyle w:val="24"/>
      </w:pPr>
      <w:r>
        <w:t>七、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八、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1、开发区</w:t>
      </w:r>
      <w:r>
        <w:rPr>
          <w:rFonts w:hint="eastAsia" w:ascii="方正仿宋_GBK" w:hAnsi="方正仿宋_GBK" w:eastAsia="方正仿宋_GBK" w:cs="方正仿宋_GBK"/>
          <w:color w:val="000000"/>
          <w:sz w:val="28"/>
          <w:lang w:eastAsia="zh-CN"/>
        </w:rPr>
        <w:t>绩效</w:t>
      </w:r>
      <w:r>
        <w:rPr>
          <w:rFonts w:ascii="方正仿宋_GBK" w:hAnsi="方正仿宋_GBK" w:eastAsia="方正仿宋_GBK" w:cs="方正仿宋_GBK"/>
          <w:color w:val="000000"/>
          <w:sz w:val="28"/>
        </w:rPr>
        <w:t>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13013025P00017610202H</w:t>
            </w:r>
          </w:p>
        </w:tc>
        <w:tc>
          <w:tcPr>
            <w:tcW w:w="2835" w:type="dxa"/>
            <w:vAlign w:val="center"/>
          </w:tcPr>
          <w:p>
            <w:pPr>
              <w:pStyle w:val="11"/>
            </w:pPr>
            <w:r>
              <w:t>项目名称</w:t>
            </w:r>
          </w:p>
        </w:tc>
        <w:tc>
          <w:tcPr>
            <w:tcW w:w="6095" w:type="dxa"/>
            <w:gridSpan w:val="3"/>
            <w:vAlign w:val="center"/>
          </w:tcPr>
          <w:p>
            <w:pPr>
              <w:pStyle w:val="13"/>
            </w:pPr>
            <w:r>
              <w:t>开发区绩效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开发区绩效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30000000%</w:t>
            </w:r>
          </w:p>
        </w:tc>
        <w:tc>
          <w:tcPr>
            <w:tcW w:w="2835" w:type="dxa"/>
            <w:vAlign w:val="center"/>
          </w:tcPr>
          <w:p>
            <w:pPr>
              <w:pStyle w:val="14"/>
            </w:pPr>
            <w:r>
              <w:t>60000000%</w:t>
            </w:r>
          </w:p>
        </w:tc>
        <w:tc>
          <w:tcPr>
            <w:tcW w:w="2551" w:type="dxa"/>
            <w:vAlign w:val="center"/>
          </w:tcPr>
          <w:p>
            <w:pPr>
              <w:pStyle w:val="14"/>
            </w:pPr>
            <w:r>
              <w:t>120000000%</w:t>
            </w:r>
          </w:p>
        </w:tc>
        <w:tc>
          <w:tcPr>
            <w:tcW w:w="3544" w:type="dxa"/>
            <w:gridSpan w:val="2"/>
            <w:vAlign w:val="center"/>
          </w:tcPr>
          <w:p>
            <w:pPr>
              <w:pStyle w:val="14"/>
            </w:pPr>
            <w:r>
              <w:t>150000000%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1.河北无极经济开发区管理委员会绩效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w:t>
            </w:r>
          </w:p>
        </w:tc>
        <w:tc>
          <w:tcPr>
            <w:tcW w:w="5386" w:type="dxa"/>
            <w:vAlign w:val="center"/>
          </w:tcPr>
          <w:p>
            <w:pPr>
              <w:pStyle w:val="13"/>
            </w:pPr>
            <w:r>
              <w:t>实际完成数</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工作开展及时性</w:t>
            </w:r>
          </w:p>
        </w:tc>
        <w:tc>
          <w:tcPr>
            <w:tcW w:w="5386" w:type="dxa"/>
            <w:vAlign w:val="center"/>
          </w:tcPr>
          <w:p>
            <w:pPr>
              <w:pStyle w:val="13"/>
            </w:pPr>
            <w:r>
              <w:t>工作开展及时性</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成果转化收益</w:t>
            </w:r>
          </w:p>
        </w:tc>
        <w:tc>
          <w:tcPr>
            <w:tcW w:w="5386" w:type="dxa"/>
            <w:vAlign w:val="center"/>
          </w:tcPr>
          <w:p>
            <w:pPr>
              <w:pStyle w:val="13"/>
            </w:pPr>
            <w:r>
              <w:t>成果转化收益</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项目规划准确率</w:t>
            </w:r>
          </w:p>
        </w:tc>
        <w:tc>
          <w:tcPr>
            <w:tcW w:w="5386" w:type="dxa"/>
            <w:vAlign w:val="center"/>
          </w:tcPr>
          <w:p>
            <w:pPr>
              <w:pStyle w:val="13"/>
            </w:pPr>
            <w:r>
              <w:t>项目规划准确率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≥95是否完成</w:t>
            </w:r>
          </w:p>
        </w:tc>
        <w:tc>
          <w:tcPr>
            <w:tcW w:w="1276" w:type="dxa"/>
            <w:vAlign w:val="center"/>
          </w:tcPr>
          <w:p>
            <w:pPr>
              <w:pStyle w:val="13"/>
            </w:pPr>
            <w:r>
              <w:t>政府批示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2、里城道乡工业区鸿瑞大道等三条道路新建工程绩效目标表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13013024P00012610017A</w:t>
            </w:r>
          </w:p>
        </w:tc>
        <w:tc>
          <w:tcPr>
            <w:tcW w:w="2835" w:type="dxa"/>
            <w:vAlign w:val="center"/>
          </w:tcPr>
          <w:p>
            <w:pPr>
              <w:pStyle w:val="11"/>
            </w:pPr>
            <w:r>
              <w:t>项目名称</w:t>
            </w:r>
          </w:p>
        </w:tc>
        <w:tc>
          <w:tcPr>
            <w:tcW w:w="6095" w:type="dxa"/>
            <w:gridSpan w:val="3"/>
            <w:vAlign w:val="center"/>
          </w:tcPr>
          <w:p>
            <w:pPr>
              <w:pStyle w:val="13"/>
            </w:pPr>
            <w:r>
              <w:t>里城道乡工业区鸿瑞大道等三条道路新建工程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117.78</w:t>
            </w:r>
          </w:p>
        </w:tc>
        <w:tc>
          <w:tcPr>
            <w:tcW w:w="2835" w:type="dxa"/>
            <w:vAlign w:val="center"/>
          </w:tcPr>
          <w:p>
            <w:pPr>
              <w:pStyle w:val="11"/>
            </w:pPr>
            <w:r>
              <w:t>其中：财政    资金</w:t>
            </w:r>
          </w:p>
        </w:tc>
        <w:tc>
          <w:tcPr>
            <w:tcW w:w="2551" w:type="dxa"/>
            <w:vAlign w:val="center"/>
          </w:tcPr>
          <w:p>
            <w:pPr>
              <w:pStyle w:val="13"/>
            </w:pPr>
            <w:r>
              <w:t>117.78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里城道乡工业区鸿瑞大道等三条道路新建工程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1.道路建设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改造时间</w:t>
            </w:r>
          </w:p>
        </w:tc>
        <w:tc>
          <w:tcPr>
            <w:tcW w:w="5386" w:type="dxa"/>
            <w:vAlign w:val="center"/>
          </w:tcPr>
          <w:p>
            <w:pPr>
              <w:pStyle w:val="13"/>
            </w:pPr>
            <w:r>
              <w:t>改造时间</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项目符合设计标准</w:t>
            </w:r>
          </w:p>
        </w:tc>
        <w:tc>
          <w:tcPr>
            <w:tcW w:w="5386" w:type="dxa"/>
            <w:vAlign w:val="center"/>
          </w:tcPr>
          <w:p>
            <w:pPr>
              <w:pStyle w:val="13"/>
            </w:pPr>
            <w:r>
              <w:t>项目符合设计标准</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节能环保减排</w:t>
            </w:r>
          </w:p>
        </w:tc>
        <w:tc>
          <w:tcPr>
            <w:tcW w:w="5386" w:type="dxa"/>
            <w:vAlign w:val="center"/>
          </w:tcPr>
          <w:p>
            <w:pPr>
              <w:pStyle w:val="13"/>
            </w:pPr>
            <w:r>
              <w:t>节能环保减排</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持续发展率</w:t>
            </w:r>
          </w:p>
        </w:tc>
        <w:tc>
          <w:tcPr>
            <w:tcW w:w="5386" w:type="dxa"/>
            <w:vAlign w:val="center"/>
          </w:tcPr>
          <w:p>
            <w:pPr>
              <w:pStyle w:val="13"/>
            </w:pPr>
            <w:r>
              <w:t>监狱建设持续发展程度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对服务满意的学生数占抽查学生数的比率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≥95是否完成</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3、无极经济开发区北区创业大道等道路排水改造工程绩效目标表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13013024P00012610018X</w:t>
            </w:r>
          </w:p>
        </w:tc>
        <w:tc>
          <w:tcPr>
            <w:tcW w:w="2835" w:type="dxa"/>
            <w:vAlign w:val="center"/>
          </w:tcPr>
          <w:p>
            <w:pPr>
              <w:pStyle w:val="11"/>
            </w:pPr>
            <w:r>
              <w:t>项目名称</w:t>
            </w:r>
          </w:p>
        </w:tc>
        <w:tc>
          <w:tcPr>
            <w:tcW w:w="6095" w:type="dxa"/>
            <w:gridSpan w:val="3"/>
            <w:vAlign w:val="center"/>
          </w:tcPr>
          <w:p>
            <w:pPr>
              <w:pStyle w:val="13"/>
            </w:pPr>
            <w:r>
              <w:t>无极经济开发区北区创业大道等道路排水改造工程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无极经济开发区北区创业大道等道路排水改造工程款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1.排水改造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项目管理有效</w:t>
            </w:r>
          </w:p>
        </w:tc>
        <w:tc>
          <w:tcPr>
            <w:tcW w:w="5386" w:type="dxa"/>
            <w:vAlign w:val="center"/>
          </w:tcPr>
          <w:p>
            <w:pPr>
              <w:pStyle w:val="13"/>
            </w:pPr>
            <w:r>
              <w:t>项目管理有效</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活动完成时限</w:t>
            </w:r>
          </w:p>
        </w:tc>
        <w:tc>
          <w:tcPr>
            <w:tcW w:w="5386" w:type="dxa"/>
            <w:vAlign w:val="center"/>
          </w:tcPr>
          <w:p>
            <w:pPr>
              <w:pStyle w:val="13"/>
            </w:pPr>
            <w:r>
              <w:t>活动完成时限</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项目符合设计标准</w:t>
            </w:r>
          </w:p>
        </w:tc>
        <w:tc>
          <w:tcPr>
            <w:tcW w:w="5386" w:type="dxa"/>
            <w:vAlign w:val="center"/>
          </w:tcPr>
          <w:p>
            <w:pPr>
              <w:pStyle w:val="13"/>
            </w:pPr>
            <w:r>
              <w:t>项目符合设计标准</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节能环保减排</w:t>
            </w:r>
          </w:p>
        </w:tc>
        <w:tc>
          <w:tcPr>
            <w:tcW w:w="5386" w:type="dxa"/>
            <w:vAlign w:val="center"/>
          </w:tcPr>
          <w:p>
            <w:pPr>
              <w:pStyle w:val="13"/>
            </w:pPr>
            <w:r>
              <w:t>节能环保减排</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社会公众或服务对象的满意程度</w:t>
            </w:r>
          </w:p>
        </w:tc>
        <w:tc>
          <w:tcPr>
            <w:tcW w:w="5386" w:type="dxa"/>
            <w:vAlign w:val="center"/>
          </w:tcPr>
          <w:p>
            <w:pPr>
              <w:pStyle w:val="13"/>
            </w:pPr>
            <w:r>
              <w:t>社会公众或服务对象的满意程度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参评单位满意度</w:t>
            </w:r>
          </w:p>
        </w:tc>
        <w:tc>
          <w:tcPr>
            <w:tcW w:w="5386" w:type="dxa"/>
            <w:vAlign w:val="center"/>
          </w:tcPr>
          <w:p>
            <w:pPr>
              <w:pStyle w:val="13"/>
            </w:pPr>
            <w:r>
              <w:t>参评单位满意度</w:t>
            </w:r>
          </w:p>
        </w:tc>
        <w:tc>
          <w:tcPr>
            <w:tcW w:w="2268" w:type="dxa"/>
            <w:vAlign w:val="center"/>
          </w:tcPr>
          <w:p>
            <w:pPr>
              <w:pStyle w:val="13"/>
            </w:pPr>
            <w:r>
              <w:t>≥95是否完成</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607河北无极经济开发区</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河北无极经济开发区（含所属单位）上年末固定资产金额为227.86万元（详见下表）。本年度拟购置固定资产总额为0.00万元，已按要求列入政府采购预算，详见政府采购预算表。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607河北无极经济开发区</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227.86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392</w:t>
            </w:r>
          </w:p>
        </w:tc>
        <w:tc>
          <w:tcPr>
            <w:tcW w:w="2835" w:type="dxa"/>
            <w:vAlign w:val="center"/>
          </w:tcPr>
          <w:p>
            <w:pPr>
              <w:pStyle w:val="12"/>
            </w:pPr>
            <w:r>
              <w:t>211.54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79D366A"/>
    <w:rsid w:val="7FD61E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2025-02-07T15:57:00Z</dcterms:created>
  <dc:creator>Administrator</dc:creator>
  <cp:lastModifiedBy>浮生</cp:lastModifiedBy>
  <dcterms:modified xsi:type="dcterms:W3CDTF">2025-04-22T07:36:38Z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BD9DB342D0934420BACDCE2DBF871771</vt:lpwstr>
  </property>
</Properties>
</file>