
<file path=[Content_Types].xml><?xml version="1.0" encoding="utf-8"?>
<Types xmlns="http://schemas.openxmlformats.org/package/2006/content-types">
  <Default Extension="xml" ContentType="application/xml"/>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09BD50C">
      <w:pPr>
        <w:spacing w:after="0" w:line="560" w:lineRule="exact"/>
        <w:jc w:val="center"/>
        <w:rPr>
          <w:rFonts w:ascii="仿宋" w:hAnsi="仿宋" w:eastAsia="仿宋" w:cstheme="minorEastAsia"/>
          <w:b/>
          <w:color w:val="auto"/>
          <w:sz w:val="30"/>
          <w:szCs w:val="30"/>
        </w:rPr>
      </w:pPr>
      <w:bookmarkStart w:id="0" w:name="_Toc13206"/>
      <w:r>
        <w:rPr>
          <w:rFonts w:hint="eastAsia" w:ascii="仿宋" w:hAnsi="仿宋" w:eastAsia="仿宋" w:cstheme="minorEastAsia"/>
          <w:b/>
          <w:color w:val="auto"/>
          <w:sz w:val="30"/>
          <w:szCs w:val="30"/>
        </w:rPr>
        <w:t>无极县</w:t>
      </w:r>
      <w:r>
        <w:rPr>
          <w:rFonts w:hint="eastAsia" w:ascii="仿宋" w:hAnsi="仿宋" w:eastAsia="仿宋" w:cstheme="minorEastAsia"/>
          <w:b/>
          <w:color w:val="auto"/>
          <w:sz w:val="30"/>
          <w:szCs w:val="30"/>
          <w:lang w:val="en-US" w:eastAsia="zh-CN"/>
        </w:rPr>
        <w:t>供热专项</w:t>
      </w:r>
      <w:r>
        <w:rPr>
          <w:rFonts w:hint="eastAsia" w:ascii="仿宋" w:hAnsi="仿宋" w:eastAsia="仿宋" w:cstheme="minorEastAsia"/>
          <w:b/>
          <w:color w:val="auto"/>
          <w:sz w:val="30"/>
          <w:szCs w:val="30"/>
        </w:rPr>
        <w:t>规划（2021-2035年）主要内容</w:t>
      </w:r>
    </w:p>
    <w:p w14:paraId="767256F1">
      <w:pPr>
        <w:spacing w:after="0" w:line="560" w:lineRule="exact"/>
        <w:jc w:val="center"/>
        <w:rPr>
          <w:rFonts w:ascii="仿宋" w:hAnsi="仿宋" w:eastAsia="仿宋" w:cstheme="minorEastAsia"/>
          <w:color w:val="auto"/>
          <w:sz w:val="28"/>
          <w:szCs w:val="28"/>
        </w:rPr>
      </w:pPr>
      <w:r>
        <w:rPr>
          <w:rFonts w:hint="eastAsia" w:ascii="仿宋" w:hAnsi="仿宋" w:eastAsia="仿宋" w:cstheme="minorEastAsia"/>
          <w:color w:val="auto"/>
          <w:sz w:val="28"/>
          <w:szCs w:val="28"/>
        </w:rPr>
        <w:t>（批前公示）</w:t>
      </w:r>
    </w:p>
    <w:bookmarkEnd w:id="0"/>
    <w:p w14:paraId="2D83D54C">
      <w:pPr>
        <w:spacing w:after="0" w:line="560" w:lineRule="exact"/>
        <w:ind w:firstLine="560" w:firstLineChars="200"/>
        <w:rPr>
          <w:rFonts w:ascii="仿宋" w:hAnsi="仿宋" w:eastAsia="仿宋" w:cstheme="minorEastAsia"/>
          <w:color w:val="auto"/>
          <w:sz w:val="28"/>
          <w:szCs w:val="28"/>
        </w:rPr>
      </w:pPr>
      <w:r>
        <w:rPr>
          <w:rFonts w:hint="eastAsia" w:ascii="仿宋" w:hAnsi="仿宋" w:eastAsia="仿宋" w:cstheme="minorEastAsia"/>
          <w:color w:val="auto"/>
          <w:sz w:val="28"/>
          <w:szCs w:val="28"/>
        </w:rPr>
        <w:t>为积极应对</w:t>
      </w:r>
      <w:r>
        <w:rPr>
          <w:rFonts w:hint="eastAsia" w:ascii="仿宋" w:hAnsi="仿宋" w:eastAsia="仿宋" w:cstheme="minorEastAsia"/>
          <w:color w:val="auto"/>
          <w:sz w:val="28"/>
          <w:szCs w:val="28"/>
          <w:lang w:val="en-US" w:eastAsia="zh-CN"/>
        </w:rPr>
        <w:t>城镇化快速发展所带来的城市供热问题</w:t>
      </w:r>
      <w:r>
        <w:rPr>
          <w:rFonts w:hint="eastAsia" w:ascii="仿宋" w:hAnsi="仿宋" w:eastAsia="仿宋" w:cstheme="minorEastAsia"/>
          <w:color w:val="auto"/>
          <w:sz w:val="28"/>
          <w:szCs w:val="28"/>
        </w:rPr>
        <w:t>，加快无极县</w:t>
      </w:r>
      <w:r>
        <w:rPr>
          <w:rFonts w:hint="eastAsia" w:ascii="仿宋" w:hAnsi="仿宋" w:eastAsia="仿宋" w:cstheme="minorEastAsia"/>
          <w:color w:val="auto"/>
          <w:sz w:val="28"/>
          <w:szCs w:val="28"/>
          <w:lang w:val="en-US" w:eastAsia="zh-CN"/>
        </w:rPr>
        <w:t>供热工程</w:t>
      </w:r>
      <w:r>
        <w:rPr>
          <w:rFonts w:hint="eastAsia" w:ascii="仿宋" w:hAnsi="仿宋" w:eastAsia="仿宋" w:cstheme="minorEastAsia"/>
          <w:color w:val="auto"/>
          <w:sz w:val="28"/>
          <w:szCs w:val="28"/>
        </w:rPr>
        <w:t>全面协调可持续发展，</w:t>
      </w:r>
      <w:r>
        <w:rPr>
          <w:rFonts w:hint="eastAsia" w:ascii="仿宋" w:hAnsi="仿宋" w:eastAsia="仿宋" w:cstheme="minorEastAsia"/>
          <w:color w:val="auto"/>
          <w:sz w:val="28"/>
          <w:szCs w:val="28"/>
          <w:lang w:val="en-US" w:eastAsia="zh-CN"/>
        </w:rPr>
        <w:t>完善供热</w:t>
      </w:r>
      <w:r>
        <w:rPr>
          <w:rFonts w:hint="eastAsia" w:ascii="仿宋" w:hAnsi="仿宋" w:eastAsia="仿宋" w:cstheme="minorEastAsia"/>
          <w:color w:val="auto"/>
          <w:sz w:val="28"/>
          <w:szCs w:val="28"/>
        </w:rPr>
        <w:t>体系，为</w:t>
      </w:r>
      <w:r>
        <w:rPr>
          <w:rFonts w:hint="eastAsia" w:ascii="仿宋" w:hAnsi="仿宋" w:eastAsia="仿宋" w:cstheme="minorEastAsia"/>
          <w:color w:val="auto"/>
          <w:sz w:val="28"/>
          <w:szCs w:val="28"/>
          <w:lang w:val="en-US" w:eastAsia="zh-CN"/>
        </w:rPr>
        <w:t>居民</w:t>
      </w:r>
      <w:r>
        <w:rPr>
          <w:rFonts w:hint="eastAsia" w:ascii="仿宋" w:hAnsi="仿宋" w:eastAsia="仿宋" w:cstheme="minorEastAsia"/>
          <w:color w:val="auto"/>
          <w:sz w:val="28"/>
          <w:szCs w:val="28"/>
        </w:rPr>
        <w:t>提供安全、方便、舒适、</w:t>
      </w:r>
      <w:r>
        <w:rPr>
          <w:rFonts w:hint="eastAsia" w:ascii="仿宋" w:hAnsi="仿宋" w:eastAsia="仿宋" w:cstheme="minorEastAsia"/>
          <w:color w:val="auto"/>
          <w:sz w:val="28"/>
          <w:szCs w:val="28"/>
          <w:lang w:val="en-US" w:eastAsia="zh-CN"/>
        </w:rPr>
        <w:t>生态、环保</w:t>
      </w:r>
      <w:bookmarkStart w:id="8" w:name="_GoBack"/>
      <w:bookmarkEnd w:id="8"/>
      <w:r>
        <w:rPr>
          <w:rFonts w:hint="eastAsia" w:ascii="仿宋" w:hAnsi="仿宋" w:eastAsia="仿宋" w:cstheme="minorEastAsia"/>
          <w:color w:val="auto"/>
          <w:sz w:val="28"/>
          <w:szCs w:val="28"/>
        </w:rPr>
        <w:t>的</w:t>
      </w:r>
      <w:r>
        <w:rPr>
          <w:rFonts w:hint="eastAsia" w:ascii="仿宋" w:hAnsi="仿宋" w:eastAsia="仿宋" w:cstheme="minorEastAsia"/>
          <w:color w:val="auto"/>
          <w:sz w:val="28"/>
          <w:szCs w:val="28"/>
          <w:lang w:val="en-US" w:eastAsia="zh-CN"/>
        </w:rPr>
        <w:t>供热</w:t>
      </w:r>
      <w:r>
        <w:rPr>
          <w:rFonts w:hint="eastAsia" w:ascii="仿宋" w:hAnsi="仿宋" w:eastAsia="仿宋" w:cstheme="minorEastAsia"/>
          <w:color w:val="auto"/>
          <w:sz w:val="28"/>
          <w:szCs w:val="28"/>
        </w:rPr>
        <w:t>环境，特编制《无极县</w:t>
      </w:r>
      <w:r>
        <w:rPr>
          <w:rFonts w:hint="eastAsia" w:ascii="仿宋" w:hAnsi="仿宋" w:eastAsia="仿宋" w:cstheme="minorEastAsia"/>
          <w:color w:val="auto"/>
          <w:sz w:val="28"/>
          <w:szCs w:val="28"/>
          <w:lang w:val="en-US" w:eastAsia="zh-CN"/>
        </w:rPr>
        <w:t>供热</w:t>
      </w:r>
      <w:r>
        <w:rPr>
          <w:rFonts w:hint="eastAsia" w:ascii="仿宋" w:hAnsi="仿宋" w:eastAsia="仿宋" w:cstheme="minorEastAsia"/>
          <w:color w:val="auto"/>
          <w:sz w:val="28"/>
          <w:szCs w:val="28"/>
        </w:rPr>
        <w:t>专项规划（2021-2035年）》（以下简称“本规划”）。</w:t>
      </w:r>
    </w:p>
    <w:p w14:paraId="0CC7E1E5">
      <w:pPr>
        <w:pStyle w:val="28"/>
        <w:numPr>
          <w:ilvl w:val="0"/>
          <w:numId w:val="3"/>
        </w:numPr>
        <w:jc w:val="left"/>
        <w:rPr>
          <w:rFonts w:ascii="仿宋" w:hAnsi="仿宋" w:eastAsia="仿宋" w:cstheme="minorEastAsia"/>
          <w:color w:val="auto"/>
          <w:szCs w:val="28"/>
        </w:rPr>
      </w:pPr>
      <w:bookmarkStart w:id="1" w:name="_Toc11257"/>
      <w:r>
        <w:rPr>
          <w:rFonts w:hint="eastAsia" w:ascii="仿宋" w:hAnsi="仿宋" w:eastAsia="仿宋" w:cstheme="minorEastAsia"/>
          <w:color w:val="auto"/>
          <w:szCs w:val="28"/>
        </w:rPr>
        <w:t>规划期限</w:t>
      </w:r>
      <w:bookmarkEnd w:id="1"/>
    </w:p>
    <w:p w14:paraId="09FD84D8">
      <w:pPr>
        <w:spacing w:after="0" w:line="560" w:lineRule="exact"/>
        <w:ind w:firstLine="560" w:firstLineChars="200"/>
        <w:rPr>
          <w:rFonts w:ascii="仿宋" w:hAnsi="仿宋" w:eastAsia="仿宋" w:cstheme="minorEastAsia"/>
          <w:color w:val="auto"/>
          <w:sz w:val="28"/>
          <w:szCs w:val="28"/>
        </w:rPr>
      </w:pPr>
      <w:r>
        <w:rPr>
          <w:rFonts w:hint="eastAsia" w:ascii="仿宋" w:hAnsi="仿宋" w:eastAsia="仿宋" w:cstheme="minorEastAsia"/>
          <w:color w:val="auto"/>
          <w:sz w:val="28"/>
          <w:szCs w:val="28"/>
        </w:rPr>
        <w:t>规划期限为2021-2035年，近期为2021-2025年，远期为2026-2035年。</w:t>
      </w:r>
    </w:p>
    <w:p w14:paraId="265107D0">
      <w:pPr>
        <w:pStyle w:val="28"/>
        <w:numPr>
          <w:ilvl w:val="0"/>
          <w:numId w:val="3"/>
        </w:numPr>
        <w:jc w:val="left"/>
        <w:rPr>
          <w:rFonts w:ascii="仿宋" w:hAnsi="仿宋" w:eastAsia="仿宋" w:cstheme="minorEastAsia"/>
          <w:color w:val="auto"/>
          <w:szCs w:val="28"/>
        </w:rPr>
      </w:pPr>
      <w:bookmarkStart w:id="2" w:name="_Toc3212"/>
      <w:r>
        <w:rPr>
          <w:rFonts w:hint="eastAsia" w:ascii="仿宋" w:hAnsi="仿宋" w:eastAsia="仿宋" w:cstheme="minorEastAsia"/>
          <w:color w:val="auto"/>
          <w:szCs w:val="28"/>
        </w:rPr>
        <w:t>规划范围</w:t>
      </w:r>
      <w:bookmarkEnd w:id="2"/>
    </w:p>
    <w:p w14:paraId="1E45B4C4">
      <w:pPr>
        <w:spacing w:after="0" w:line="560" w:lineRule="exact"/>
        <w:ind w:firstLine="560" w:firstLineChars="200"/>
        <w:rPr>
          <w:rFonts w:ascii="仿宋" w:hAnsi="仿宋" w:eastAsia="仿宋" w:cstheme="minorEastAsia"/>
          <w:color w:val="auto"/>
          <w:sz w:val="28"/>
          <w:szCs w:val="28"/>
        </w:rPr>
      </w:pPr>
      <w:r>
        <w:rPr>
          <w:rFonts w:hint="eastAsia" w:ascii="仿宋" w:hAnsi="仿宋" w:eastAsia="仿宋" w:cstheme="minorEastAsia"/>
          <w:color w:val="auto"/>
          <w:sz w:val="28"/>
          <w:szCs w:val="28"/>
        </w:rPr>
        <w:t>本规划分为县域和中心城区两个层次。县域为无极县行政辖区范围，总面积501.98平方千米。中心城区东起省道S234，南沿滹沱河，西至西外环路，北至北外环路，总面积68.31平方千米。</w:t>
      </w:r>
    </w:p>
    <w:p w14:paraId="08D20112">
      <w:pPr>
        <w:pStyle w:val="28"/>
        <w:numPr>
          <w:ilvl w:val="0"/>
          <w:numId w:val="3"/>
        </w:numPr>
        <w:jc w:val="left"/>
        <w:rPr>
          <w:rFonts w:ascii="仿宋" w:hAnsi="仿宋" w:eastAsia="仿宋" w:cstheme="minorEastAsia"/>
          <w:color w:val="auto"/>
          <w:szCs w:val="28"/>
        </w:rPr>
      </w:pPr>
      <w:bookmarkStart w:id="3" w:name="_Toc31115"/>
      <w:r>
        <w:rPr>
          <w:rFonts w:hint="eastAsia" w:ascii="仿宋" w:hAnsi="仿宋" w:eastAsia="仿宋" w:cstheme="minorEastAsia"/>
          <w:color w:val="auto"/>
          <w:szCs w:val="28"/>
        </w:rPr>
        <w:t>规划原则</w:t>
      </w:r>
      <w:bookmarkEnd w:id="3"/>
    </w:p>
    <w:p w14:paraId="7D3F92BA">
      <w:pPr>
        <w:spacing w:after="0" w:line="560" w:lineRule="exact"/>
        <w:ind w:firstLine="560" w:firstLineChars="200"/>
        <w:rPr>
          <w:rFonts w:hint="eastAsia" w:ascii="仿宋" w:hAnsi="仿宋" w:eastAsia="仿宋" w:cstheme="minorEastAsia"/>
          <w:color w:val="auto"/>
          <w:sz w:val="28"/>
          <w:szCs w:val="28"/>
        </w:rPr>
      </w:pPr>
      <w:r>
        <w:rPr>
          <w:rFonts w:hint="eastAsia" w:ascii="仿宋" w:hAnsi="仿宋" w:eastAsia="仿宋" w:cstheme="minorEastAsia"/>
          <w:color w:val="auto"/>
          <w:sz w:val="28"/>
          <w:szCs w:val="28"/>
        </w:rPr>
        <w:t>1、</w:t>
      </w:r>
      <w:r>
        <w:rPr>
          <w:rFonts w:hint="eastAsia" w:ascii="仿宋" w:hAnsi="仿宋" w:eastAsia="仿宋" w:cstheme="minorEastAsia"/>
          <w:color w:val="auto"/>
          <w:sz w:val="28"/>
          <w:szCs w:val="28"/>
          <w:lang w:val="en-US" w:eastAsia="zh-CN"/>
        </w:rPr>
        <w:t>无极县供热专项</w:t>
      </w:r>
      <w:r>
        <w:rPr>
          <w:rFonts w:hint="eastAsia" w:ascii="仿宋" w:hAnsi="仿宋" w:eastAsia="仿宋" w:cstheme="minorEastAsia"/>
          <w:color w:val="auto"/>
          <w:sz w:val="28"/>
          <w:szCs w:val="28"/>
        </w:rPr>
        <w:t>规划是集中供热项目可行性研究的前提，对详细规划起到指导作用</w:t>
      </w:r>
      <w:r>
        <w:rPr>
          <w:rFonts w:hint="eastAsia" w:ascii="仿宋" w:hAnsi="仿宋" w:eastAsia="仿宋" w:cstheme="minorEastAsia"/>
          <w:color w:val="auto"/>
          <w:sz w:val="28"/>
          <w:szCs w:val="28"/>
          <w:lang w:val="en-US" w:eastAsia="zh-CN"/>
        </w:rPr>
        <w:t>。规划应在无极县国土空间总体规划确定的城市框架下，按照城市近远期用地布局，全面规划、合理分期，符合城市发展趋势。</w:t>
      </w:r>
    </w:p>
    <w:p w14:paraId="2EE758FD">
      <w:pPr>
        <w:spacing w:after="0" w:line="560" w:lineRule="exact"/>
        <w:ind w:firstLine="560" w:firstLineChars="200"/>
        <w:rPr>
          <w:rFonts w:hint="eastAsia" w:ascii="仿宋" w:hAnsi="仿宋" w:eastAsia="仿宋" w:cstheme="minorEastAsia"/>
          <w:color w:val="auto"/>
          <w:sz w:val="28"/>
          <w:szCs w:val="28"/>
          <w:lang w:eastAsia="zh-CN"/>
        </w:rPr>
      </w:pPr>
      <w:r>
        <w:rPr>
          <w:rFonts w:hint="eastAsia" w:ascii="仿宋" w:hAnsi="仿宋" w:eastAsia="仿宋" w:cstheme="minorEastAsia"/>
          <w:color w:val="auto"/>
          <w:sz w:val="28"/>
          <w:szCs w:val="28"/>
        </w:rPr>
        <w:t>2、供热设施是城市的基础设施之一。在编制供热规划时，要打破部门、行业与区域的界限；注意近期和远期相结合，大、中、小型相结合；做到总体布局合理，有利于分段分期实施</w:t>
      </w:r>
      <w:r>
        <w:rPr>
          <w:rFonts w:hint="eastAsia" w:ascii="仿宋" w:hAnsi="仿宋" w:eastAsia="仿宋" w:cstheme="minorEastAsia"/>
          <w:color w:val="auto"/>
          <w:sz w:val="28"/>
          <w:szCs w:val="28"/>
          <w:lang w:eastAsia="zh-CN"/>
        </w:rPr>
        <w:t>。</w:t>
      </w:r>
    </w:p>
    <w:p w14:paraId="1CB772CE">
      <w:pPr>
        <w:spacing w:after="0" w:line="560" w:lineRule="exact"/>
        <w:ind w:firstLine="560" w:firstLineChars="200"/>
        <w:rPr>
          <w:rFonts w:ascii="仿宋" w:hAnsi="仿宋" w:eastAsia="仿宋" w:cstheme="minorEastAsia"/>
          <w:color w:val="auto"/>
          <w:sz w:val="28"/>
          <w:szCs w:val="28"/>
        </w:rPr>
      </w:pPr>
      <w:r>
        <w:rPr>
          <w:rFonts w:hint="eastAsia" w:ascii="仿宋" w:hAnsi="仿宋" w:eastAsia="仿宋" w:cstheme="minorEastAsia"/>
          <w:color w:val="auto"/>
          <w:sz w:val="28"/>
          <w:szCs w:val="28"/>
        </w:rPr>
        <w:t>3、</w:t>
      </w:r>
      <w:r>
        <w:rPr>
          <w:rFonts w:hint="eastAsia" w:ascii="仿宋" w:hAnsi="仿宋" w:eastAsia="仿宋" w:cstheme="minorEastAsia"/>
          <w:color w:val="auto"/>
          <w:sz w:val="28"/>
          <w:szCs w:val="28"/>
          <w:lang w:val="en-US" w:eastAsia="zh-CN"/>
        </w:rPr>
        <w:t>供热工程的实施应符合生态文明建设要求，大力发展和高效利用清洁、可再生能源，新增居民建筑采暖要以地热能、空气能、太阳能、天然气等采暖方式为主。</w:t>
      </w:r>
    </w:p>
    <w:p w14:paraId="26E7E0A4">
      <w:pPr>
        <w:spacing w:after="0" w:line="560" w:lineRule="exact"/>
        <w:ind w:firstLine="560" w:firstLineChars="200"/>
        <w:rPr>
          <w:rFonts w:hint="eastAsia" w:ascii="仿宋" w:hAnsi="仿宋" w:eastAsia="仿宋" w:cstheme="minorEastAsia"/>
          <w:color w:val="auto"/>
          <w:sz w:val="28"/>
          <w:szCs w:val="28"/>
          <w:lang w:val="en-US" w:eastAsia="zh-CN"/>
        </w:rPr>
      </w:pPr>
      <w:r>
        <w:rPr>
          <w:rFonts w:hint="eastAsia" w:ascii="仿宋" w:hAnsi="仿宋" w:eastAsia="仿宋" w:cstheme="minorEastAsia"/>
          <w:color w:val="auto"/>
          <w:sz w:val="28"/>
          <w:szCs w:val="28"/>
        </w:rPr>
        <w:t>4、</w:t>
      </w:r>
      <w:r>
        <w:rPr>
          <w:rFonts w:hint="eastAsia" w:ascii="仿宋" w:hAnsi="仿宋" w:eastAsia="仿宋" w:cstheme="minorEastAsia"/>
          <w:color w:val="auto"/>
          <w:sz w:val="28"/>
          <w:szCs w:val="28"/>
          <w:lang w:val="en-US" w:eastAsia="zh-CN"/>
        </w:rPr>
        <w:t>积极推进智慧供热，集供热生产输出、供热信息调控、管网监控、管网水力分析、室温采集于一体的现代供热一体化综合解决方案。</w:t>
      </w:r>
    </w:p>
    <w:p w14:paraId="594BF11A">
      <w:pPr>
        <w:pStyle w:val="23"/>
        <w:rPr>
          <w:rFonts w:hint="eastAsia" w:ascii="仿宋" w:hAnsi="仿宋" w:eastAsia="仿宋" w:cstheme="minorEastAsia"/>
          <w:color w:val="auto"/>
          <w:sz w:val="28"/>
          <w:szCs w:val="28"/>
          <w:lang w:val="en-US" w:eastAsia="zh-CN"/>
        </w:rPr>
      </w:pPr>
      <w:r>
        <w:rPr>
          <w:rFonts w:hint="eastAsia" w:ascii="仿宋" w:hAnsi="仿宋" w:eastAsia="仿宋" w:cstheme="minorEastAsia"/>
          <w:color w:val="auto"/>
          <w:sz w:val="28"/>
          <w:szCs w:val="28"/>
          <w:lang w:val="en-US" w:eastAsia="zh-CN"/>
        </w:rPr>
        <w:t>5、供热专项规划应考虑无极县城区经济条件、建筑形式、供热方式、能源分布的实际状况，因地制宜，合理配置供热资源，优化供热结构。</w:t>
      </w:r>
    </w:p>
    <w:p w14:paraId="6F2BF984">
      <w:pPr>
        <w:pStyle w:val="23"/>
        <w:rPr>
          <w:rFonts w:hint="default" w:ascii="仿宋" w:hAnsi="仿宋" w:eastAsia="仿宋" w:cstheme="minorEastAsia"/>
          <w:color w:val="auto"/>
          <w:sz w:val="28"/>
          <w:szCs w:val="28"/>
          <w:lang w:val="en-US" w:eastAsia="zh-CN"/>
        </w:rPr>
      </w:pPr>
      <w:r>
        <w:rPr>
          <w:rFonts w:hint="eastAsia" w:ascii="仿宋" w:hAnsi="仿宋" w:eastAsia="仿宋" w:cstheme="minorEastAsia"/>
          <w:color w:val="auto"/>
          <w:sz w:val="28"/>
          <w:szCs w:val="28"/>
          <w:lang w:val="en-US" w:eastAsia="zh-CN"/>
        </w:rPr>
        <w:t>6、高度重视供热安全，在热源布局、供热输配、能源供应和应急响应上构建完善的供热安全保障体系。</w:t>
      </w:r>
    </w:p>
    <w:p w14:paraId="5EC7404E">
      <w:pPr>
        <w:pStyle w:val="28"/>
        <w:numPr>
          <w:ilvl w:val="0"/>
          <w:numId w:val="3"/>
        </w:numPr>
        <w:jc w:val="left"/>
        <w:rPr>
          <w:rFonts w:ascii="仿宋" w:hAnsi="仿宋" w:eastAsia="仿宋" w:cstheme="minorEastAsia"/>
          <w:color w:val="auto"/>
          <w:szCs w:val="28"/>
        </w:rPr>
      </w:pPr>
      <w:bookmarkStart w:id="4" w:name="_Toc108"/>
      <w:r>
        <w:rPr>
          <w:rFonts w:hint="eastAsia" w:ascii="仿宋" w:hAnsi="仿宋" w:eastAsia="仿宋" w:cstheme="minorEastAsia"/>
          <w:color w:val="auto"/>
          <w:szCs w:val="28"/>
        </w:rPr>
        <w:t>规划目标</w:t>
      </w:r>
      <w:bookmarkEnd w:id="4"/>
    </w:p>
    <w:p w14:paraId="0928FC0E">
      <w:pPr>
        <w:spacing w:after="0" w:line="560" w:lineRule="exact"/>
        <w:ind w:firstLine="560" w:firstLineChars="200"/>
        <w:rPr>
          <w:rFonts w:hint="eastAsia" w:ascii="仿宋" w:hAnsi="仿宋" w:eastAsia="仿宋" w:cstheme="minorEastAsia"/>
          <w:color w:val="auto"/>
          <w:sz w:val="28"/>
          <w:szCs w:val="28"/>
        </w:rPr>
      </w:pPr>
      <w:r>
        <w:rPr>
          <w:rFonts w:hint="eastAsia" w:ascii="仿宋" w:hAnsi="仿宋" w:eastAsia="仿宋" w:cstheme="minorEastAsia"/>
          <w:color w:val="auto"/>
          <w:sz w:val="28"/>
          <w:szCs w:val="28"/>
        </w:rPr>
        <w:t>规划实施后，新建居住、公建</w:t>
      </w:r>
      <w:r>
        <w:rPr>
          <w:rFonts w:hint="eastAsia" w:ascii="仿宋" w:hAnsi="仿宋" w:eastAsia="仿宋" w:cstheme="minorEastAsia"/>
          <w:color w:val="auto"/>
          <w:sz w:val="28"/>
          <w:szCs w:val="28"/>
          <w:lang w:val="en-US" w:eastAsia="zh-CN"/>
        </w:rPr>
        <w:t>用户</w:t>
      </w:r>
      <w:r>
        <w:rPr>
          <w:rFonts w:hint="eastAsia" w:ascii="仿宋" w:hAnsi="仿宋" w:eastAsia="仿宋" w:cstheme="minorEastAsia"/>
          <w:color w:val="auto"/>
          <w:sz w:val="28"/>
          <w:szCs w:val="28"/>
        </w:rPr>
        <w:t>全部</w:t>
      </w:r>
      <w:r>
        <w:rPr>
          <w:rFonts w:hint="eastAsia" w:ascii="仿宋" w:hAnsi="仿宋" w:eastAsia="仿宋" w:cstheme="minorEastAsia"/>
          <w:color w:val="auto"/>
          <w:sz w:val="28"/>
          <w:szCs w:val="28"/>
          <w:lang w:val="en-US" w:eastAsia="zh-CN"/>
        </w:rPr>
        <w:t>实现供热覆盖</w:t>
      </w:r>
      <w:r>
        <w:rPr>
          <w:rFonts w:hint="eastAsia" w:ascii="仿宋" w:hAnsi="仿宋" w:eastAsia="仿宋" w:cstheme="minorEastAsia"/>
          <w:color w:val="auto"/>
          <w:sz w:val="28"/>
          <w:szCs w:val="28"/>
        </w:rPr>
        <w:t>。</w:t>
      </w:r>
    </w:p>
    <w:p w14:paraId="54FAACB5">
      <w:pPr>
        <w:spacing w:after="0" w:line="560" w:lineRule="exact"/>
        <w:ind w:firstLine="560" w:firstLineChars="200"/>
        <w:rPr>
          <w:rFonts w:hint="eastAsia" w:ascii="仿宋" w:hAnsi="仿宋" w:eastAsia="仿宋" w:cstheme="minorEastAsia"/>
          <w:color w:val="auto"/>
          <w:sz w:val="28"/>
          <w:szCs w:val="28"/>
          <w:lang w:eastAsia="zh-CN"/>
        </w:rPr>
      </w:pPr>
      <w:r>
        <w:rPr>
          <w:rFonts w:hint="eastAsia" w:ascii="仿宋" w:hAnsi="仿宋" w:eastAsia="仿宋" w:cstheme="minorEastAsia"/>
          <w:color w:val="auto"/>
          <w:sz w:val="28"/>
          <w:szCs w:val="28"/>
        </w:rPr>
        <w:t>规划近期集中供热</w:t>
      </w:r>
      <w:r>
        <w:rPr>
          <w:rFonts w:hint="eastAsia" w:ascii="仿宋" w:hAnsi="仿宋" w:eastAsia="仿宋" w:cstheme="minorEastAsia"/>
          <w:color w:val="auto"/>
          <w:sz w:val="28"/>
          <w:szCs w:val="28"/>
          <w:lang w:eastAsia="zh-CN"/>
        </w:rPr>
        <w:t>和清洁能源供热</w:t>
      </w:r>
      <w:r>
        <w:rPr>
          <w:rFonts w:hint="eastAsia" w:ascii="仿宋" w:hAnsi="仿宋" w:eastAsia="仿宋" w:cstheme="minorEastAsia"/>
          <w:color w:val="auto"/>
          <w:sz w:val="28"/>
          <w:szCs w:val="28"/>
        </w:rPr>
        <w:t>率</w:t>
      </w:r>
      <w:r>
        <w:rPr>
          <w:rFonts w:hint="eastAsia" w:ascii="仿宋" w:hAnsi="仿宋" w:eastAsia="仿宋" w:cstheme="minorEastAsia"/>
          <w:color w:val="auto"/>
          <w:sz w:val="28"/>
          <w:szCs w:val="28"/>
          <w:lang w:eastAsia="zh-CN"/>
        </w:rPr>
        <w:t>达到</w:t>
      </w:r>
      <w:r>
        <w:rPr>
          <w:rFonts w:hint="eastAsia" w:ascii="仿宋" w:hAnsi="仿宋" w:eastAsia="仿宋" w:cstheme="minorEastAsia"/>
          <w:color w:val="auto"/>
          <w:sz w:val="28"/>
          <w:szCs w:val="28"/>
          <w:lang w:val="en-US" w:eastAsia="zh-CN"/>
        </w:rPr>
        <w:t>95</w:t>
      </w:r>
      <w:r>
        <w:rPr>
          <w:rFonts w:hint="eastAsia" w:ascii="仿宋" w:hAnsi="仿宋" w:eastAsia="仿宋" w:cstheme="minorEastAsia"/>
          <w:color w:val="auto"/>
          <w:sz w:val="28"/>
          <w:szCs w:val="28"/>
        </w:rPr>
        <w:t>%</w:t>
      </w:r>
      <w:r>
        <w:rPr>
          <w:rFonts w:hint="eastAsia" w:ascii="仿宋" w:hAnsi="仿宋" w:eastAsia="仿宋" w:cstheme="minorEastAsia"/>
          <w:color w:val="auto"/>
          <w:sz w:val="28"/>
          <w:szCs w:val="28"/>
          <w:lang w:eastAsia="zh-CN"/>
        </w:rPr>
        <w:t>以上，考虑城区现状供热</w:t>
      </w:r>
      <w:r>
        <w:rPr>
          <w:rFonts w:hint="eastAsia" w:ascii="仿宋" w:hAnsi="仿宋" w:eastAsia="仿宋" w:cstheme="minorEastAsia"/>
          <w:color w:val="auto"/>
          <w:sz w:val="28"/>
          <w:szCs w:val="28"/>
          <w:lang w:val="en-US" w:eastAsia="zh-CN"/>
        </w:rPr>
        <w:t>情</w:t>
      </w:r>
      <w:r>
        <w:rPr>
          <w:rFonts w:hint="eastAsia" w:ascii="仿宋" w:hAnsi="仿宋" w:eastAsia="仿宋" w:cstheme="minorEastAsia"/>
          <w:color w:val="auto"/>
          <w:sz w:val="28"/>
          <w:szCs w:val="28"/>
          <w:lang w:eastAsia="zh-CN"/>
        </w:rPr>
        <w:t>况以及供热建设计划，集中供热部分按</w:t>
      </w:r>
      <w:r>
        <w:rPr>
          <w:rFonts w:hint="eastAsia" w:ascii="仿宋" w:hAnsi="仿宋" w:eastAsia="仿宋" w:cstheme="minorEastAsia"/>
          <w:color w:val="auto"/>
          <w:sz w:val="28"/>
          <w:szCs w:val="28"/>
          <w:lang w:val="en-US" w:eastAsia="zh-CN"/>
        </w:rPr>
        <w:t>60%计，经济开发区、乡镇和村庄近期</w:t>
      </w:r>
      <w:r>
        <w:rPr>
          <w:rFonts w:hint="eastAsia" w:ascii="仿宋" w:hAnsi="仿宋" w:eastAsia="仿宋" w:cstheme="minorEastAsia"/>
          <w:color w:val="auto"/>
          <w:sz w:val="28"/>
          <w:szCs w:val="28"/>
          <w:lang w:eastAsia="zh-CN"/>
        </w:rPr>
        <w:t>集中供热和清洁能源供热</w:t>
      </w:r>
      <w:r>
        <w:rPr>
          <w:rFonts w:hint="eastAsia" w:ascii="仿宋" w:hAnsi="仿宋" w:eastAsia="仿宋" w:cstheme="minorEastAsia"/>
          <w:color w:val="auto"/>
          <w:sz w:val="28"/>
          <w:szCs w:val="28"/>
        </w:rPr>
        <w:t>率</w:t>
      </w:r>
      <w:r>
        <w:rPr>
          <w:rFonts w:hint="eastAsia" w:ascii="仿宋" w:hAnsi="仿宋" w:eastAsia="仿宋" w:cstheme="minorEastAsia"/>
          <w:color w:val="auto"/>
          <w:sz w:val="28"/>
          <w:szCs w:val="28"/>
          <w:lang w:eastAsia="zh-CN"/>
        </w:rPr>
        <w:t>达到</w:t>
      </w:r>
      <w:r>
        <w:rPr>
          <w:rFonts w:hint="eastAsia" w:ascii="仿宋" w:hAnsi="仿宋" w:eastAsia="仿宋" w:cstheme="minorEastAsia"/>
          <w:color w:val="auto"/>
          <w:sz w:val="28"/>
          <w:szCs w:val="28"/>
          <w:lang w:val="en-US" w:eastAsia="zh-CN"/>
        </w:rPr>
        <w:t>95</w:t>
      </w:r>
      <w:r>
        <w:rPr>
          <w:rFonts w:hint="eastAsia" w:ascii="仿宋" w:hAnsi="仿宋" w:eastAsia="仿宋" w:cstheme="minorEastAsia"/>
          <w:color w:val="auto"/>
          <w:sz w:val="28"/>
          <w:szCs w:val="28"/>
        </w:rPr>
        <w:t>%</w:t>
      </w:r>
      <w:r>
        <w:rPr>
          <w:rFonts w:hint="eastAsia" w:ascii="仿宋" w:hAnsi="仿宋" w:eastAsia="仿宋" w:cstheme="minorEastAsia"/>
          <w:color w:val="auto"/>
          <w:sz w:val="28"/>
          <w:szCs w:val="28"/>
          <w:lang w:eastAsia="zh-CN"/>
        </w:rPr>
        <w:t>。</w:t>
      </w:r>
    </w:p>
    <w:p w14:paraId="7C4A1A77">
      <w:pPr>
        <w:spacing w:after="0" w:line="560" w:lineRule="exact"/>
        <w:ind w:firstLine="560" w:firstLineChars="200"/>
        <w:rPr>
          <w:rFonts w:hint="eastAsia" w:ascii="仿宋" w:hAnsi="仿宋" w:eastAsia="仿宋" w:cstheme="minorEastAsia"/>
          <w:color w:val="auto"/>
          <w:sz w:val="28"/>
          <w:szCs w:val="28"/>
        </w:rPr>
      </w:pPr>
      <w:r>
        <w:rPr>
          <w:rFonts w:hint="eastAsia" w:ascii="仿宋" w:hAnsi="仿宋" w:eastAsia="仿宋" w:cstheme="minorEastAsia"/>
          <w:color w:val="auto"/>
          <w:sz w:val="28"/>
          <w:szCs w:val="28"/>
        </w:rPr>
        <w:t>远期</w:t>
      </w:r>
      <w:r>
        <w:rPr>
          <w:rFonts w:hint="eastAsia" w:ascii="仿宋" w:hAnsi="仿宋" w:eastAsia="仿宋" w:cstheme="minorEastAsia"/>
          <w:color w:val="auto"/>
          <w:sz w:val="28"/>
          <w:szCs w:val="28"/>
          <w:lang w:eastAsia="zh-CN"/>
        </w:rPr>
        <w:t>集中供热和清洁能源供热</w:t>
      </w:r>
      <w:r>
        <w:rPr>
          <w:rFonts w:hint="eastAsia" w:ascii="仿宋" w:hAnsi="仿宋" w:eastAsia="仿宋" w:cstheme="minorEastAsia"/>
          <w:color w:val="auto"/>
          <w:sz w:val="28"/>
          <w:szCs w:val="28"/>
        </w:rPr>
        <w:t>率</w:t>
      </w:r>
      <w:r>
        <w:rPr>
          <w:rFonts w:hint="eastAsia" w:ascii="仿宋" w:hAnsi="仿宋" w:eastAsia="仿宋" w:cstheme="minorEastAsia"/>
          <w:color w:val="auto"/>
          <w:sz w:val="28"/>
          <w:szCs w:val="28"/>
          <w:lang w:eastAsia="zh-CN"/>
        </w:rPr>
        <w:t>达到</w:t>
      </w:r>
      <w:r>
        <w:rPr>
          <w:rFonts w:hint="eastAsia" w:ascii="仿宋" w:hAnsi="仿宋" w:eastAsia="仿宋" w:cstheme="minorEastAsia"/>
          <w:color w:val="auto"/>
          <w:sz w:val="28"/>
          <w:szCs w:val="28"/>
          <w:lang w:val="en-US" w:eastAsia="zh-CN"/>
        </w:rPr>
        <w:t>100</w:t>
      </w:r>
      <w:r>
        <w:rPr>
          <w:rFonts w:hint="eastAsia" w:ascii="仿宋" w:hAnsi="仿宋" w:eastAsia="仿宋" w:cstheme="minorEastAsia"/>
          <w:color w:val="auto"/>
          <w:sz w:val="28"/>
          <w:szCs w:val="28"/>
        </w:rPr>
        <w:t>%，</w:t>
      </w:r>
      <w:r>
        <w:rPr>
          <w:rFonts w:hint="eastAsia" w:ascii="仿宋" w:hAnsi="仿宋" w:eastAsia="仿宋" w:cstheme="minorEastAsia"/>
          <w:color w:val="auto"/>
          <w:sz w:val="28"/>
          <w:szCs w:val="28"/>
          <w:lang w:eastAsia="zh-CN"/>
        </w:rPr>
        <w:t>集中供热部分按</w:t>
      </w:r>
      <w:r>
        <w:rPr>
          <w:rFonts w:hint="eastAsia" w:ascii="仿宋" w:hAnsi="仿宋" w:eastAsia="仿宋" w:cstheme="minorEastAsia"/>
          <w:color w:val="auto"/>
          <w:sz w:val="28"/>
          <w:szCs w:val="28"/>
          <w:lang w:val="en-US" w:eastAsia="zh-CN"/>
        </w:rPr>
        <w:t>80%计，经济开发区、乡镇和村庄远期</w:t>
      </w:r>
      <w:r>
        <w:rPr>
          <w:rFonts w:hint="eastAsia" w:ascii="仿宋" w:hAnsi="仿宋" w:eastAsia="仿宋" w:cstheme="minorEastAsia"/>
          <w:color w:val="auto"/>
          <w:sz w:val="28"/>
          <w:szCs w:val="28"/>
          <w:lang w:eastAsia="zh-CN"/>
        </w:rPr>
        <w:t>集中供热和清洁能源供热</w:t>
      </w:r>
      <w:r>
        <w:rPr>
          <w:rFonts w:hint="eastAsia" w:ascii="仿宋" w:hAnsi="仿宋" w:eastAsia="仿宋" w:cstheme="minorEastAsia"/>
          <w:color w:val="auto"/>
          <w:sz w:val="28"/>
          <w:szCs w:val="28"/>
        </w:rPr>
        <w:t>率</w:t>
      </w:r>
      <w:r>
        <w:rPr>
          <w:rFonts w:hint="eastAsia" w:ascii="仿宋" w:hAnsi="仿宋" w:eastAsia="仿宋" w:cstheme="minorEastAsia"/>
          <w:color w:val="auto"/>
          <w:sz w:val="28"/>
          <w:szCs w:val="28"/>
          <w:lang w:eastAsia="zh-CN"/>
        </w:rPr>
        <w:t>达到</w:t>
      </w:r>
      <w:r>
        <w:rPr>
          <w:rFonts w:hint="eastAsia" w:ascii="仿宋" w:hAnsi="仿宋" w:eastAsia="仿宋" w:cstheme="minorEastAsia"/>
          <w:color w:val="auto"/>
          <w:sz w:val="28"/>
          <w:szCs w:val="28"/>
          <w:lang w:val="en-US" w:eastAsia="zh-CN"/>
        </w:rPr>
        <w:t>100</w:t>
      </w:r>
      <w:r>
        <w:rPr>
          <w:rFonts w:hint="eastAsia" w:ascii="仿宋" w:hAnsi="仿宋" w:eastAsia="仿宋" w:cstheme="minorEastAsia"/>
          <w:color w:val="auto"/>
          <w:sz w:val="28"/>
          <w:szCs w:val="28"/>
        </w:rPr>
        <w:t>%。</w:t>
      </w:r>
    </w:p>
    <w:p w14:paraId="0C440C67">
      <w:pPr>
        <w:pStyle w:val="28"/>
        <w:numPr>
          <w:ilvl w:val="0"/>
          <w:numId w:val="3"/>
        </w:numPr>
        <w:jc w:val="left"/>
        <w:rPr>
          <w:rFonts w:ascii="仿宋" w:hAnsi="仿宋" w:eastAsia="仿宋" w:cstheme="minorEastAsia"/>
          <w:color w:val="auto"/>
          <w:szCs w:val="28"/>
        </w:rPr>
      </w:pPr>
      <w:r>
        <w:rPr>
          <w:rFonts w:hint="eastAsia" w:ascii="仿宋" w:hAnsi="仿宋" w:eastAsia="仿宋" w:cstheme="minorEastAsia"/>
          <w:color w:val="auto"/>
          <w:szCs w:val="28"/>
          <w:lang w:val="en-US" w:eastAsia="zh-CN"/>
        </w:rPr>
        <w:t>热负荷预测</w:t>
      </w:r>
    </w:p>
    <w:p w14:paraId="1D73C131">
      <w:pPr>
        <w:spacing w:after="0" w:line="560" w:lineRule="exact"/>
        <w:ind w:firstLine="560" w:firstLineChars="200"/>
        <w:rPr>
          <w:rFonts w:hint="eastAsia" w:ascii="仿宋" w:hAnsi="仿宋" w:eastAsia="仿宋" w:cstheme="minorEastAsia"/>
          <w:color w:val="auto"/>
          <w:sz w:val="28"/>
          <w:szCs w:val="28"/>
        </w:rPr>
      </w:pPr>
      <w:r>
        <w:rPr>
          <w:rFonts w:hint="eastAsia" w:ascii="仿宋" w:hAnsi="仿宋" w:eastAsia="仿宋" w:cstheme="minorEastAsia"/>
          <w:color w:val="auto"/>
          <w:sz w:val="28"/>
          <w:szCs w:val="28"/>
        </w:rPr>
        <w:t>规划将</w:t>
      </w:r>
      <w:r>
        <w:rPr>
          <w:rFonts w:hint="eastAsia" w:ascii="仿宋" w:hAnsi="仿宋" w:eastAsia="仿宋" w:cstheme="minorEastAsia"/>
          <w:color w:val="auto"/>
          <w:sz w:val="28"/>
          <w:szCs w:val="28"/>
          <w:lang w:val="en-US" w:eastAsia="zh-CN"/>
        </w:rPr>
        <w:t>中心</w:t>
      </w:r>
      <w:r>
        <w:rPr>
          <w:rFonts w:hint="eastAsia" w:ascii="仿宋" w:hAnsi="仿宋" w:eastAsia="仿宋" w:cstheme="minorEastAsia"/>
          <w:color w:val="auto"/>
          <w:sz w:val="28"/>
          <w:szCs w:val="28"/>
        </w:rPr>
        <w:t>城区划分为4个供热分区，各分区的规划建筑面积根据无极县国土空间规划确定的用地性质和容积率进行测算。</w:t>
      </w:r>
    </w:p>
    <w:p w14:paraId="0FCE7738">
      <w:pPr>
        <w:rPr>
          <w:rFonts w:hint="eastAsia" w:ascii="仿宋" w:hAnsi="仿宋" w:eastAsia="仿宋" w:cstheme="minorEastAsia"/>
          <w:color w:val="auto"/>
          <w:sz w:val="28"/>
          <w:szCs w:val="28"/>
        </w:rPr>
      </w:pPr>
      <w:r>
        <w:rPr>
          <w:rFonts w:hint="eastAsia" w:ascii="仿宋" w:hAnsi="仿宋" w:eastAsia="仿宋" w:cstheme="minorEastAsia"/>
          <w:color w:val="auto"/>
          <w:sz w:val="28"/>
          <w:szCs w:val="28"/>
        </w:rPr>
        <w:br w:type="page"/>
      </w:r>
    </w:p>
    <w:p w14:paraId="2126BB89">
      <w:pPr>
        <w:spacing w:after="0" w:line="560" w:lineRule="exact"/>
        <w:ind w:firstLine="560" w:firstLineChars="200"/>
        <w:rPr>
          <w:rFonts w:hint="eastAsia" w:ascii="仿宋" w:hAnsi="仿宋" w:eastAsia="仿宋" w:cstheme="minorEastAsia"/>
          <w:color w:val="auto"/>
          <w:sz w:val="28"/>
          <w:szCs w:val="28"/>
        </w:rPr>
      </w:pPr>
      <w:r>
        <w:rPr>
          <w:rFonts w:hint="eastAsia" w:ascii="仿宋" w:hAnsi="仿宋" w:eastAsia="仿宋" w:cstheme="minorEastAsia"/>
          <w:color w:val="auto"/>
          <w:sz w:val="28"/>
          <w:szCs w:val="28"/>
        </w:rPr>
        <w:t>表</w:t>
      </w:r>
      <w:r>
        <w:rPr>
          <w:rFonts w:hint="eastAsia" w:ascii="仿宋" w:hAnsi="仿宋" w:eastAsia="仿宋" w:cstheme="minorEastAsia"/>
          <w:color w:val="auto"/>
          <w:sz w:val="28"/>
          <w:szCs w:val="28"/>
          <w:lang w:val="en-US" w:eastAsia="zh-CN"/>
        </w:rPr>
        <w:t>1</w:t>
      </w:r>
      <w:r>
        <w:rPr>
          <w:rFonts w:hint="eastAsia" w:ascii="仿宋" w:hAnsi="仿宋" w:eastAsia="仿宋" w:cstheme="minorEastAsia"/>
          <w:color w:val="auto"/>
          <w:sz w:val="28"/>
          <w:szCs w:val="28"/>
        </w:rPr>
        <w:t xml:space="preserve"> </w:t>
      </w:r>
      <w:r>
        <w:rPr>
          <w:rFonts w:hint="eastAsia" w:ascii="仿宋" w:hAnsi="仿宋" w:eastAsia="仿宋" w:cstheme="minorEastAsia"/>
          <w:color w:val="auto"/>
          <w:sz w:val="28"/>
          <w:szCs w:val="28"/>
          <w:lang w:val="en-US" w:eastAsia="zh-CN"/>
        </w:rPr>
        <w:t>中心城区</w:t>
      </w:r>
      <w:r>
        <w:rPr>
          <w:rFonts w:hint="eastAsia" w:ascii="仿宋" w:hAnsi="仿宋" w:eastAsia="仿宋" w:cstheme="minorEastAsia"/>
          <w:color w:val="auto"/>
          <w:sz w:val="28"/>
          <w:szCs w:val="28"/>
        </w:rPr>
        <w:t>供热分区</w:t>
      </w:r>
      <w:r>
        <w:rPr>
          <w:rFonts w:hint="eastAsia" w:ascii="仿宋" w:hAnsi="仿宋" w:eastAsia="仿宋" w:cstheme="minorEastAsia"/>
          <w:color w:val="auto"/>
          <w:sz w:val="28"/>
          <w:szCs w:val="28"/>
          <w:lang w:eastAsia="zh-CN"/>
        </w:rPr>
        <w:t>划分</w:t>
      </w:r>
      <w:r>
        <w:rPr>
          <w:rFonts w:hint="eastAsia" w:ascii="仿宋" w:hAnsi="仿宋" w:eastAsia="仿宋" w:cstheme="minorEastAsia"/>
          <w:color w:val="auto"/>
          <w:sz w:val="28"/>
          <w:szCs w:val="28"/>
        </w:rPr>
        <w:t>表：</w:t>
      </w:r>
    </w:p>
    <w:tbl>
      <w:tblPr>
        <w:tblStyle w:val="16"/>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55"/>
        <w:gridCol w:w="5142"/>
        <w:gridCol w:w="1708"/>
        <w:gridCol w:w="1499"/>
      </w:tblGrid>
      <w:tr w14:paraId="09C084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tblHeader/>
        </w:trPr>
        <w:tc>
          <w:tcPr>
            <w:tcW w:w="655" w:type="dxa"/>
            <w:shd w:val="clear" w:color="auto" w:fill="BEBEBE"/>
            <w:noWrap w:val="0"/>
            <w:vAlign w:val="center"/>
          </w:tcPr>
          <w:p w14:paraId="6D2B308A">
            <w:pPr>
              <w:pStyle w:val="23"/>
              <w:spacing w:after="0" w:line="240" w:lineRule="auto"/>
              <w:ind w:firstLine="0" w:firstLineChars="0"/>
              <w:jc w:val="center"/>
              <w:rPr>
                <w:rFonts w:hint="eastAsia" w:ascii="仿宋" w:hAnsi="仿宋" w:eastAsia="仿宋" w:cstheme="minorEastAsia"/>
                <w:color w:val="auto"/>
                <w:sz w:val="21"/>
                <w:szCs w:val="21"/>
                <w:highlight w:val="none"/>
                <w:lang w:val="en-US" w:eastAsia="zh-CN"/>
              </w:rPr>
            </w:pPr>
            <w:r>
              <w:rPr>
                <w:rFonts w:hint="eastAsia" w:ascii="仿宋" w:hAnsi="仿宋" w:eastAsia="仿宋" w:cstheme="minorEastAsia"/>
                <w:color w:val="auto"/>
                <w:sz w:val="21"/>
                <w:szCs w:val="21"/>
                <w:highlight w:val="none"/>
                <w:lang w:val="en-US" w:eastAsia="zh-CN"/>
              </w:rPr>
              <w:t>供热分区</w:t>
            </w:r>
          </w:p>
        </w:tc>
        <w:tc>
          <w:tcPr>
            <w:tcW w:w="5142" w:type="dxa"/>
            <w:shd w:val="clear" w:color="auto" w:fill="BEBEBE"/>
            <w:noWrap w:val="0"/>
            <w:vAlign w:val="center"/>
          </w:tcPr>
          <w:p w14:paraId="79982905">
            <w:pPr>
              <w:pStyle w:val="23"/>
              <w:spacing w:after="0" w:line="240" w:lineRule="auto"/>
              <w:ind w:firstLine="0" w:firstLineChars="0"/>
              <w:jc w:val="center"/>
              <w:rPr>
                <w:rFonts w:hint="eastAsia" w:ascii="仿宋" w:hAnsi="仿宋" w:eastAsia="仿宋" w:cstheme="minorEastAsia"/>
                <w:color w:val="auto"/>
                <w:sz w:val="21"/>
                <w:szCs w:val="21"/>
                <w:highlight w:val="none"/>
                <w:lang w:val="en-US" w:eastAsia="zh-CN"/>
              </w:rPr>
            </w:pPr>
            <w:r>
              <w:rPr>
                <w:rFonts w:hint="eastAsia" w:ascii="仿宋" w:hAnsi="仿宋" w:eastAsia="仿宋" w:cstheme="minorEastAsia"/>
                <w:color w:val="auto"/>
                <w:sz w:val="21"/>
                <w:szCs w:val="21"/>
                <w:highlight w:val="none"/>
                <w:lang w:val="en-US" w:eastAsia="zh-CN"/>
              </w:rPr>
              <w:t>供热分区范围</w:t>
            </w:r>
          </w:p>
        </w:tc>
        <w:tc>
          <w:tcPr>
            <w:tcW w:w="1708" w:type="dxa"/>
            <w:shd w:val="clear" w:color="auto" w:fill="BEBEBE"/>
            <w:noWrap w:val="0"/>
            <w:vAlign w:val="center"/>
          </w:tcPr>
          <w:p w14:paraId="2D3EAF54">
            <w:pPr>
              <w:pStyle w:val="23"/>
              <w:spacing w:after="0" w:line="240" w:lineRule="auto"/>
              <w:ind w:firstLine="0" w:firstLineChars="0"/>
              <w:jc w:val="center"/>
              <w:rPr>
                <w:rFonts w:hint="eastAsia" w:ascii="仿宋" w:hAnsi="仿宋" w:eastAsia="仿宋" w:cstheme="minorEastAsia"/>
                <w:color w:val="auto"/>
                <w:sz w:val="21"/>
                <w:szCs w:val="21"/>
                <w:highlight w:val="none"/>
                <w:lang w:val="en-US" w:eastAsia="zh-CN"/>
              </w:rPr>
            </w:pPr>
            <w:r>
              <w:rPr>
                <w:rFonts w:hint="eastAsia" w:ascii="仿宋" w:hAnsi="仿宋" w:eastAsia="仿宋" w:cstheme="minorEastAsia"/>
                <w:color w:val="auto"/>
                <w:sz w:val="21"/>
                <w:szCs w:val="21"/>
                <w:highlight w:val="none"/>
                <w:lang w:val="en-US" w:eastAsia="zh-CN"/>
              </w:rPr>
              <w:t>分区内城镇建设用地面积（km</w:t>
            </w:r>
            <w:r>
              <w:rPr>
                <w:rFonts w:hint="eastAsia" w:ascii="仿宋" w:hAnsi="仿宋" w:eastAsia="仿宋" w:cstheme="minorEastAsia"/>
                <w:color w:val="auto"/>
                <w:sz w:val="21"/>
                <w:szCs w:val="21"/>
                <w:highlight w:val="none"/>
                <w:vertAlign w:val="superscript"/>
                <w:lang w:val="en-US" w:eastAsia="zh-CN"/>
              </w:rPr>
              <w:t>2</w:t>
            </w:r>
            <w:r>
              <w:rPr>
                <w:rFonts w:hint="eastAsia" w:ascii="仿宋" w:hAnsi="仿宋" w:eastAsia="仿宋" w:cstheme="minorEastAsia"/>
                <w:color w:val="auto"/>
                <w:sz w:val="21"/>
                <w:szCs w:val="21"/>
                <w:highlight w:val="none"/>
                <w:lang w:val="en-US" w:eastAsia="zh-CN"/>
              </w:rPr>
              <w:t>）</w:t>
            </w:r>
          </w:p>
        </w:tc>
        <w:tc>
          <w:tcPr>
            <w:tcW w:w="1499" w:type="dxa"/>
            <w:shd w:val="clear" w:color="auto" w:fill="BEBEBE"/>
            <w:noWrap w:val="0"/>
            <w:vAlign w:val="center"/>
          </w:tcPr>
          <w:p w14:paraId="073FB5AC">
            <w:pPr>
              <w:pStyle w:val="23"/>
              <w:spacing w:after="0" w:line="240" w:lineRule="auto"/>
              <w:ind w:firstLine="0" w:firstLineChars="0"/>
              <w:jc w:val="center"/>
              <w:rPr>
                <w:rFonts w:hint="eastAsia" w:ascii="仿宋" w:hAnsi="仿宋" w:eastAsia="仿宋" w:cstheme="minorEastAsia"/>
                <w:color w:val="auto"/>
                <w:sz w:val="21"/>
                <w:szCs w:val="21"/>
                <w:highlight w:val="none"/>
                <w:lang w:val="en-US" w:eastAsia="zh-CN"/>
              </w:rPr>
            </w:pPr>
            <w:r>
              <w:rPr>
                <w:rFonts w:hint="eastAsia" w:ascii="仿宋" w:hAnsi="仿宋" w:eastAsia="仿宋" w:cstheme="minorEastAsia"/>
                <w:color w:val="auto"/>
                <w:sz w:val="21"/>
                <w:szCs w:val="21"/>
                <w:highlight w:val="none"/>
                <w:lang w:val="en-US" w:eastAsia="zh-CN"/>
              </w:rPr>
              <w:t>备注</w:t>
            </w:r>
          </w:p>
        </w:tc>
      </w:tr>
      <w:tr w14:paraId="53AD9C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trPr>
        <w:tc>
          <w:tcPr>
            <w:tcW w:w="655" w:type="dxa"/>
            <w:noWrap w:val="0"/>
            <w:vAlign w:val="center"/>
          </w:tcPr>
          <w:p w14:paraId="6A8DC809">
            <w:pPr>
              <w:pStyle w:val="23"/>
              <w:spacing w:after="0" w:line="240" w:lineRule="auto"/>
              <w:ind w:firstLine="0" w:firstLineChars="0"/>
              <w:jc w:val="center"/>
              <w:rPr>
                <w:rFonts w:hint="eastAsia" w:ascii="仿宋" w:hAnsi="仿宋" w:eastAsia="仿宋" w:cstheme="minorEastAsia"/>
                <w:color w:val="auto"/>
                <w:sz w:val="21"/>
                <w:szCs w:val="21"/>
                <w:highlight w:val="none"/>
                <w:lang w:val="en-US" w:eastAsia="zh-CN"/>
              </w:rPr>
            </w:pPr>
            <w:r>
              <w:rPr>
                <w:rFonts w:hint="eastAsia" w:ascii="仿宋" w:hAnsi="仿宋" w:eastAsia="仿宋" w:cstheme="minorEastAsia"/>
                <w:color w:val="auto"/>
                <w:sz w:val="21"/>
                <w:szCs w:val="21"/>
                <w:highlight w:val="none"/>
                <w:lang w:val="en-US" w:eastAsia="zh-CN"/>
              </w:rPr>
              <w:t>A</w:t>
            </w:r>
          </w:p>
        </w:tc>
        <w:tc>
          <w:tcPr>
            <w:tcW w:w="5142" w:type="dxa"/>
            <w:noWrap w:val="0"/>
            <w:vAlign w:val="center"/>
          </w:tcPr>
          <w:p w14:paraId="3156DD91">
            <w:pPr>
              <w:pStyle w:val="23"/>
              <w:spacing w:after="0" w:line="240" w:lineRule="auto"/>
              <w:ind w:firstLine="0" w:firstLineChars="0"/>
              <w:jc w:val="center"/>
              <w:rPr>
                <w:rFonts w:hint="eastAsia" w:ascii="仿宋" w:hAnsi="仿宋" w:eastAsia="仿宋" w:cstheme="minorEastAsia"/>
                <w:color w:val="auto"/>
                <w:sz w:val="21"/>
                <w:szCs w:val="21"/>
                <w:highlight w:val="none"/>
                <w:lang w:val="en-US" w:eastAsia="zh-CN"/>
              </w:rPr>
            </w:pPr>
            <w:r>
              <w:rPr>
                <w:rFonts w:hint="eastAsia" w:ascii="仿宋" w:hAnsi="仿宋" w:eastAsia="仿宋" w:cstheme="minorEastAsia"/>
                <w:color w:val="auto"/>
                <w:sz w:val="21"/>
                <w:szCs w:val="21"/>
                <w:highlight w:val="none"/>
                <w:lang w:val="en-US" w:eastAsia="zh-CN"/>
              </w:rPr>
              <w:t>木刀沟北堤-科技街-北外环路-科城路围合区域</w:t>
            </w:r>
          </w:p>
        </w:tc>
        <w:tc>
          <w:tcPr>
            <w:tcW w:w="1708" w:type="dxa"/>
            <w:noWrap w:val="0"/>
            <w:vAlign w:val="center"/>
          </w:tcPr>
          <w:p w14:paraId="564E0030">
            <w:pPr>
              <w:pStyle w:val="23"/>
              <w:spacing w:after="0" w:line="240" w:lineRule="auto"/>
              <w:ind w:firstLine="0" w:firstLineChars="0"/>
              <w:jc w:val="center"/>
              <w:rPr>
                <w:rFonts w:hint="default" w:ascii="仿宋" w:hAnsi="仿宋" w:eastAsia="仿宋" w:cstheme="minorEastAsia"/>
                <w:color w:val="auto"/>
                <w:sz w:val="21"/>
                <w:szCs w:val="21"/>
                <w:highlight w:val="none"/>
                <w:lang w:val="en-US" w:eastAsia="zh-CN"/>
              </w:rPr>
            </w:pPr>
            <w:r>
              <w:rPr>
                <w:rFonts w:hint="eastAsia" w:ascii="仿宋" w:hAnsi="仿宋" w:eastAsia="仿宋" w:cstheme="minorEastAsia"/>
                <w:color w:val="auto"/>
                <w:sz w:val="21"/>
                <w:szCs w:val="21"/>
                <w:highlight w:val="none"/>
                <w:lang w:val="en-US" w:eastAsia="zh-CN"/>
              </w:rPr>
              <w:t>3.98</w:t>
            </w:r>
          </w:p>
        </w:tc>
        <w:tc>
          <w:tcPr>
            <w:tcW w:w="1499" w:type="dxa"/>
            <w:noWrap w:val="0"/>
            <w:vAlign w:val="center"/>
          </w:tcPr>
          <w:p w14:paraId="19E80FD0">
            <w:pPr>
              <w:pStyle w:val="23"/>
              <w:spacing w:after="0" w:line="240" w:lineRule="auto"/>
              <w:ind w:firstLine="0" w:firstLineChars="0"/>
              <w:jc w:val="center"/>
              <w:rPr>
                <w:rFonts w:hint="eastAsia" w:ascii="仿宋" w:hAnsi="仿宋" w:eastAsia="仿宋" w:cstheme="minorEastAsia"/>
                <w:color w:val="auto"/>
                <w:sz w:val="21"/>
                <w:szCs w:val="21"/>
                <w:highlight w:val="none"/>
                <w:lang w:val="en-US" w:eastAsia="zh-CN"/>
              </w:rPr>
            </w:pPr>
            <w:r>
              <w:rPr>
                <w:rFonts w:hint="eastAsia" w:ascii="仿宋" w:hAnsi="仿宋" w:eastAsia="仿宋" w:cstheme="minorEastAsia"/>
                <w:color w:val="auto"/>
                <w:sz w:val="21"/>
                <w:szCs w:val="21"/>
                <w:highlight w:val="none"/>
                <w:lang w:val="en-US" w:eastAsia="zh-CN"/>
              </w:rPr>
              <w:t>县城北区</w:t>
            </w:r>
          </w:p>
        </w:tc>
      </w:tr>
      <w:tr w14:paraId="5F33A4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trPr>
        <w:tc>
          <w:tcPr>
            <w:tcW w:w="655" w:type="dxa"/>
            <w:noWrap w:val="0"/>
            <w:vAlign w:val="center"/>
          </w:tcPr>
          <w:p w14:paraId="7C5813DC">
            <w:pPr>
              <w:pStyle w:val="23"/>
              <w:spacing w:after="0" w:line="240" w:lineRule="auto"/>
              <w:ind w:firstLine="0" w:firstLineChars="0"/>
              <w:jc w:val="center"/>
              <w:rPr>
                <w:rFonts w:hint="eastAsia" w:ascii="仿宋" w:hAnsi="仿宋" w:eastAsia="仿宋" w:cstheme="minorEastAsia"/>
                <w:color w:val="auto"/>
                <w:sz w:val="21"/>
                <w:szCs w:val="21"/>
                <w:highlight w:val="none"/>
                <w:lang w:val="en-US" w:eastAsia="zh-CN"/>
              </w:rPr>
            </w:pPr>
            <w:r>
              <w:rPr>
                <w:rFonts w:hint="eastAsia" w:ascii="仿宋" w:hAnsi="仿宋" w:eastAsia="仿宋" w:cstheme="minorEastAsia"/>
                <w:color w:val="auto"/>
                <w:sz w:val="21"/>
                <w:szCs w:val="21"/>
                <w:highlight w:val="none"/>
                <w:lang w:val="en-US" w:eastAsia="zh-CN"/>
              </w:rPr>
              <w:t>B</w:t>
            </w:r>
          </w:p>
        </w:tc>
        <w:tc>
          <w:tcPr>
            <w:tcW w:w="5142" w:type="dxa"/>
            <w:noWrap w:val="0"/>
            <w:vAlign w:val="center"/>
          </w:tcPr>
          <w:p w14:paraId="5C6BAE09">
            <w:pPr>
              <w:pStyle w:val="23"/>
              <w:spacing w:after="0" w:line="240" w:lineRule="auto"/>
              <w:ind w:firstLine="0" w:firstLineChars="0"/>
              <w:jc w:val="center"/>
              <w:rPr>
                <w:rFonts w:hint="eastAsia" w:ascii="仿宋" w:hAnsi="仿宋" w:eastAsia="仿宋" w:cstheme="minorEastAsia"/>
                <w:color w:val="auto"/>
                <w:sz w:val="21"/>
                <w:szCs w:val="21"/>
                <w:highlight w:val="none"/>
                <w:lang w:val="en-US" w:eastAsia="zh-CN"/>
              </w:rPr>
            </w:pPr>
            <w:r>
              <w:rPr>
                <w:rFonts w:hint="eastAsia" w:ascii="仿宋" w:hAnsi="仿宋" w:eastAsia="仿宋" w:cstheme="minorEastAsia"/>
                <w:color w:val="auto"/>
                <w:sz w:val="21"/>
                <w:szCs w:val="21"/>
                <w:highlight w:val="none"/>
                <w:lang w:val="en-US" w:eastAsia="zh-CN"/>
              </w:rPr>
              <w:t>滨河南路-科技街-花园路-西外环路-千山路-无极路-人和街围合区域</w:t>
            </w:r>
          </w:p>
        </w:tc>
        <w:tc>
          <w:tcPr>
            <w:tcW w:w="1708" w:type="dxa"/>
            <w:noWrap w:val="0"/>
            <w:vAlign w:val="center"/>
          </w:tcPr>
          <w:p w14:paraId="26616772">
            <w:pPr>
              <w:pStyle w:val="23"/>
              <w:spacing w:after="0" w:line="240" w:lineRule="auto"/>
              <w:ind w:firstLine="0" w:firstLineChars="0"/>
              <w:jc w:val="center"/>
              <w:rPr>
                <w:rFonts w:hint="default" w:ascii="仿宋" w:hAnsi="仿宋" w:eastAsia="仿宋" w:cstheme="minorEastAsia"/>
                <w:color w:val="auto"/>
                <w:sz w:val="21"/>
                <w:szCs w:val="21"/>
                <w:highlight w:val="none"/>
                <w:lang w:val="en-US" w:eastAsia="zh-CN"/>
              </w:rPr>
            </w:pPr>
            <w:r>
              <w:rPr>
                <w:rFonts w:hint="eastAsia" w:ascii="仿宋" w:hAnsi="仿宋" w:eastAsia="仿宋" w:cstheme="minorEastAsia"/>
                <w:color w:val="auto"/>
                <w:sz w:val="21"/>
                <w:szCs w:val="21"/>
                <w:highlight w:val="none"/>
                <w:lang w:val="en-US" w:eastAsia="zh-CN"/>
              </w:rPr>
              <w:t>3.68</w:t>
            </w:r>
          </w:p>
        </w:tc>
        <w:tc>
          <w:tcPr>
            <w:tcW w:w="1499" w:type="dxa"/>
            <w:noWrap w:val="0"/>
            <w:vAlign w:val="center"/>
          </w:tcPr>
          <w:p w14:paraId="1D63D8B0">
            <w:pPr>
              <w:pStyle w:val="23"/>
              <w:spacing w:after="0" w:line="240" w:lineRule="auto"/>
              <w:ind w:firstLine="0" w:firstLineChars="0"/>
              <w:jc w:val="center"/>
              <w:rPr>
                <w:rFonts w:hint="eastAsia" w:ascii="仿宋" w:hAnsi="仿宋" w:eastAsia="仿宋" w:cstheme="minorEastAsia"/>
                <w:color w:val="auto"/>
                <w:sz w:val="21"/>
                <w:szCs w:val="21"/>
                <w:highlight w:val="none"/>
                <w:lang w:val="en-US" w:eastAsia="zh-CN"/>
              </w:rPr>
            </w:pPr>
            <w:r>
              <w:rPr>
                <w:rFonts w:hint="eastAsia" w:ascii="仿宋" w:hAnsi="仿宋" w:eastAsia="仿宋" w:cstheme="minorEastAsia"/>
                <w:color w:val="auto"/>
                <w:sz w:val="21"/>
                <w:szCs w:val="21"/>
                <w:highlight w:val="none"/>
                <w:lang w:val="en-US" w:eastAsia="zh-CN"/>
              </w:rPr>
              <w:t>县城南区</w:t>
            </w:r>
          </w:p>
          <w:p w14:paraId="46CDBD81">
            <w:pPr>
              <w:pStyle w:val="23"/>
              <w:spacing w:after="0" w:line="240" w:lineRule="auto"/>
              <w:ind w:firstLine="0" w:firstLineChars="0"/>
              <w:jc w:val="center"/>
              <w:rPr>
                <w:rFonts w:hint="default" w:ascii="仿宋" w:hAnsi="仿宋" w:eastAsia="仿宋" w:cstheme="minorEastAsia"/>
                <w:color w:val="auto"/>
                <w:sz w:val="21"/>
                <w:szCs w:val="21"/>
                <w:highlight w:val="none"/>
                <w:lang w:val="en-US" w:eastAsia="zh-CN"/>
              </w:rPr>
            </w:pPr>
            <w:r>
              <w:rPr>
                <w:rFonts w:hint="eastAsia" w:ascii="仿宋" w:hAnsi="仿宋" w:eastAsia="仿宋" w:cstheme="minorEastAsia"/>
                <w:color w:val="auto"/>
                <w:sz w:val="21"/>
                <w:szCs w:val="21"/>
                <w:highlight w:val="none"/>
                <w:lang w:val="en-US" w:eastAsia="zh-CN"/>
              </w:rPr>
              <w:t>西北部</w:t>
            </w:r>
          </w:p>
        </w:tc>
      </w:tr>
      <w:tr w14:paraId="6DF559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trPr>
        <w:tc>
          <w:tcPr>
            <w:tcW w:w="655" w:type="dxa"/>
            <w:noWrap w:val="0"/>
            <w:vAlign w:val="center"/>
          </w:tcPr>
          <w:p w14:paraId="75801EF8">
            <w:pPr>
              <w:pStyle w:val="23"/>
              <w:spacing w:after="0" w:line="240" w:lineRule="auto"/>
              <w:ind w:firstLine="0" w:firstLineChars="0"/>
              <w:jc w:val="center"/>
              <w:rPr>
                <w:rFonts w:hint="eastAsia" w:ascii="仿宋" w:hAnsi="仿宋" w:eastAsia="仿宋" w:cstheme="minorEastAsia"/>
                <w:color w:val="auto"/>
                <w:sz w:val="21"/>
                <w:szCs w:val="21"/>
                <w:highlight w:val="none"/>
                <w:lang w:val="en-US" w:eastAsia="zh-CN"/>
              </w:rPr>
            </w:pPr>
            <w:r>
              <w:rPr>
                <w:rFonts w:hint="eastAsia" w:ascii="仿宋" w:hAnsi="仿宋" w:eastAsia="仿宋" w:cstheme="minorEastAsia"/>
                <w:color w:val="auto"/>
                <w:sz w:val="21"/>
                <w:szCs w:val="21"/>
                <w:highlight w:val="none"/>
                <w:lang w:val="en-US" w:eastAsia="zh-CN"/>
              </w:rPr>
              <w:t>C</w:t>
            </w:r>
          </w:p>
        </w:tc>
        <w:tc>
          <w:tcPr>
            <w:tcW w:w="5142" w:type="dxa"/>
            <w:noWrap w:val="0"/>
            <w:vAlign w:val="center"/>
          </w:tcPr>
          <w:p w14:paraId="3336C09B">
            <w:pPr>
              <w:pStyle w:val="23"/>
              <w:spacing w:after="0" w:line="240" w:lineRule="auto"/>
              <w:ind w:firstLine="0" w:firstLineChars="0"/>
              <w:jc w:val="center"/>
              <w:rPr>
                <w:rFonts w:hint="eastAsia" w:ascii="仿宋" w:hAnsi="仿宋" w:eastAsia="仿宋" w:cstheme="minorEastAsia"/>
                <w:color w:val="auto"/>
                <w:sz w:val="21"/>
                <w:szCs w:val="21"/>
                <w:highlight w:val="none"/>
                <w:lang w:val="en-US" w:eastAsia="zh-CN"/>
              </w:rPr>
            </w:pPr>
            <w:r>
              <w:rPr>
                <w:rFonts w:hint="eastAsia" w:ascii="仿宋" w:hAnsi="仿宋" w:eastAsia="仿宋" w:cstheme="minorEastAsia"/>
                <w:color w:val="auto"/>
                <w:sz w:val="21"/>
                <w:szCs w:val="21"/>
                <w:highlight w:val="none"/>
                <w:lang w:val="en-US" w:eastAsia="zh-CN"/>
              </w:rPr>
              <w:t>无极路-科技街-千山路--规划纵二街-开放街-南外环路-光明街-人和街-幸福街围合区域</w:t>
            </w:r>
          </w:p>
        </w:tc>
        <w:tc>
          <w:tcPr>
            <w:tcW w:w="1708" w:type="dxa"/>
            <w:noWrap w:val="0"/>
            <w:vAlign w:val="center"/>
          </w:tcPr>
          <w:p w14:paraId="7D668D2D">
            <w:pPr>
              <w:pStyle w:val="23"/>
              <w:spacing w:after="0" w:line="240" w:lineRule="auto"/>
              <w:ind w:firstLine="0" w:firstLineChars="0"/>
              <w:jc w:val="center"/>
              <w:rPr>
                <w:rFonts w:hint="default" w:ascii="仿宋" w:hAnsi="仿宋" w:eastAsia="仿宋" w:cstheme="minorEastAsia"/>
                <w:color w:val="auto"/>
                <w:sz w:val="21"/>
                <w:szCs w:val="21"/>
                <w:highlight w:val="none"/>
                <w:lang w:val="en-US" w:eastAsia="zh-CN"/>
              </w:rPr>
            </w:pPr>
            <w:r>
              <w:rPr>
                <w:rFonts w:hint="eastAsia" w:ascii="仿宋" w:hAnsi="仿宋" w:eastAsia="仿宋" w:cstheme="minorEastAsia"/>
                <w:color w:val="auto"/>
                <w:sz w:val="21"/>
                <w:szCs w:val="21"/>
                <w:highlight w:val="none"/>
                <w:lang w:val="en-US" w:eastAsia="zh-CN"/>
              </w:rPr>
              <w:t>3.39</w:t>
            </w:r>
          </w:p>
        </w:tc>
        <w:tc>
          <w:tcPr>
            <w:tcW w:w="1499" w:type="dxa"/>
            <w:noWrap w:val="0"/>
            <w:vAlign w:val="center"/>
          </w:tcPr>
          <w:p w14:paraId="4184D699">
            <w:pPr>
              <w:pStyle w:val="23"/>
              <w:spacing w:after="0" w:line="240" w:lineRule="auto"/>
              <w:ind w:firstLine="0" w:firstLineChars="0"/>
              <w:jc w:val="center"/>
              <w:rPr>
                <w:rFonts w:hint="eastAsia" w:ascii="仿宋" w:hAnsi="仿宋" w:eastAsia="仿宋" w:cstheme="minorEastAsia"/>
                <w:color w:val="auto"/>
                <w:sz w:val="21"/>
                <w:szCs w:val="21"/>
                <w:highlight w:val="none"/>
                <w:lang w:val="en-US" w:eastAsia="zh-CN"/>
              </w:rPr>
            </w:pPr>
            <w:r>
              <w:rPr>
                <w:rFonts w:hint="eastAsia" w:ascii="仿宋" w:hAnsi="仿宋" w:eastAsia="仿宋" w:cstheme="minorEastAsia"/>
                <w:color w:val="auto"/>
                <w:sz w:val="21"/>
                <w:szCs w:val="21"/>
                <w:highlight w:val="none"/>
                <w:lang w:val="en-US" w:eastAsia="zh-CN"/>
              </w:rPr>
              <w:t>县城南区</w:t>
            </w:r>
          </w:p>
          <w:p w14:paraId="0EA8E0C7">
            <w:pPr>
              <w:pStyle w:val="23"/>
              <w:spacing w:after="0" w:line="240" w:lineRule="auto"/>
              <w:ind w:firstLine="0" w:firstLineChars="0"/>
              <w:jc w:val="center"/>
              <w:rPr>
                <w:rFonts w:hint="default" w:ascii="仿宋" w:hAnsi="仿宋" w:eastAsia="仿宋" w:cstheme="minorEastAsia"/>
                <w:color w:val="auto"/>
                <w:sz w:val="21"/>
                <w:szCs w:val="21"/>
                <w:highlight w:val="none"/>
                <w:lang w:val="en-US" w:eastAsia="zh-CN"/>
              </w:rPr>
            </w:pPr>
            <w:r>
              <w:rPr>
                <w:rFonts w:hint="eastAsia" w:ascii="仿宋" w:hAnsi="仿宋" w:eastAsia="仿宋" w:cstheme="minorEastAsia"/>
                <w:color w:val="auto"/>
                <w:sz w:val="21"/>
                <w:szCs w:val="21"/>
                <w:highlight w:val="none"/>
                <w:lang w:val="en-US" w:eastAsia="zh-CN"/>
              </w:rPr>
              <w:t>西南部</w:t>
            </w:r>
          </w:p>
        </w:tc>
      </w:tr>
      <w:tr w14:paraId="07DE73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trPr>
        <w:tc>
          <w:tcPr>
            <w:tcW w:w="655" w:type="dxa"/>
            <w:noWrap w:val="0"/>
            <w:vAlign w:val="center"/>
          </w:tcPr>
          <w:p w14:paraId="5A2D13AC">
            <w:pPr>
              <w:pStyle w:val="23"/>
              <w:spacing w:after="0" w:line="240" w:lineRule="auto"/>
              <w:ind w:firstLine="0" w:firstLineChars="0"/>
              <w:jc w:val="center"/>
              <w:rPr>
                <w:rFonts w:hint="eastAsia" w:ascii="仿宋" w:hAnsi="仿宋" w:eastAsia="仿宋" w:cstheme="minorEastAsia"/>
                <w:color w:val="auto"/>
                <w:sz w:val="21"/>
                <w:szCs w:val="21"/>
                <w:highlight w:val="none"/>
                <w:lang w:val="en-US" w:eastAsia="zh-CN"/>
              </w:rPr>
            </w:pPr>
            <w:r>
              <w:rPr>
                <w:rFonts w:hint="eastAsia" w:ascii="仿宋" w:hAnsi="仿宋" w:eastAsia="仿宋" w:cstheme="minorEastAsia"/>
                <w:color w:val="auto"/>
                <w:sz w:val="21"/>
                <w:szCs w:val="21"/>
                <w:highlight w:val="none"/>
                <w:lang w:val="en-US" w:eastAsia="zh-CN"/>
              </w:rPr>
              <w:t>D</w:t>
            </w:r>
          </w:p>
        </w:tc>
        <w:tc>
          <w:tcPr>
            <w:tcW w:w="5142" w:type="dxa"/>
            <w:noWrap w:val="0"/>
            <w:vAlign w:val="center"/>
          </w:tcPr>
          <w:p w14:paraId="65B07D62">
            <w:pPr>
              <w:pStyle w:val="23"/>
              <w:spacing w:after="0" w:line="240" w:lineRule="auto"/>
              <w:ind w:firstLine="0" w:firstLineChars="0"/>
              <w:jc w:val="center"/>
              <w:rPr>
                <w:rFonts w:hint="eastAsia" w:ascii="仿宋" w:hAnsi="仿宋" w:eastAsia="仿宋" w:cstheme="minorEastAsia"/>
                <w:color w:val="auto"/>
                <w:sz w:val="21"/>
                <w:szCs w:val="21"/>
                <w:highlight w:val="none"/>
                <w:lang w:val="en-US" w:eastAsia="zh-CN"/>
              </w:rPr>
            </w:pPr>
            <w:r>
              <w:rPr>
                <w:rFonts w:hint="eastAsia" w:ascii="仿宋" w:hAnsi="仿宋" w:eastAsia="仿宋" w:cstheme="minorEastAsia"/>
                <w:color w:val="auto"/>
                <w:sz w:val="21"/>
                <w:szCs w:val="21"/>
                <w:highlight w:val="none"/>
                <w:lang w:val="en-US" w:eastAsia="zh-CN"/>
              </w:rPr>
              <w:t>滨河南路-人和街-幸福街-人和街-开放路-产业大道围合区域</w:t>
            </w:r>
          </w:p>
        </w:tc>
        <w:tc>
          <w:tcPr>
            <w:tcW w:w="1708" w:type="dxa"/>
            <w:noWrap w:val="0"/>
            <w:vAlign w:val="center"/>
          </w:tcPr>
          <w:p w14:paraId="3E939D25">
            <w:pPr>
              <w:pStyle w:val="23"/>
              <w:spacing w:after="0" w:line="240" w:lineRule="auto"/>
              <w:ind w:firstLine="0" w:firstLineChars="0"/>
              <w:jc w:val="center"/>
              <w:rPr>
                <w:rFonts w:hint="default" w:ascii="仿宋" w:hAnsi="仿宋" w:eastAsia="仿宋" w:cstheme="minorEastAsia"/>
                <w:color w:val="auto"/>
                <w:sz w:val="21"/>
                <w:szCs w:val="21"/>
                <w:highlight w:val="none"/>
                <w:lang w:val="en-US" w:eastAsia="zh-CN"/>
              </w:rPr>
            </w:pPr>
            <w:r>
              <w:rPr>
                <w:rFonts w:hint="eastAsia" w:ascii="仿宋" w:hAnsi="仿宋" w:eastAsia="仿宋" w:cstheme="minorEastAsia"/>
                <w:color w:val="auto"/>
                <w:sz w:val="21"/>
                <w:szCs w:val="21"/>
                <w:highlight w:val="none"/>
                <w:lang w:val="en-US" w:eastAsia="zh-CN"/>
              </w:rPr>
              <w:t>3.35</w:t>
            </w:r>
          </w:p>
        </w:tc>
        <w:tc>
          <w:tcPr>
            <w:tcW w:w="1499" w:type="dxa"/>
            <w:noWrap w:val="0"/>
            <w:vAlign w:val="center"/>
          </w:tcPr>
          <w:p w14:paraId="77AB7222">
            <w:pPr>
              <w:pStyle w:val="23"/>
              <w:spacing w:after="0" w:line="240" w:lineRule="auto"/>
              <w:ind w:firstLine="0" w:firstLineChars="0"/>
              <w:jc w:val="center"/>
              <w:rPr>
                <w:rFonts w:hint="eastAsia" w:ascii="仿宋" w:hAnsi="仿宋" w:eastAsia="仿宋" w:cstheme="minorEastAsia"/>
                <w:color w:val="auto"/>
                <w:sz w:val="21"/>
                <w:szCs w:val="21"/>
                <w:highlight w:val="none"/>
                <w:lang w:val="en-US" w:eastAsia="zh-CN"/>
              </w:rPr>
            </w:pPr>
            <w:r>
              <w:rPr>
                <w:rFonts w:hint="eastAsia" w:ascii="仿宋" w:hAnsi="仿宋" w:eastAsia="仿宋" w:cstheme="minorEastAsia"/>
                <w:color w:val="auto"/>
                <w:sz w:val="21"/>
                <w:szCs w:val="21"/>
                <w:highlight w:val="none"/>
                <w:lang w:val="en-US" w:eastAsia="zh-CN"/>
              </w:rPr>
              <w:t>县城南区</w:t>
            </w:r>
          </w:p>
          <w:p w14:paraId="3C3DE302">
            <w:pPr>
              <w:pStyle w:val="23"/>
              <w:spacing w:after="0" w:line="240" w:lineRule="auto"/>
              <w:ind w:firstLine="0" w:firstLineChars="0"/>
              <w:jc w:val="center"/>
              <w:rPr>
                <w:rFonts w:hint="default" w:ascii="仿宋" w:hAnsi="仿宋" w:eastAsia="仿宋" w:cstheme="minorEastAsia"/>
                <w:color w:val="auto"/>
                <w:sz w:val="21"/>
                <w:szCs w:val="21"/>
                <w:highlight w:val="none"/>
                <w:lang w:val="en-US" w:eastAsia="zh-CN"/>
              </w:rPr>
            </w:pPr>
            <w:r>
              <w:rPr>
                <w:rFonts w:hint="eastAsia" w:ascii="仿宋" w:hAnsi="仿宋" w:eastAsia="仿宋" w:cstheme="minorEastAsia"/>
                <w:color w:val="auto"/>
                <w:sz w:val="21"/>
                <w:szCs w:val="21"/>
                <w:highlight w:val="none"/>
                <w:lang w:val="en-US" w:eastAsia="zh-CN"/>
              </w:rPr>
              <w:t>东南部</w:t>
            </w:r>
          </w:p>
        </w:tc>
      </w:tr>
      <w:tr w14:paraId="39583E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trPr>
        <w:tc>
          <w:tcPr>
            <w:tcW w:w="655" w:type="dxa"/>
            <w:noWrap w:val="0"/>
            <w:vAlign w:val="center"/>
          </w:tcPr>
          <w:p w14:paraId="41C24FFD">
            <w:pPr>
              <w:pStyle w:val="23"/>
              <w:spacing w:after="0" w:line="240" w:lineRule="auto"/>
              <w:ind w:firstLine="0" w:firstLineChars="0"/>
              <w:jc w:val="center"/>
              <w:rPr>
                <w:rFonts w:hint="default" w:ascii="仿宋" w:hAnsi="仿宋" w:eastAsia="仿宋" w:cstheme="minorEastAsia"/>
                <w:color w:val="auto"/>
                <w:sz w:val="21"/>
                <w:szCs w:val="21"/>
                <w:highlight w:val="none"/>
                <w:lang w:val="en-US" w:eastAsia="zh-CN"/>
              </w:rPr>
            </w:pPr>
            <w:r>
              <w:rPr>
                <w:rFonts w:hint="eastAsia" w:ascii="仿宋" w:hAnsi="仿宋" w:eastAsia="仿宋" w:cstheme="minorEastAsia"/>
                <w:color w:val="auto"/>
                <w:sz w:val="21"/>
                <w:szCs w:val="21"/>
                <w:highlight w:val="none"/>
                <w:lang w:val="en-US" w:eastAsia="zh-CN"/>
              </w:rPr>
              <w:t>合计</w:t>
            </w:r>
          </w:p>
        </w:tc>
        <w:tc>
          <w:tcPr>
            <w:tcW w:w="5142" w:type="dxa"/>
            <w:noWrap w:val="0"/>
            <w:vAlign w:val="center"/>
          </w:tcPr>
          <w:p w14:paraId="10414AFC">
            <w:pPr>
              <w:pStyle w:val="23"/>
              <w:spacing w:after="0" w:line="240" w:lineRule="auto"/>
              <w:ind w:firstLine="0" w:firstLineChars="0"/>
              <w:jc w:val="center"/>
              <w:rPr>
                <w:rFonts w:hint="default" w:ascii="仿宋" w:hAnsi="仿宋" w:eastAsia="仿宋" w:cstheme="minorEastAsia"/>
                <w:color w:val="auto"/>
                <w:sz w:val="21"/>
                <w:szCs w:val="21"/>
                <w:highlight w:val="none"/>
                <w:lang w:val="en-US" w:eastAsia="zh-CN"/>
              </w:rPr>
            </w:pPr>
            <w:r>
              <w:rPr>
                <w:rFonts w:hint="eastAsia" w:ascii="仿宋" w:hAnsi="仿宋" w:eastAsia="仿宋" w:cstheme="minorEastAsia"/>
                <w:color w:val="auto"/>
                <w:sz w:val="21"/>
                <w:szCs w:val="21"/>
                <w:highlight w:val="none"/>
                <w:lang w:val="en-US" w:eastAsia="zh-CN"/>
              </w:rPr>
              <w:t>-</w:t>
            </w:r>
          </w:p>
        </w:tc>
        <w:tc>
          <w:tcPr>
            <w:tcW w:w="1708" w:type="dxa"/>
            <w:noWrap w:val="0"/>
            <w:vAlign w:val="center"/>
          </w:tcPr>
          <w:p w14:paraId="76A161BF">
            <w:pPr>
              <w:pStyle w:val="23"/>
              <w:spacing w:after="0" w:line="240" w:lineRule="auto"/>
              <w:ind w:firstLine="0" w:firstLineChars="0"/>
              <w:jc w:val="center"/>
              <w:rPr>
                <w:rFonts w:hint="default" w:ascii="仿宋" w:hAnsi="仿宋" w:eastAsia="仿宋" w:cstheme="minorEastAsia"/>
                <w:color w:val="auto"/>
                <w:sz w:val="21"/>
                <w:szCs w:val="21"/>
                <w:highlight w:val="none"/>
                <w:lang w:val="en-US" w:eastAsia="zh-CN"/>
              </w:rPr>
            </w:pPr>
            <w:r>
              <w:rPr>
                <w:rFonts w:hint="eastAsia" w:ascii="仿宋" w:hAnsi="仿宋" w:eastAsia="仿宋" w:cstheme="minorEastAsia"/>
                <w:color w:val="auto"/>
                <w:sz w:val="21"/>
                <w:szCs w:val="21"/>
                <w:highlight w:val="none"/>
                <w:lang w:val="en-US" w:eastAsia="zh-CN"/>
              </w:rPr>
              <w:t>14.40</w:t>
            </w:r>
          </w:p>
        </w:tc>
        <w:tc>
          <w:tcPr>
            <w:tcW w:w="1499" w:type="dxa"/>
            <w:noWrap w:val="0"/>
            <w:vAlign w:val="center"/>
          </w:tcPr>
          <w:p w14:paraId="31173E63">
            <w:pPr>
              <w:pStyle w:val="23"/>
              <w:spacing w:after="0" w:line="240" w:lineRule="auto"/>
              <w:ind w:firstLine="0" w:firstLineChars="0"/>
              <w:jc w:val="center"/>
              <w:rPr>
                <w:rFonts w:hint="default" w:ascii="仿宋" w:hAnsi="仿宋" w:eastAsia="仿宋" w:cstheme="minorEastAsia"/>
                <w:color w:val="auto"/>
                <w:sz w:val="21"/>
                <w:szCs w:val="21"/>
                <w:highlight w:val="none"/>
                <w:lang w:val="en-US" w:eastAsia="zh-CN"/>
              </w:rPr>
            </w:pPr>
            <w:r>
              <w:rPr>
                <w:rFonts w:hint="eastAsia" w:ascii="仿宋" w:hAnsi="仿宋" w:eastAsia="仿宋" w:cstheme="minorEastAsia"/>
                <w:color w:val="auto"/>
                <w:sz w:val="21"/>
                <w:szCs w:val="21"/>
                <w:highlight w:val="none"/>
                <w:lang w:val="en-US" w:eastAsia="zh-CN"/>
              </w:rPr>
              <w:t>-</w:t>
            </w:r>
          </w:p>
        </w:tc>
      </w:tr>
    </w:tbl>
    <w:p w14:paraId="07C66807">
      <w:pPr>
        <w:pStyle w:val="23"/>
        <w:ind w:firstLine="560"/>
        <w:rPr>
          <w:rFonts w:hint="default" w:ascii="仿宋" w:hAnsi="仿宋" w:eastAsia="仿宋" w:cstheme="minorEastAsia"/>
          <w:color w:val="auto"/>
          <w:sz w:val="28"/>
          <w:szCs w:val="28"/>
          <w:lang w:val="en-US" w:eastAsia="zh-CN"/>
        </w:rPr>
      </w:pPr>
      <w:r>
        <w:rPr>
          <w:rFonts w:hint="eastAsia" w:ascii="仿宋" w:hAnsi="仿宋" w:eastAsia="仿宋" w:cstheme="minorEastAsia"/>
          <w:color w:val="auto"/>
          <w:sz w:val="28"/>
          <w:szCs w:val="28"/>
          <w:lang w:val="en-US" w:eastAsia="zh-CN"/>
        </w:rPr>
        <w:t>依据无极县国土空间规划确定的中心城区用地布局，规划确定2035年中心城区各供热分区的建筑面积。</w:t>
      </w:r>
    </w:p>
    <w:p w14:paraId="0C5B563F">
      <w:pPr>
        <w:spacing w:after="0" w:line="560" w:lineRule="exact"/>
        <w:ind w:firstLine="560" w:firstLineChars="200"/>
        <w:rPr>
          <w:rFonts w:hint="eastAsia" w:ascii="仿宋" w:hAnsi="仿宋" w:eastAsia="仿宋" w:cstheme="minorEastAsia"/>
          <w:color w:val="auto"/>
          <w:sz w:val="28"/>
          <w:szCs w:val="28"/>
        </w:rPr>
      </w:pPr>
      <w:r>
        <w:rPr>
          <w:rFonts w:hint="eastAsia" w:ascii="仿宋" w:hAnsi="仿宋" w:eastAsia="仿宋" w:cstheme="minorEastAsia"/>
          <w:color w:val="auto"/>
          <w:sz w:val="28"/>
          <w:szCs w:val="28"/>
        </w:rPr>
        <w:t>表</w:t>
      </w:r>
      <w:r>
        <w:rPr>
          <w:rFonts w:hint="eastAsia" w:ascii="仿宋" w:hAnsi="仿宋" w:eastAsia="仿宋" w:cstheme="minorEastAsia"/>
          <w:color w:val="auto"/>
          <w:sz w:val="28"/>
          <w:szCs w:val="28"/>
          <w:lang w:val="en-US" w:eastAsia="zh-CN"/>
        </w:rPr>
        <w:t>2</w:t>
      </w:r>
      <w:r>
        <w:rPr>
          <w:rFonts w:hint="eastAsia" w:ascii="仿宋" w:hAnsi="仿宋" w:eastAsia="仿宋" w:cstheme="minorEastAsia"/>
          <w:color w:val="auto"/>
          <w:sz w:val="28"/>
          <w:szCs w:val="28"/>
        </w:rPr>
        <w:t xml:space="preserve"> </w:t>
      </w:r>
      <w:r>
        <w:rPr>
          <w:rFonts w:hint="eastAsia" w:ascii="仿宋" w:hAnsi="仿宋" w:eastAsia="仿宋" w:cstheme="minorEastAsia"/>
          <w:color w:val="auto"/>
          <w:sz w:val="28"/>
          <w:szCs w:val="28"/>
          <w:lang w:val="en-US" w:eastAsia="zh-CN"/>
        </w:rPr>
        <w:t>中心城区建筑面积汇总表</w:t>
      </w:r>
      <w:r>
        <w:rPr>
          <w:rFonts w:hint="eastAsia" w:ascii="仿宋" w:hAnsi="仿宋" w:eastAsia="仿宋" w:cstheme="minorEastAsia"/>
          <w:color w:val="auto"/>
          <w:sz w:val="28"/>
          <w:szCs w:val="28"/>
        </w:rPr>
        <w:t>：</w:t>
      </w:r>
    </w:p>
    <w:tbl>
      <w:tblPr>
        <w:tblStyle w:val="16"/>
        <w:tblW w:w="4997" w:type="pct"/>
        <w:tblInd w:w="0" w:type="dxa"/>
        <w:tblLayout w:type="autofit"/>
        <w:tblCellMar>
          <w:top w:w="0" w:type="dxa"/>
          <w:left w:w="108" w:type="dxa"/>
          <w:bottom w:w="0" w:type="dxa"/>
          <w:right w:w="108" w:type="dxa"/>
        </w:tblCellMar>
      </w:tblPr>
      <w:tblGrid>
        <w:gridCol w:w="1502"/>
        <w:gridCol w:w="2873"/>
        <w:gridCol w:w="4142"/>
      </w:tblGrid>
      <w:tr w14:paraId="5ECD2903">
        <w:tblPrEx>
          <w:tblCellMar>
            <w:top w:w="0" w:type="dxa"/>
            <w:left w:w="108" w:type="dxa"/>
            <w:bottom w:w="0" w:type="dxa"/>
            <w:right w:w="108" w:type="dxa"/>
          </w:tblCellMar>
        </w:tblPrEx>
        <w:trPr>
          <w:trHeight w:val="23" w:hRule="atLeast"/>
        </w:trPr>
        <w:tc>
          <w:tcPr>
            <w:tcW w:w="882" w:type="pct"/>
            <w:tcBorders>
              <w:top w:val="single" w:color="auto" w:sz="4" w:space="0"/>
              <w:left w:val="single" w:color="auto" w:sz="4" w:space="0"/>
              <w:bottom w:val="single" w:color="auto" w:sz="4" w:space="0"/>
              <w:right w:val="single" w:color="auto" w:sz="4" w:space="0"/>
            </w:tcBorders>
            <w:shd w:val="clear" w:color="auto" w:fill="BEBEBE"/>
            <w:noWrap w:val="0"/>
            <w:vAlign w:val="center"/>
          </w:tcPr>
          <w:p w14:paraId="6BBFCEF6">
            <w:pPr>
              <w:pStyle w:val="23"/>
              <w:spacing w:after="0" w:line="240" w:lineRule="auto"/>
              <w:ind w:firstLine="0" w:firstLineChars="0"/>
              <w:jc w:val="center"/>
              <w:rPr>
                <w:rFonts w:hint="eastAsia" w:ascii="仿宋" w:hAnsi="仿宋" w:eastAsia="仿宋" w:cstheme="minorEastAsia"/>
                <w:color w:val="auto"/>
                <w:sz w:val="21"/>
                <w:szCs w:val="21"/>
                <w:highlight w:val="none"/>
                <w:lang w:val="en-US" w:eastAsia="zh-CN"/>
              </w:rPr>
            </w:pPr>
            <w:r>
              <w:rPr>
                <w:rFonts w:hint="eastAsia" w:ascii="仿宋" w:hAnsi="仿宋" w:eastAsia="仿宋" w:cstheme="minorEastAsia"/>
                <w:color w:val="auto"/>
                <w:sz w:val="21"/>
                <w:szCs w:val="21"/>
                <w:highlight w:val="none"/>
                <w:lang w:val="en-US" w:eastAsia="zh-CN"/>
              </w:rPr>
              <w:t>序号</w:t>
            </w:r>
          </w:p>
        </w:tc>
        <w:tc>
          <w:tcPr>
            <w:tcW w:w="1686" w:type="pct"/>
            <w:tcBorders>
              <w:top w:val="single" w:color="auto" w:sz="4" w:space="0"/>
              <w:left w:val="single" w:color="auto" w:sz="4" w:space="0"/>
              <w:bottom w:val="single" w:color="auto" w:sz="4" w:space="0"/>
              <w:right w:val="single" w:color="auto" w:sz="4" w:space="0"/>
            </w:tcBorders>
            <w:shd w:val="clear" w:color="auto" w:fill="BEBEBE"/>
            <w:noWrap w:val="0"/>
            <w:vAlign w:val="center"/>
          </w:tcPr>
          <w:p w14:paraId="2B881EF3">
            <w:pPr>
              <w:pStyle w:val="23"/>
              <w:spacing w:after="0" w:line="240" w:lineRule="auto"/>
              <w:ind w:firstLine="0" w:firstLineChars="0"/>
              <w:jc w:val="center"/>
              <w:rPr>
                <w:rFonts w:hint="eastAsia" w:ascii="仿宋" w:hAnsi="仿宋" w:eastAsia="仿宋" w:cstheme="minorEastAsia"/>
                <w:color w:val="auto"/>
                <w:sz w:val="21"/>
                <w:szCs w:val="21"/>
                <w:highlight w:val="none"/>
                <w:lang w:val="en-US" w:eastAsia="zh-CN"/>
              </w:rPr>
            </w:pPr>
            <w:r>
              <w:rPr>
                <w:rFonts w:hint="eastAsia" w:ascii="仿宋" w:hAnsi="仿宋" w:eastAsia="仿宋" w:cstheme="minorEastAsia"/>
                <w:color w:val="auto"/>
                <w:sz w:val="21"/>
                <w:szCs w:val="21"/>
                <w:highlight w:val="none"/>
                <w:lang w:val="en-US" w:eastAsia="zh-CN"/>
              </w:rPr>
              <w:t>区域</w:t>
            </w:r>
          </w:p>
        </w:tc>
        <w:tc>
          <w:tcPr>
            <w:tcW w:w="2431" w:type="pct"/>
            <w:tcBorders>
              <w:top w:val="single" w:color="auto" w:sz="4" w:space="0"/>
              <w:left w:val="single" w:color="auto" w:sz="4" w:space="0"/>
              <w:bottom w:val="single" w:color="auto" w:sz="4" w:space="0"/>
              <w:right w:val="single" w:color="auto" w:sz="4" w:space="0"/>
            </w:tcBorders>
            <w:shd w:val="clear" w:color="auto" w:fill="BEBEBE"/>
            <w:noWrap w:val="0"/>
            <w:vAlign w:val="center"/>
          </w:tcPr>
          <w:p w14:paraId="525CF378">
            <w:pPr>
              <w:pStyle w:val="23"/>
              <w:spacing w:after="0" w:line="240" w:lineRule="auto"/>
              <w:ind w:firstLine="0" w:firstLineChars="0"/>
              <w:jc w:val="center"/>
              <w:rPr>
                <w:rFonts w:hint="eastAsia" w:ascii="仿宋" w:hAnsi="仿宋" w:eastAsia="仿宋" w:cstheme="minorEastAsia"/>
                <w:color w:val="auto"/>
                <w:sz w:val="21"/>
                <w:szCs w:val="21"/>
                <w:highlight w:val="none"/>
                <w:lang w:val="en-US" w:eastAsia="zh-CN"/>
              </w:rPr>
            </w:pPr>
            <w:r>
              <w:rPr>
                <w:rFonts w:hint="eastAsia" w:ascii="仿宋" w:hAnsi="仿宋" w:eastAsia="仿宋" w:cstheme="minorEastAsia"/>
                <w:color w:val="auto"/>
                <w:sz w:val="21"/>
                <w:szCs w:val="21"/>
                <w:highlight w:val="none"/>
                <w:lang w:val="en-US" w:eastAsia="zh-CN"/>
              </w:rPr>
              <w:t>2035年（万m</w:t>
            </w:r>
            <w:r>
              <w:rPr>
                <w:rFonts w:hint="eastAsia" w:ascii="仿宋" w:hAnsi="仿宋" w:eastAsia="仿宋" w:cstheme="minorEastAsia"/>
                <w:color w:val="auto"/>
                <w:sz w:val="21"/>
                <w:szCs w:val="21"/>
                <w:highlight w:val="none"/>
                <w:vertAlign w:val="superscript"/>
                <w:lang w:val="en-US" w:eastAsia="zh-CN"/>
              </w:rPr>
              <w:t>2</w:t>
            </w:r>
            <w:r>
              <w:rPr>
                <w:rFonts w:hint="eastAsia" w:ascii="仿宋" w:hAnsi="仿宋" w:eastAsia="仿宋" w:cstheme="minorEastAsia"/>
                <w:color w:val="auto"/>
                <w:sz w:val="21"/>
                <w:szCs w:val="21"/>
                <w:highlight w:val="none"/>
                <w:lang w:val="en-US" w:eastAsia="zh-CN"/>
              </w:rPr>
              <w:t>）</w:t>
            </w:r>
          </w:p>
        </w:tc>
      </w:tr>
      <w:tr w14:paraId="542D7688">
        <w:tblPrEx>
          <w:tblCellMar>
            <w:top w:w="0" w:type="dxa"/>
            <w:left w:w="108" w:type="dxa"/>
            <w:bottom w:w="0" w:type="dxa"/>
            <w:right w:w="108" w:type="dxa"/>
          </w:tblCellMar>
        </w:tblPrEx>
        <w:trPr>
          <w:trHeight w:val="23" w:hRule="atLeast"/>
        </w:trPr>
        <w:tc>
          <w:tcPr>
            <w:tcW w:w="882" w:type="pct"/>
            <w:tcBorders>
              <w:top w:val="single" w:color="auto" w:sz="4" w:space="0"/>
              <w:left w:val="single" w:color="auto" w:sz="4" w:space="0"/>
              <w:bottom w:val="single" w:color="auto" w:sz="4" w:space="0"/>
              <w:right w:val="single" w:color="auto" w:sz="4" w:space="0"/>
            </w:tcBorders>
            <w:noWrap w:val="0"/>
            <w:vAlign w:val="center"/>
          </w:tcPr>
          <w:p w14:paraId="16E97DD4">
            <w:pPr>
              <w:pStyle w:val="23"/>
              <w:spacing w:after="0" w:line="240" w:lineRule="auto"/>
              <w:ind w:firstLine="0" w:firstLineChars="0"/>
              <w:jc w:val="center"/>
              <w:rPr>
                <w:rFonts w:hint="eastAsia" w:ascii="仿宋" w:hAnsi="仿宋" w:eastAsia="仿宋" w:cstheme="minorEastAsia"/>
                <w:color w:val="auto"/>
                <w:sz w:val="21"/>
                <w:szCs w:val="21"/>
                <w:highlight w:val="none"/>
                <w:lang w:val="en-US" w:eastAsia="zh-CN"/>
              </w:rPr>
            </w:pPr>
            <w:bookmarkStart w:id="5" w:name="RANGE!H381"/>
            <w:bookmarkStart w:id="6" w:name="_Hlk308362594" w:colFirst="0" w:colLast="4"/>
            <w:r>
              <w:rPr>
                <w:rFonts w:hint="eastAsia" w:ascii="仿宋" w:hAnsi="仿宋" w:eastAsia="仿宋" w:cstheme="minorEastAsia"/>
                <w:color w:val="auto"/>
                <w:sz w:val="21"/>
                <w:szCs w:val="21"/>
                <w:highlight w:val="none"/>
                <w:lang w:val="en-US" w:eastAsia="zh-CN"/>
              </w:rPr>
              <w:t>1</w:t>
            </w:r>
            <w:bookmarkEnd w:id="5"/>
          </w:p>
        </w:tc>
        <w:tc>
          <w:tcPr>
            <w:tcW w:w="1686" w:type="pct"/>
            <w:tcBorders>
              <w:top w:val="single" w:color="auto" w:sz="4" w:space="0"/>
              <w:left w:val="single" w:color="auto" w:sz="4" w:space="0"/>
              <w:bottom w:val="single" w:color="auto" w:sz="4" w:space="0"/>
              <w:right w:val="single" w:color="auto" w:sz="4" w:space="0"/>
            </w:tcBorders>
            <w:noWrap w:val="0"/>
            <w:vAlign w:val="center"/>
          </w:tcPr>
          <w:p w14:paraId="033A545C">
            <w:pPr>
              <w:pStyle w:val="23"/>
              <w:spacing w:after="0" w:line="240" w:lineRule="auto"/>
              <w:ind w:firstLine="0" w:firstLineChars="0"/>
              <w:jc w:val="center"/>
              <w:rPr>
                <w:rFonts w:hint="eastAsia" w:ascii="仿宋" w:hAnsi="仿宋" w:eastAsia="仿宋" w:cstheme="minorEastAsia"/>
                <w:color w:val="auto"/>
                <w:sz w:val="21"/>
                <w:szCs w:val="21"/>
                <w:highlight w:val="none"/>
                <w:lang w:val="en-US" w:eastAsia="zh-CN"/>
              </w:rPr>
            </w:pPr>
            <w:r>
              <w:rPr>
                <w:rFonts w:hint="eastAsia" w:ascii="仿宋" w:hAnsi="仿宋" w:eastAsia="仿宋" w:cstheme="minorEastAsia"/>
                <w:color w:val="auto"/>
                <w:sz w:val="21"/>
                <w:szCs w:val="21"/>
                <w:highlight w:val="none"/>
                <w:lang w:val="en-US" w:eastAsia="zh-CN"/>
              </w:rPr>
              <w:t>A</w:t>
            </w:r>
          </w:p>
        </w:tc>
        <w:tc>
          <w:tcPr>
            <w:tcW w:w="2431" w:type="pct"/>
            <w:tcBorders>
              <w:top w:val="single" w:color="auto" w:sz="4" w:space="0"/>
              <w:left w:val="single" w:color="auto" w:sz="4" w:space="0"/>
              <w:bottom w:val="single" w:color="auto" w:sz="4" w:space="0"/>
              <w:right w:val="single" w:color="auto" w:sz="4" w:space="0"/>
            </w:tcBorders>
            <w:noWrap w:val="0"/>
            <w:vAlign w:val="center"/>
          </w:tcPr>
          <w:p w14:paraId="390E644E">
            <w:pPr>
              <w:pStyle w:val="23"/>
              <w:spacing w:after="0" w:line="240" w:lineRule="auto"/>
              <w:ind w:firstLine="0" w:firstLineChars="0"/>
              <w:jc w:val="center"/>
              <w:rPr>
                <w:rFonts w:hint="default" w:ascii="仿宋" w:hAnsi="仿宋" w:eastAsia="仿宋" w:cstheme="minorEastAsia"/>
                <w:color w:val="auto"/>
                <w:sz w:val="21"/>
                <w:szCs w:val="21"/>
                <w:highlight w:val="none"/>
                <w:lang w:val="en-US" w:eastAsia="zh-CN"/>
              </w:rPr>
            </w:pPr>
            <w:r>
              <w:rPr>
                <w:rFonts w:hint="eastAsia" w:ascii="仿宋" w:hAnsi="仿宋" w:eastAsia="仿宋" w:cstheme="minorEastAsia"/>
                <w:color w:val="auto"/>
                <w:sz w:val="21"/>
                <w:szCs w:val="21"/>
                <w:highlight w:val="none"/>
                <w:lang w:val="en-US" w:eastAsia="zh-CN"/>
              </w:rPr>
              <w:t>449.10</w:t>
            </w:r>
          </w:p>
        </w:tc>
      </w:tr>
      <w:tr w14:paraId="6ADE99B1">
        <w:tblPrEx>
          <w:tblCellMar>
            <w:top w:w="0" w:type="dxa"/>
            <w:left w:w="108" w:type="dxa"/>
            <w:bottom w:w="0" w:type="dxa"/>
            <w:right w:w="108" w:type="dxa"/>
          </w:tblCellMar>
        </w:tblPrEx>
        <w:trPr>
          <w:trHeight w:val="23" w:hRule="atLeast"/>
        </w:trPr>
        <w:tc>
          <w:tcPr>
            <w:tcW w:w="882" w:type="pct"/>
            <w:tcBorders>
              <w:top w:val="single" w:color="auto" w:sz="4" w:space="0"/>
              <w:left w:val="single" w:color="auto" w:sz="4" w:space="0"/>
              <w:bottom w:val="single" w:color="auto" w:sz="4" w:space="0"/>
              <w:right w:val="single" w:color="auto" w:sz="4" w:space="0"/>
            </w:tcBorders>
            <w:noWrap w:val="0"/>
            <w:vAlign w:val="center"/>
          </w:tcPr>
          <w:p w14:paraId="2FB17E30">
            <w:pPr>
              <w:pStyle w:val="23"/>
              <w:spacing w:after="0" w:line="240" w:lineRule="auto"/>
              <w:ind w:firstLine="0" w:firstLineChars="0"/>
              <w:jc w:val="center"/>
              <w:rPr>
                <w:rFonts w:hint="eastAsia" w:ascii="仿宋" w:hAnsi="仿宋" w:eastAsia="仿宋" w:cstheme="minorEastAsia"/>
                <w:color w:val="auto"/>
                <w:sz w:val="21"/>
                <w:szCs w:val="21"/>
                <w:highlight w:val="none"/>
                <w:lang w:val="en-US" w:eastAsia="zh-CN"/>
              </w:rPr>
            </w:pPr>
            <w:r>
              <w:rPr>
                <w:rFonts w:hint="eastAsia" w:ascii="仿宋" w:hAnsi="仿宋" w:eastAsia="仿宋" w:cstheme="minorEastAsia"/>
                <w:color w:val="auto"/>
                <w:sz w:val="21"/>
                <w:szCs w:val="21"/>
                <w:highlight w:val="none"/>
                <w:lang w:val="en-US" w:eastAsia="zh-CN"/>
              </w:rPr>
              <w:t>2</w:t>
            </w:r>
          </w:p>
        </w:tc>
        <w:tc>
          <w:tcPr>
            <w:tcW w:w="1686" w:type="pct"/>
            <w:tcBorders>
              <w:top w:val="single" w:color="auto" w:sz="4" w:space="0"/>
              <w:left w:val="single" w:color="auto" w:sz="4" w:space="0"/>
              <w:bottom w:val="single" w:color="auto" w:sz="4" w:space="0"/>
              <w:right w:val="single" w:color="auto" w:sz="4" w:space="0"/>
            </w:tcBorders>
            <w:noWrap w:val="0"/>
            <w:vAlign w:val="center"/>
          </w:tcPr>
          <w:p w14:paraId="1B27B8A4">
            <w:pPr>
              <w:pStyle w:val="23"/>
              <w:spacing w:after="0" w:line="240" w:lineRule="auto"/>
              <w:ind w:firstLine="0" w:firstLineChars="0"/>
              <w:jc w:val="center"/>
              <w:rPr>
                <w:rFonts w:hint="eastAsia" w:ascii="仿宋" w:hAnsi="仿宋" w:eastAsia="仿宋" w:cstheme="minorEastAsia"/>
                <w:color w:val="auto"/>
                <w:sz w:val="21"/>
                <w:szCs w:val="21"/>
                <w:highlight w:val="none"/>
                <w:lang w:val="en-US" w:eastAsia="zh-CN"/>
              </w:rPr>
            </w:pPr>
            <w:r>
              <w:rPr>
                <w:rFonts w:hint="eastAsia" w:ascii="仿宋" w:hAnsi="仿宋" w:eastAsia="仿宋" w:cstheme="minorEastAsia"/>
                <w:color w:val="auto"/>
                <w:sz w:val="21"/>
                <w:szCs w:val="21"/>
                <w:highlight w:val="none"/>
                <w:lang w:val="en-US" w:eastAsia="zh-CN"/>
              </w:rPr>
              <w:t>B</w:t>
            </w:r>
          </w:p>
        </w:tc>
        <w:tc>
          <w:tcPr>
            <w:tcW w:w="2431" w:type="pct"/>
            <w:tcBorders>
              <w:top w:val="single" w:color="auto" w:sz="4" w:space="0"/>
              <w:left w:val="single" w:color="auto" w:sz="4" w:space="0"/>
              <w:bottom w:val="single" w:color="auto" w:sz="4" w:space="0"/>
              <w:right w:val="single" w:color="auto" w:sz="4" w:space="0"/>
            </w:tcBorders>
            <w:noWrap w:val="0"/>
            <w:vAlign w:val="center"/>
          </w:tcPr>
          <w:p w14:paraId="29B1D17A">
            <w:pPr>
              <w:pStyle w:val="23"/>
              <w:spacing w:after="0" w:line="240" w:lineRule="auto"/>
              <w:ind w:firstLine="0" w:firstLineChars="0"/>
              <w:jc w:val="center"/>
              <w:rPr>
                <w:rFonts w:hint="default" w:ascii="仿宋" w:hAnsi="仿宋" w:eastAsia="仿宋" w:cstheme="minorEastAsia"/>
                <w:color w:val="auto"/>
                <w:sz w:val="21"/>
                <w:szCs w:val="21"/>
                <w:highlight w:val="none"/>
                <w:lang w:val="en-US" w:eastAsia="zh-CN"/>
              </w:rPr>
            </w:pPr>
            <w:r>
              <w:rPr>
                <w:rFonts w:hint="eastAsia" w:ascii="仿宋" w:hAnsi="仿宋" w:eastAsia="仿宋" w:cstheme="minorEastAsia"/>
                <w:color w:val="auto"/>
                <w:sz w:val="21"/>
                <w:szCs w:val="21"/>
                <w:highlight w:val="none"/>
                <w:lang w:val="en-US" w:eastAsia="zh-CN"/>
              </w:rPr>
              <w:t>465.65</w:t>
            </w:r>
          </w:p>
        </w:tc>
      </w:tr>
      <w:tr w14:paraId="50FC34BD">
        <w:tblPrEx>
          <w:tblCellMar>
            <w:top w:w="0" w:type="dxa"/>
            <w:left w:w="108" w:type="dxa"/>
            <w:bottom w:w="0" w:type="dxa"/>
            <w:right w:w="108" w:type="dxa"/>
          </w:tblCellMar>
        </w:tblPrEx>
        <w:trPr>
          <w:trHeight w:val="23" w:hRule="atLeast"/>
        </w:trPr>
        <w:tc>
          <w:tcPr>
            <w:tcW w:w="882" w:type="pct"/>
            <w:tcBorders>
              <w:top w:val="single" w:color="auto" w:sz="4" w:space="0"/>
              <w:left w:val="single" w:color="auto" w:sz="4" w:space="0"/>
              <w:bottom w:val="single" w:color="auto" w:sz="4" w:space="0"/>
              <w:right w:val="single" w:color="auto" w:sz="4" w:space="0"/>
            </w:tcBorders>
            <w:noWrap w:val="0"/>
            <w:vAlign w:val="center"/>
          </w:tcPr>
          <w:p w14:paraId="74601BFE">
            <w:pPr>
              <w:pStyle w:val="23"/>
              <w:spacing w:after="0" w:line="240" w:lineRule="auto"/>
              <w:ind w:firstLine="0" w:firstLineChars="0"/>
              <w:jc w:val="center"/>
              <w:rPr>
                <w:rFonts w:hint="eastAsia" w:ascii="仿宋" w:hAnsi="仿宋" w:eastAsia="仿宋" w:cstheme="minorEastAsia"/>
                <w:color w:val="auto"/>
                <w:sz w:val="21"/>
                <w:szCs w:val="21"/>
                <w:highlight w:val="none"/>
                <w:lang w:val="en-US" w:eastAsia="zh-CN"/>
              </w:rPr>
            </w:pPr>
            <w:r>
              <w:rPr>
                <w:rFonts w:hint="eastAsia" w:ascii="仿宋" w:hAnsi="仿宋" w:eastAsia="仿宋" w:cstheme="minorEastAsia"/>
                <w:color w:val="auto"/>
                <w:sz w:val="21"/>
                <w:szCs w:val="21"/>
                <w:highlight w:val="none"/>
                <w:lang w:val="en-US" w:eastAsia="zh-CN"/>
              </w:rPr>
              <w:t>3</w:t>
            </w:r>
          </w:p>
        </w:tc>
        <w:tc>
          <w:tcPr>
            <w:tcW w:w="1686" w:type="pct"/>
            <w:tcBorders>
              <w:top w:val="single" w:color="auto" w:sz="4" w:space="0"/>
              <w:left w:val="single" w:color="auto" w:sz="4" w:space="0"/>
              <w:bottom w:val="single" w:color="auto" w:sz="4" w:space="0"/>
              <w:right w:val="single" w:color="auto" w:sz="4" w:space="0"/>
            </w:tcBorders>
            <w:noWrap w:val="0"/>
            <w:vAlign w:val="center"/>
          </w:tcPr>
          <w:p w14:paraId="3B9FB351">
            <w:pPr>
              <w:pStyle w:val="23"/>
              <w:spacing w:after="0" w:line="240" w:lineRule="auto"/>
              <w:ind w:firstLine="0" w:firstLineChars="0"/>
              <w:jc w:val="center"/>
              <w:rPr>
                <w:rFonts w:hint="eastAsia" w:ascii="仿宋" w:hAnsi="仿宋" w:eastAsia="仿宋" w:cstheme="minorEastAsia"/>
                <w:color w:val="auto"/>
                <w:sz w:val="21"/>
                <w:szCs w:val="21"/>
                <w:highlight w:val="none"/>
                <w:lang w:val="en-US" w:eastAsia="zh-CN"/>
              </w:rPr>
            </w:pPr>
            <w:r>
              <w:rPr>
                <w:rFonts w:hint="eastAsia" w:ascii="仿宋" w:hAnsi="仿宋" w:eastAsia="仿宋" w:cstheme="minorEastAsia"/>
                <w:color w:val="auto"/>
                <w:sz w:val="21"/>
                <w:szCs w:val="21"/>
                <w:highlight w:val="none"/>
                <w:lang w:val="en-US" w:eastAsia="zh-CN"/>
              </w:rPr>
              <w:t>C</w:t>
            </w:r>
          </w:p>
        </w:tc>
        <w:tc>
          <w:tcPr>
            <w:tcW w:w="2431" w:type="pct"/>
            <w:tcBorders>
              <w:top w:val="single" w:color="auto" w:sz="4" w:space="0"/>
              <w:left w:val="single" w:color="auto" w:sz="4" w:space="0"/>
              <w:bottom w:val="single" w:color="auto" w:sz="4" w:space="0"/>
              <w:right w:val="single" w:color="auto" w:sz="4" w:space="0"/>
            </w:tcBorders>
            <w:noWrap w:val="0"/>
            <w:vAlign w:val="center"/>
          </w:tcPr>
          <w:p w14:paraId="122DCF6F">
            <w:pPr>
              <w:pStyle w:val="23"/>
              <w:spacing w:after="0" w:line="240" w:lineRule="auto"/>
              <w:ind w:firstLine="0" w:firstLineChars="0"/>
              <w:jc w:val="center"/>
              <w:rPr>
                <w:rFonts w:hint="default" w:ascii="仿宋" w:hAnsi="仿宋" w:eastAsia="仿宋" w:cstheme="minorEastAsia"/>
                <w:color w:val="auto"/>
                <w:sz w:val="21"/>
                <w:szCs w:val="21"/>
                <w:highlight w:val="none"/>
                <w:lang w:val="en-US" w:eastAsia="zh-CN"/>
              </w:rPr>
            </w:pPr>
            <w:r>
              <w:rPr>
                <w:rFonts w:hint="eastAsia" w:ascii="仿宋" w:hAnsi="仿宋" w:eastAsia="仿宋" w:cstheme="minorEastAsia"/>
                <w:color w:val="auto"/>
                <w:sz w:val="21"/>
                <w:szCs w:val="21"/>
                <w:highlight w:val="none"/>
                <w:lang w:val="en-US" w:eastAsia="zh-CN"/>
              </w:rPr>
              <w:t>474.83</w:t>
            </w:r>
          </w:p>
        </w:tc>
      </w:tr>
      <w:tr w14:paraId="698FD975">
        <w:tblPrEx>
          <w:tblCellMar>
            <w:top w:w="0" w:type="dxa"/>
            <w:left w:w="108" w:type="dxa"/>
            <w:bottom w:w="0" w:type="dxa"/>
            <w:right w:w="108" w:type="dxa"/>
          </w:tblCellMar>
        </w:tblPrEx>
        <w:trPr>
          <w:trHeight w:val="23" w:hRule="atLeast"/>
        </w:trPr>
        <w:tc>
          <w:tcPr>
            <w:tcW w:w="882" w:type="pct"/>
            <w:tcBorders>
              <w:top w:val="single" w:color="auto" w:sz="4" w:space="0"/>
              <w:left w:val="single" w:color="auto" w:sz="4" w:space="0"/>
              <w:bottom w:val="single" w:color="auto" w:sz="4" w:space="0"/>
              <w:right w:val="single" w:color="auto" w:sz="4" w:space="0"/>
            </w:tcBorders>
            <w:noWrap w:val="0"/>
            <w:vAlign w:val="center"/>
          </w:tcPr>
          <w:p w14:paraId="16B4800D">
            <w:pPr>
              <w:pStyle w:val="23"/>
              <w:spacing w:after="0" w:line="240" w:lineRule="auto"/>
              <w:ind w:firstLine="0" w:firstLineChars="0"/>
              <w:jc w:val="center"/>
              <w:rPr>
                <w:rFonts w:hint="eastAsia" w:ascii="仿宋" w:hAnsi="仿宋" w:eastAsia="仿宋" w:cstheme="minorEastAsia"/>
                <w:color w:val="auto"/>
                <w:sz w:val="21"/>
                <w:szCs w:val="21"/>
                <w:highlight w:val="none"/>
                <w:lang w:val="en-US" w:eastAsia="zh-CN"/>
              </w:rPr>
            </w:pPr>
            <w:r>
              <w:rPr>
                <w:rFonts w:hint="eastAsia" w:ascii="仿宋" w:hAnsi="仿宋" w:eastAsia="仿宋" w:cstheme="minorEastAsia"/>
                <w:color w:val="auto"/>
                <w:sz w:val="21"/>
                <w:szCs w:val="21"/>
                <w:highlight w:val="none"/>
                <w:lang w:val="en-US" w:eastAsia="zh-CN"/>
              </w:rPr>
              <w:t>4</w:t>
            </w:r>
          </w:p>
        </w:tc>
        <w:tc>
          <w:tcPr>
            <w:tcW w:w="1686" w:type="pct"/>
            <w:tcBorders>
              <w:top w:val="single" w:color="auto" w:sz="4" w:space="0"/>
              <w:left w:val="single" w:color="auto" w:sz="4" w:space="0"/>
              <w:bottom w:val="single" w:color="auto" w:sz="4" w:space="0"/>
              <w:right w:val="single" w:color="auto" w:sz="4" w:space="0"/>
            </w:tcBorders>
            <w:noWrap w:val="0"/>
            <w:vAlign w:val="center"/>
          </w:tcPr>
          <w:p w14:paraId="1C94625F">
            <w:pPr>
              <w:pStyle w:val="23"/>
              <w:spacing w:after="0" w:line="240" w:lineRule="auto"/>
              <w:ind w:firstLine="0" w:firstLineChars="0"/>
              <w:jc w:val="center"/>
              <w:rPr>
                <w:rFonts w:hint="eastAsia" w:ascii="仿宋" w:hAnsi="仿宋" w:eastAsia="仿宋" w:cstheme="minorEastAsia"/>
                <w:color w:val="auto"/>
                <w:sz w:val="21"/>
                <w:szCs w:val="21"/>
                <w:highlight w:val="none"/>
                <w:lang w:val="en-US" w:eastAsia="zh-CN"/>
              </w:rPr>
            </w:pPr>
            <w:r>
              <w:rPr>
                <w:rFonts w:hint="eastAsia" w:ascii="仿宋" w:hAnsi="仿宋" w:eastAsia="仿宋" w:cstheme="minorEastAsia"/>
                <w:color w:val="auto"/>
                <w:sz w:val="21"/>
                <w:szCs w:val="21"/>
                <w:highlight w:val="none"/>
                <w:lang w:val="en-US" w:eastAsia="zh-CN"/>
              </w:rPr>
              <w:t>D</w:t>
            </w:r>
          </w:p>
        </w:tc>
        <w:tc>
          <w:tcPr>
            <w:tcW w:w="2431" w:type="pct"/>
            <w:tcBorders>
              <w:top w:val="single" w:color="auto" w:sz="4" w:space="0"/>
              <w:left w:val="single" w:color="auto" w:sz="4" w:space="0"/>
              <w:bottom w:val="single" w:color="auto" w:sz="4" w:space="0"/>
              <w:right w:val="single" w:color="auto" w:sz="4" w:space="0"/>
            </w:tcBorders>
            <w:noWrap w:val="0"/>
            <w:vAlign w:val="center"/>
          </w:tcPr>
          <w:p w14:paraId="7687F35F">
            <w:pPr>
              <w:pStyle w:val="23"/>
              <w:spacing w:after="0" w:line="240" w:lineRule="auto"/>
              <w:ind w:firstLine="0" w:firstLineChars="0"/>
              <w:jc w:val="center"/>
              <w:rPr>
                <w:rFonts w:hint="default" w:ascii="仿宋" w:hAnsi="仿宋" w:eastAsia="仿宋" w:cstheme="minorEastAsia"/>
                <w:color w:val="auto"/>
                <w:sz w:val="21"/>
                <w:szCs w:val="21"/>
                <w:highlight w:val="none"/>
                <w:lang w:val="en-US" w:eastAsia="zh-CN"/>
              </w:rPr>
            </w:pPr>
            <w:r>
              <w:rPr>
                <w:rFonts w:hint="eastAsia" w:ascii="仿宋" w:hAnsi="仿宋" w:eastAsia="仿宋" w:cstheme="minorEastAsia"/>
                <w:color w:val="auto"/>
                <w:sz w:val="21"/>
                <w:szCs w:val="21"/>
                <w:highlight w:val="none"/>
                <w:lang w:val="en-US" w:eastAsia="zh-CN"/>
              </w:rPr>
              <w:t>448.56</w:t>
            </w:r>
          </w:p>
        </w:tc>
      </w:tr>
      <w:tr w14:paraId="495BA3A5">
        <w:tblPrEx>
          <w:tblCellMar>
            <w:top w:w="0" w:type="dxa"/>
            <w:left w:w="108" w:type="dxa"/>
            <w:bottom w:w="0" w:type="dxa"/>
            <w:right w:w="108" w:type="dxa"/>
          </w:tblCellMar>
        </w:tblPrEx>
        <w:trPr>
          <w:trHeight w:val="23" w:hRule="atLeast"/>
        </w:trPr>
        <w:tc>
          <w:tcPr>
            <w:tcW w:w="882" w:type="pct"/>
            <w:tcBorders>
              <w:top w:val="single" w:color="auto" w:sz="4" w:space="0"/>
              <w:left w:val="single" w:color="auto" w:sz="4" w:space="0"/>
              <w:bottom w:val="single" w:color="auto" w:sz="4" w:space="0"/>
              <w:right w:val="single" w:color="auto" w:sz="4" w:space="0"/>
            </w:tcBorders>
            <w:noWrap w:val="0"/>
            <w:vAlign w:val="center"/>
          </w:tcPr>
          <w:p w14:paraId="39DC13EB">
            <w:pPr>
              <w:pStyle w:val="23"/>
              <w:spacing w:after="0" w:line="240" w:lineRule="auto"/>
              <w:ind w:firstLine="0" w:firstLineChars="0"/>
              <w:jc w:val="center"/>
              <w:rPr>
                <w:rFonts w:hint="eastAsia" w:ascii="仿宋" w:hAnsi="仿宋" w:eastAsia="仿宋" w:cstheme="minorEastAsia"/>
                <w:color w:val="auto"/>
                <w:sz w:val="21"/>
                <w:szCs w:val="21"/>
                <w:highlight w:val="none"/>
                <w:lang w:val="en-US" w:eastAsia="zh-CN"/>
              </w:rPr>
            </w:pPr>
            <w:r>
              <w:rPr>
                <w:rFonts w:hint="eastAsia" w:ascii="仿宋" w:hAnsi="仿宋" w:eastAsia="仿宋" w:cstheme="minorEastAsia"/>
                <w:color w:val="auto"/>
                <w:sz w:val="21"/>
                <w:szCs w:val="21"/>
                <w:highlight w:val="none"/>
                <w:lang w:val="en-US" w:eastAsia="zh-CN"/>
              </w:rPr>
              <w:t>合计</w:t>
            </w:r>
          </w:p>
        </w:tc>
        <w:tc>
          <w:tcPr>
            <w:tcW w:w="1686" w:type="pct"/>
            <w:tcBorders>
              <w:top w:val="single" w:color="auto" w:sz="4" w:space="0"/>
              <w:left w:val="single" w:color="auto" w:sz="4" w:space="0"/>
              <w:bottom w:val="single" w:color="auto" w:sz="4" w:space="0"/>
              <w:right w:val="single" w:color="auto" w:sz="4" w:space="0"/>
            </w:tcBorders>
            <w:noWrap w:val="0"/>
            <w:vAlign w:val="center"/>
          </w:tcPr>
          <w:p w14:paraId="1DB2D7A3">
            <w:pPr>
              <w:pStyle w:val="23"/>
              <w:spacing w:after="0" w:line="240" w:lineRule="auto"/>
              <w:ind w:firstLine="0" w:firstLineChars="0"/>
              <w:jc w:val="center"/>
              <w:rPr>
                <w:rFonts w:hint="eastAsia" w:ascii="仿宋" w:hAnsi="仿宋" w:eastAsia="仿宋" w:cstheme="minorEastAsia"/>
                <w:color w:val="auto"/>
                <w:sz w:val="21"/>
                <w:szCs w:val="21"/>
                <w:highlight w:val="none"/>
                <w:lang w:val="en-US" w:eastAsia="zh-CN"/>
              </w:rPr>
            </w:pPr>
            <w:r>
              <w:rPr>
                <w:rFonts w:hint="eastAsia" w:ascii="仿宋" w:hAnsi="仿宋" w:eastAsia="仿宋" w:cstheme="minorEastAsia"/>
                <w:color w:val="auto"/>
                <w:sz w:val="21"/>
                <w:szCs w:val="21"/>
                <w:highlight w:val="none"/>
                <w:lang w:val="en-US" w:eastAsia="zh-CN"/>
              </w:rPr>
              <w:t>——</w:t>
            </w:r>
          </w:p>
        </w:tc>
        <w:tc>
          <w:tcPr>
            <w:tcW w:w="2431" w:type="pct"/>
            <w:tcBorders>
              <w:top w:val="single" w:color="auto" w:sz="4" w:space="0"/>
              <w:left w:val="single" w:color="auto" w:sz="4" w:space="0"/>
              <w:bottom w:val="single" w:color="auto" w:sz="4" w:space="0"/>
              <w:right w:val="single" w:color="auto" w:sz="4" w:space="0"/>
            </w:tcBorders>
            <w:noWrap w:val="0"/>
            <w:vAlign w:val="center"/>
          </w:tcPr>
          <w:p w14:paraId="61A135F0">
            <w:pPr>
              <w:pStyle w:val="23"/>
              <w:spacing w:after="0" w:line="240" w:lineRule="auto"/>
              <w:ind w:firstLine="0" w:firstLineChars="0"/>
              <w:jc w:val="center"/>
              <w:rPr>
                <w:rFonts w:hint="default" w:ascii="仿宋" w:hAnsi="仿宋" w:eastAsia="仿宋" w:cstheme="minorEastAsia"/>
                <w:color w:val="auto"/>
                <w:sz w:val="21"/>
                <w:szCs w:val="21"/>
                <w:highlight w:val="none"/>
                <w:lang w:val="en-US" w:eastAsia="zh-CN"/>
              </w:rPr>
            </w:pPr>
            <w:r>
              <w:rPr>
                <w:rFonts w:hint="eastAsia" w:ascii="仿宋" w:hAnsi="仿宋" w:eastAsia="仿宋" w:cstheme="minorEastAsia"/>
                <w:color w:val="auto"/>
                <w:sz w:val="21"/>
                <w:szCs w:val="21"/>
                <w:highlight w:val="none"/>
                <w:lang w:val="en-US" w:eastAsia="zh-CN"/>
              </w:rPr>
              <w:t>1838.13</w:t>
            </w:r>
          </w:p>
        </w:tc>
      </w:tr>
      <w:bookmarkEnd w:id="6"/>
    </w:tbl>
    <w:p w14:paraId="0F207E23">
      <w:pPr>
        <w:pStyle w:val="23"/>
        <w:ind w:firstLine="560"/>
        <w:rPr>
          <w:rFonts w:hint="eastAsia" w:ascii="仿宋" w:hAnsi="仿宋" w:eastAsia="仿宋" w:cstheme="minorEastAsia"/>
          <w:color w:val="auto"/>
          <w:sz w:val="28"/>
          <w:szCs w:val="28"/>
          <w:lang w:val="en-US" w:eastAsia="zh-CN"/>
        </w:rPr>
      </w:pPr>
      <w:r>
        <w:rPr>
          <w:rFonts w:hint="eastAsia" w:ascii="仿宋" w:hAnsi="仿宋" w:eastAsia="仿宋" w:cstheme="minorEastAsia"/>
          <w:color w:val="auto"/>
          <w:sz w:val="28"/>
          <w:szCs w:val="28"/>
          <w:lang w:val="en-US" w:eastAsia="zh-CN"/>
        </w:rPr>
        <w:t>规划2035年，中心城区集中供热热负荷总计约为616.44MW。</w:t>
      </w:r>
      <w:r>
        <w:rPr>
          <w:rFonts w:hint="eastAsia" w:ascii="仿宋" w:hAnsi="仿宋" w:eastAsia="仿宋" w:cstheme="minorEastAsia"/>
          <w:color w:val="auto"/>
          <w:sz w:val="28"/>
          <w:szCs w:val="28"/>
          <w:lang w:val="en-US" w:eastAsia="zh-CN"/>
        </w:rPr>
        <w:t>无极县经济开发区规划蒸汽热负荷为310t/h。</w:t>
      </w:r>
    </w:p>
    <w:p w14:paraId="6686064E">
      <w:pPr>
        <w:pStyle w:val="28"/>
        <w:numPr>
          <w:ilvl w:val="0"/>
          <w:numId w:val="3"/>
        </w:numPr>
        <w:jc w:val="left"/>
        <w:rPr>
          <w:rFonts w:ascii="仿宋" w:hAnsi="仿宋" w:eastAsia="仿宋" w:cstheme="minorEastAsia"/>
          <w:color w:val="auto"/>
          <w:szCs w:val="28"/>
        </w:rPr>
      </w:pPr>
      <w:bookmarkStart w:id="7" w:name="_Toc26030"/>
      <w:r>
        <w:rPr>
          <w:rFonts w:hint="eastAsia" w:ascii="仿宋" w:hAnsi="仿宋" w:eastAsia="仿宋" w:cstheme="minorEastAsia"/>
          <w:color w:val="auto"/>
          <w:szCs w:val="28"/>
          <w:lang w:val="en-US" w:eastAsia="zh-CN"/>
        </w:rPr>
        <w:t>供热热源</w:t>
      </w:r>
      <w:r>
        <w:rPr>
          <w:rFonts w:hint="eastAsia" w:ascii="仿宋" w:hAnsi="仿宋" w:eastAsia="仿宋" w:cstheme="minorEastAsia"/>
          <w:color w:val="auto"/>
          <w:szCs w:val="28"/>
        </w:rPr>
        <w:t>规划</w:t>
      </w:r>
      <w:bookmarkEnd w:id="7"/>
    </w:p>
    <w:p w14:paraId="78D7F674">
      <w:pPr>
        <w:pStyle w:val="23"/>
        <w:ind w:firstLine="560"/>
        <w:rPr>
          <w:rFonts w:ascii="仿宋" w:hAnsi="仿宋" w:eastAsia="仿宋" w:cstheme="minorEastAsia"/>
          <w:color w:val="auto"/>
          <w:sz w:val="28"/>
          <w:szCs w:val="28"/>
        </w:rPr>
      </w:pPr>
      <w:r>
        <w:rPr>
          <w:rFonts w:hint="eastAsia" w:ascii="仿宋" w:hAnsi="仿宋" w:eastAsia="仿宋" w:cstheme="minorEastAsia"/>
          <w:color w:val="auto"/>
          <w:sz w:val="28"/>
          <w:szCs w:val="28"/>
          <w:lang w:eastAsia="zh-CN"/>
        </w:rPr>
        <w:t>按照国土空间总体规划</w:t>
      </w:r>
      <w:r>
        <w:rPr>
          <w:rFonts w:hint="eastAsia" w:ascii="仿宋" w:hAnsi="仿宋" w:eastAsia="仿宋" w:cstheme="minorEastAsia"/>
          <w:color w:val="auto"/>
          <w:sz w:val="28"/>
          <w:szCs w:val="28"/>
          <w:lang w:val="en-US" w:eastAsia="zh-CN"/>
        </w:rPr>
        <w:t>和</w:t>
      </w:r>
      <w:r>
        <w:rPr>
          <w:rFonts w:hint="eastAsia" w:ascii="仿宋" w:hAnsi="仿宋" w:eastAsia="仿宋" w:cstheme="minorEastAsia"/>
          <w:color w:val="auto"/>
          <w:sz w:val="28"/>
          <w:szCs w:val="28"/>
          <w:lang w:eastAsia="zh-CN"/>
        </w:rPr>
        <w:t>县</w:t>
      </w:r>
      <w:r>
        <w:rPr>
          <w:rFonts w:hint="eastAsia" w:ascii="仿宋" w:hAnsi="仿宋" w:eastAsia="仿宋" w:cstheme="minorEastAsia"/>
          <w:color w:val="auto"/>
          <w:sz w:val="28"/>
          <w:szCs w:val="28"/>
          <w:lang w:val="en-US" w:eastAsia="zh-CN"/>
        </w:rPr>
        <w:t>政府</w:t>
      </w:r>
      <w:r>
        <w:rPr>
          <w:rFonts w:hint="eastAsia" w:ascii="仿宋" w:hAnsi="仿宋" w:eastAsia="仿宋" w:cstheme="minorEastAsia"/>
          <w:color w:val="auto"/>
          <w:sz w:val="28"/>
          <w:szCs w:val="28"/>
          <w:lang w:eastAsia="zh-CN"/>
        </w:rPr>
        <w:t>建设计划，考虑国家政策倾向，</w:t>
      </w:r>
      <w:r>
        <w:rPr>
          <w:rFonts w:hint="eastAsia" w:ascii="仿宋" w:hAnsi="仿宋" w:eastAsia="仿宋" w:cstheme="minorEastAsia"/>
          <w:color w:val="auto"/>
          <w:sz w:val="28"/>
          <w:szCs w:val="28"/>
          <w:lang w:val="en-US" w:eastAsia="zh-CN"/>
        </w:rPr>
        <w:t>按照国家相关政策预测的无极县地热资源储量</w:t>
      </w:r>
      <w:r>
        <w:rPr>
          <w:rFonts w:hint="eastAsia" w:ascii="仿宋" w:hAnsi="仿宋" w:eastAsia="仿宋" w:cstheme="minorEastAsia"/>
          <w:color w:val="auto"/>
          <w:sz w:val="28"/>
          <w:szCs w:val="28"/>
          <w:lang w:eastAsia="zh-CN"/>
        </w:rPr>
        <w:t>，规划</w:t>
      </w:r>
      <w:r>
        <w:rPr>
          <w:rFonts w:hint="eastAsia" w:ascii="仿宋" w:hAnsi="仿宋" w:eastAsia="仿宋" w:cstheme="minorEastAsia"/>
          <w:color w:val="auto"/>
          <w:sz w:val="28"/>
          <w:szCs w:val="28"/>
          <w:lang w:val="en-US" w:eastAsia="zh-CN"/>
        </w:rPr>
        <w:t>2035年中心</w:t>
      </w:r>
      <w:r>
        <w:rPr>
          <w:rFonts w:hint="eastAsia" w:ascii="仿宋" w:hAnsi="仿宋" w:eastAsia="仿宋" w:cstheme="minorEastAsia"/>
          <w:color w:val="auto"/>
          <w:sz w:val="28"/>
          <w:szCs w:val="28"/>
          <w:lang w:eastAsia="zh-CN"/>
        </w:rPr>
        <w:t>城区</w:t>
      </w:r>
      <w:r>
        <w:rPr>
          <w:rFonts w:hint="eastAsia" w:ascii="仿宋" w:hAnsi="仿宋" w:eastAsia="仿宋" w:cstheme="minorEastAsia"/>
          <w:color w:val="auto"/>
          <w:sz w:val="28"/>
          <w:szCs w:val="28"/>
          <w:lang w:val="en-US" w:eastAsia="zh-CN"/>
        </w:rPr>
        <w:t>热源为“地热+”多种能源，将</w:t>
      </w:r>
      <w:r>
        <w:rPr>
          <w:rFonts w:hint="eastAsia" w:ascii="仿宋" w:hAnsi="仿宋" w:eastAsia="仿宋" w:cstheme="minorEastAsia"/>
          <w:color w:val="auto"/>
          <w:sz w:val="28"/>
          <w:szCs w:val="28"/>
          <w:lang w:eastAsia="zh-CN"/>
        </w:rPr>
        <w:t>地热</w:t>
      </w:r>
      <w:r>
        <w:rPr>
          <w:rFonts w:hint="eastAsia" w:ascii="仿宋" w:hAnsi="仿宋" w:eastAsia="仿宋" w:cstheme="minorEastAsia"/>
          <w:color w:val="auto"/>
          <w:sz w:val="28"/>
          <w:szCs w:val="28"/>
          <w:lang w:val="en-US" w:eastAsia="zh-CN"/>
        </w:rPr>
        <w:t>能</w:t>
      </w:r>
      <w:r>
        <w:rPr>
          <w:rFonts w:hint="eastAsia" w:ascii="仿宋" w:hAnsi="仿宋" w:eastAsia="仿宋" w:cstheme="minorEastAsia"/>
          <w:color w:val="auto"/>
          <w:sz w:val="28"/>
          <w:szCs w:val="28"/>
          <w:lang w:eastAsia="zh-CN"/>
        </w:rPr>
        <w:t>作为</w:t>
      </w:r>
      <w:r>
        <w:rPr>
          <w:rFonts w:hint="eastAsia" w:ascii="仿宋" w:hAnsi="仿宋" w:eastAsia="仿宋" w:cstheme="minorEastAsia"/>
          <w:color w:val="auto"/>
          <w:sz w:val="28"/>
          <w:szCs w:val="28"/>
          <w:lang w:val="en-US" w:eastAsia="zh-CN"/>
        </w:rPr>
        <w:t>重点建设</w:t>
      </w:r>
      <w:r>
        <w:rPr>
          <w:rFonts w:hint="eastAsia" w:ascii="仿宋" w:hAnsi="仿宋" w:eastAsia="仿宋" w:cstheme="minorEastAsia"/>
          <w:color w:val="auto"/>
          <w:sz w:val="28"/>
          <w:szCs w:val="28"/>
          <w:lang w:eastAsia="zh-CN"/>
        </w:rPr>
        <w:t>热源，同时</w:t>
      </w:r>
      <w:r>
        <w:rPr>
          <w:rFonts w:hint="eastAsia" w:ascii="仿宋" w:hAnsi="仿宋" w:eastAsia="仿宋" w:cstheme="minorEastAsia"/>
          <w:color w:val="auto"/>
          <w:sz w:val="28"/>
          <w:szCs w:val="28"/>
          <w:lang w:val="en-US" w:eastAsia="zh-CN"/>
        </w:rPr>
        <w:t>结合</w:t>
      </w:r>
      <w:r>
        <w:rPr>
          <w:rFonts w:hint="eastAsia" w:ascii="仿宋" w:hAnsi="仿宋" w:eastAsia="仿宋" w:cstheme="minorEastAsia"/>
          <w:color w:val="auto"/>
          <w:sz w:val="28"/>
          <w:szCs w:val="28"/>
          <w:lang w:eastAsia="zh-CN"/>
        </w:rPr>
        <w:t>燃气锅炉、燃气壁挂炉、水源热泵、空气能热泵、太阳能热水器等其它清洁能源供热方式，保证</w:t>
      </w:r>
      <w:r>
        <w:rPr>
          <w:rFonts w:hint="eastAsia" w:ascii="仿宋" w:hAnsi="仿宋" w:eastAsia="仿宋" w:cstheme="minorEastAsia"/>
          <w:color w:val="auto"/>
          <w:sz w:val="28"/>
          <w:szCs w:val="28"/>
          <w:lang w:val="en-US" w:eastAsia="zh-CN"/>
        </w:rPr>
        <w:t>中心</w:t>
      </w:r>
      <w:r>
        <w:rPr>
          <w:rFonts w:hint="eastAsia" w:ascii="仿宋" w:hAnsi="仿宋" w:eastAsia="仿宋" w:cstheme="minorEastAsia"/>
          <w:color w:val="auto"/>
          <w:sz w:val="28"/>
          <w:szCs w:val="28"/>
          <w:lang w:eastAsia="zh-CN"/>
        </w:rPr>
        <w:t>城区集中供热和清洁能源供热率达到</w:t>
      </w:r>
      <w:r>
        <w:rPr>
          <w:rFonts w:hint="eastAsia" w:ascii="仿宋" w:hAnsi="仿宋" w:eastAsia="仿宋" w:cstheme="minorEastAsia"/>
          <w:color w:val="auto"/>
          <w:sz w:val="28"/>
          <w:szCs w:val="28"/>
          <w:lang w:val="en-US" w:eastAsia="zh-CN"/>
        </w:rPr>
        <w:t>100%。</w:t>
      </w:r>
    </w:p>
    <w:p w14:paraId="246013B2">
      <w:pPr>
        <w:spacing w:after="0" w:line="560" w:lineRule="exact"/>
        <w:ind w:firstLine="560" w:firstLineChars="200"/>
        <w:rPr>
          <w:rFonts w:hint="eastAsia" w:ascii="仿宋" w:hAnsi="仿宋" w:eastAsia="仿宋" w:cstheme="minorEastAsia"/>
          <w:color w:val="auto"/>
          <w:sz w:val="28"/>
          <w:szCs w:val="28"/>
          <w:lang w:val="en-US" w:eastAsia="zh-CN"/>
        </w:rPr>
      </w:pPr>
      <w:r>
        <w:rPr>
          <w:rFonts w:hint="eastAsia" w:ascii="仿宋" w:hAnsi="仿宋" w:eastAsia="仿宋" w:cstheme="minorEastAsia"/>
          <w:color w:val="auto"/>
          <w:sz w:val="28"/>
          <w:szCs w:val="28"/>
          <w:lang w:val="en-US" w:eastAsia="zh-CN"/>
        </w:rPr>
        <w:t>无极县清洁能源集中供热规划钻凿地热井94眼，拟占公共绿地、公园、便道等。</w:t>
      </w:r>
      <w:r>
        <w:rPr>
          <w:rFonts w:hint="eastAsia" w:ascii="仿宋" w:hAnsi="仿宋" w:eastAsia="仿宋" w:cstheme="minorEastAsia"/>
          <w:color w:val="auto"/>
          <w:sz w:val="28"/>
          <w:szCs w:val="28"/>
          <w:lang w:val="en-US" w:eastAsia="zh-CN"/>
        </w:rPr>
        <w:t>为保证中心城区供热安全可靠，规划2035年县城南区现状燃气锅炉房改为调峰备用锅炉，在县城北区以定魏线为分界线，在其东西两侧各建设一座调峰备用锅炉房，每座占地面积0.21hm2，调峰负荷能力达到42MW。遵循国家及省市政策要求和供热发展趋势，规划调峰备用锅炉采用天然气作为燃料。</w:t>
      </w:r>
    </w:p>
    <w:p w14:paraId="77256DCD">
      <w:pPr>
        <w:spacing w:after="0" w:line="560" w:lineRule="exact"/>
        <w:ind w:firstLine="560" w:firstLineChars="200"/>
        <w:rPr>
          <w:rFonts w:hint="eastAsia" w:ascii="仿宋" w:hAnsi="仿宋" w:eastAsia="仿宋" w:cstheme="minorEastAsia"/>
          <w:color w:val="auto"/>
          <w:sz w:val="28"/>
          <w:szCs w:val="28"/>
          <w:lang w:val="en-US" w:eastAsia="zh-CN"/>
        </w:rPr>
      </w:pPr>
      <w:r>
        <w:rPr>
          <w:rFonts w:hint="eastAsia" w:ascii="仿宋" w:hAnsi="仿宋" w:eastAsia="仿宋" w:cstheme="minorEastAsia"/>
          <w:color w:val="auto"/>
          <w:sz w:val="28"/>
          <w:szCs w:val="28"/>
          <w:lang w:val="en-US" w:eastAsia="zh-CN"/>
        </w:rPr>
        <w:t>规划县域村庄冬季供暖热源以燃气、电为主导，太阳能等为辅助。</w:t>
      </w:r>
    </w:p>
    <w:p w14:paraId="47AF6ADD">
      <w:pPr>
        <w:spacing w:after="0" w:line="560" w:lineRule="exact"/>
        <w:ind w:firstLine="560" w:firstLineChars="200"/>
        <w:rPr>
          <w:rFonts w:hint="eastAsia" w:ascii="仿宋" w:hAnsi="仿宋" w:eastAsia="仿宋" w:cstheme="minorEastAsia"/>
          <w:color w:val="auto"/>
          <w:sz w:val="28"/>
          <w:szCs w:val="28"/>
          <w:lang w:val="en-US" w:eastAsia="zh-CN"/>
        </w:rPr>
      </w:pPr>
      <w:r>
        <w:rPr>
          <w:rFonts w:hint="eastAsia" w:ascii="仿宋" w:hAnsi="仿宋" w:eastAsia="仿宋" w:cstheme="minorEastAsia"/>
          <w:color w:val="auto"/>
          <w:sz w:val="28"/>
          <w:szCs w:val="28"/>
          <w:lang w:val="en-US" w:eastAsia="zh-CN"/>
        </w:rPr>
        <w:t>乡镇供热热源近期主要为燃气壁挂炉、空气能等清洁能源，远期结合乡镇发展，部分乡镇采用集中供热，以小型供热设施为热源。</w:t>
      </w:r>
    </w:p>
    <w:p w14:paraId="0DF146D5">
      <w:pPr>
        <w:spacing w:after="0" w:line="560" w:lineRule="exact"/>
        <w:ind w:firstLine="560" w:firstLineChars="200"/>
        <w:rPr>
          <w:rFonts w:hint="eastAsia" w:ascii="仿宋" w:hAnsi="仿宋" w:eastAsia="仿宋" w:cstheme="minorEastAsia"/>
          <w:color w:val="auto"/>
          <w:sz w:val="28"/>
          <w:szCs w:val="28"/>
          <w:lang w:val="en-US" w:eastAsia="zh-CN"/>
        </w:rPr>
      </w:pPr>
      <w:r>
        <w:rPr>
          <w:rFonts w:hint="eastAsia" w:ascii="仿宋" w:hAnsi="仿宋" w:eastAsia="仿宋" w:cstheme="minorEastAsia"/>
          <w:color w:val="auto"/>
          <w:sz w:val="28"/>
          <w:szCs w:val="28"/>
          <w:lang w:val="en-US" w:eastAsia="zh-CN"/>
        </w:rPr>
        <w:t>无极县经济开发区规划热源结构为以高效环保煤粉、天然气和工业余热为主，生物质能和空气能为辅，电能和太阳能等清洁能源为补充的整体供热热源结构；供热方式为以大型集中热源供热为主，分布式集中热源为辅，分散式自供热为补充的整体供热方式。</w:t>
      </w:r>
    </w:p>
    <w:p w14:paraId="2E80882F">
      <w:pPr>
        <w:spacing w:after="0" w:line="560" w:lineRule="exact"/>
        <w:ind w:firstLine="560" w:firstLineChars="200"/>
        <w:rPr>
          <w:rFonts w:hint="eastAsia" w:ascii="仿宋" w:hAnsi="仿宋" w:eastAsia="仿宋" w:cstheme="minorEastAsia"/>
          <w:color w:val="auto"/>
          <w:sz w:val="28"/>
          <w:szCs w:val="28"/>
        </w:rPr>
      </w:pPr>
      <w:r>
        <w:rPr>
          <w:rFonts w:hint="eastAsia" w:ascii="仿宋" w:hAnsi="仿宋" w:eastAsia="仿宋" w:cstheme="minorEastAsia"/>
          <w:color w:val="auto"/>
          <w:sz w:val="28"/>
          <w:szCs w:val="28"/>
        </w:rPr>
        <w:t>表</w:t>
      </w:r>
      <w:r>
        <w:rPr>
          <w:rFonts w:hint="eastAsia" w:ascii="仿宋" w:hAnsi="仿宋" w:eastAsia="仿宋" w:cstheme="minorEastAsia"/>
          <w:color w:val="auto"/>
          <w:sz w:val="28"/>
          <w:szCs w:val="28"/>
          <w:lang w:val="en-US" w:eastAsia="zh-CN"/>
        </w:rPr>
        <w:t>1</w:t>
      </w:r>
      <w:r>
        <w:rPr>
          <w:rFonts w:hint="eastAsia" w:ascii="仿宋" w:hAnsi="仿宋" w:eastAsia="仿宋" w:cstheme="minorEastAsia"/>
          <w:color w:val="auto"/>
          <w:sz w:val="28"/>
          <w:szCs w:val="28"/>
        </w:rPr>
        <w:t xml:space="preserve"> </w:t>
      </w:r>
      <w:r>
        <w:rPr>
          <w:rFonts w:hint="eastAsia" w:ascii="仿宋" w:hAnsi="仿宋" w:eastAsia="仿宋" w:cstheme="minorEastAsia"/>
          <w:color w:val="auto"/>
          <w:sz w:val="28"/>
          <w:szCs w:val="28"/>
          <w:lang w:eastAsia="zh-CN"/>
        </w:rPr>
        <w:t>区域供热量平衡表</w:t>
      </w:r>
      <w:r>
        <w:rPr>
          <w:rFonts w:hint="eastAsia" w:ascii="仿宋" w:hAnsi="仿宋" w:eastAsia="仿宋" w:cstheme="minorEastAsia"/>
          <w:color w:val="auto"/>
          <w:sz w:val="28"/>
          <w:szCs w:val="28"/>
        </w:rPr>
        <w:t>：</w:t>
      </w:r>
    </w:p>
    <w:tbl>
      <w:tblPr>
        <w:tblStyle w:val="16"/>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57" w:type="dxa"/>
          <w:bottom w:w="0" w:type="dxa"/>
          <w:right w:w="0" w:type="dxa"/>
        </w:tblCellMar>
      </w:tblPr>
      <w:tblGrid>
        <w:gridCol w:w="701"/>
        <w:gridCol w:w="2355"/>
        <w:gridCol w:w="5977"/>
      </w:tblGrid>
      <w:tr w14:paraId="1EB5EF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0" w:type="dxa"/>
          </w:tblCellMar>
        </w:tblPrEx>
        <w:trPr>
          <w:trHeight w:val="0" w:hRule="atLeast"/>
          <w:tblHeader/>
          <w:jc w:val="center"/>
        </w:trPr>
        <w:tc>
          <w:tcPr>
            <w:tcW w:w="701" w:type="dxa"/>
            <w:shd w:val="clear" w:color="auto" w:fill="BEBEBE"/>
            <w:noWrap w:val="0"/>
            <w:vAlign w:val="center"/>
          </w:tcPr>
          <w:p w14:paraId="73706F69">
            <w:pPr>
              <w:pStyle w:val="23"/>
              <w:spacing w:after="0" w:line="240" w:lineRule="auto"/>
              <w:ind w:firstLine="0" w:firstLineChars="0"/>
              <w:jc w:val="center"/>
              <w:rPr>
                <w:rFonts w:hint="eastAsia" w:ascii="仿宋" w:hAnsi="仿宋" w:eastAsia="仿宋" w:cstheme="minorEastAsia"/>
                <w:color w:val="auto"/>
                <w:sz w:val="21"/>
                <w:szCs w:val="21"/>
                <w:highlight w:val="none"/>
              </w:rPr>
            </w:pPr>
            <w:r>
              <w:rPr>
                <w:rFonts w:hint="eastAsia" w:ascii="仿宋" w:hAnsi="仿宋" w:eastAsia="仿宋" w:cstheme="minorEastAsia"/>
                <w:color w:val="auto"/>
                <w:sz w:val="21"/>
                <w:szCs w:val="21"/>
                <w:highlight w:val="none"/>
              </w:rPr>
              <w:t>序号</w:t>
            </w:r>
          </w:p>
        </w:tc>
        <w:tc>
          <w:tcPr>
            <w:tcW w:w="2355" w:type="dxa"/>
            <w:shd w:val="clear" w:color="auto" w:fill="BEBEBE"/>
            <w:noWrap w:val="0"/>
            <w:vAlign w:val="center"/>
          </w:tcPr>
          <w:p w14:paraId="543E4F3A">
            <w:pPr>
              <w:pStyle w:val="23"/>
              <w:spacing w:after="0" w:line="240" w:lineRule="auto"/>
              <w:ind w:firstLine="0" w:firstLineChars="0"/>
              <w:jc w:val="center"/>
              <w:rPr>
                <w:rFonts w:hint="eastAsia" w:ascii="仿宋" w:hAnsi="仿宋" w:eastAsia="仿宋" w:cstheme="minorEastAsia"/>
                <w:color w:val="auto"/>
                <w:sz w:val="21"/>
                <w:szCs w:val="21"/>
                <w:highlight w:val="none"/>
              </w:rPr>
            </w:pPr>
            <w:r>
              <w:rPr>
                <w:rFonts w:hint="eastAsia" w:ascii="仿宋" w:hAnsi="仿宋" w:eastAsia="仿宋" w:cstheme="minorEastAsia"/>
                <w:color w:val="auto"/>
                <w:sz w:val="21"/>
                <w:szCs w:val="21"/>
                <w:highlight w:val="none"/>
              </w:rPr>
              <w:t>名称与类别</w:t>
            </w:r>
          </w:p>
        </w:tc>
        <w:tc>
          <w:tcPr>
            <w:tcW w:w="5977" w:type="dxa"/>
            <w:shd w:val="clear" w:color="auto" w:fill="BEBEBE"/>
            <w:noWrap w:val="0"/>
            <w:vAlign w:val="center"/>
          </w:tcPr>
          <w:p w14:paraId="7B826E5A">
            <w:pPr>
              <w:pStyle w:val="23"/>
              <w:spacing w:after="0" w:line="240" w:lineRule="auto"/>
              <w:ind w:firstLine="0" w:firstLineChars="0"/>
              <w:jc w:val="center"/>
              <w:rPr>
                <w:rFonts w:hint="eastAsia" w:ascii="仿宋" w:hAnsi="仿宋" w:eastAsia="仿宋" w:cstheme="minorEastAsia"/>
                <w:color w:val="auto"/>
                <w:sz w:val="21"/>
                <w:szCs w:val="21"/>
                <w:highlight w:val="none"/>
              </w:rPr>
            </w:pPr>
            <w:r>
              <w:rPr>
                <w:rFonts w:hint="eastAsia" w:ascii="仿宋" w:hAnsi="仿宋" w:eastAsia="仿宋" w:cstheme="minorEastAsia"/>
                <w:color w:val="auto"/>
                <w:sz w:val="21"/>
                <w:szCs w:val="21"/>
                <w:highlight w:val="none"/>
              </w:rPr>
              <w:t>203</w:t>
            </w:r>
            <w:r>
              <w:rPr>
                <w:rFonts w:hint="eastAsia" w:ascii="仿宋" w:hAnsi="仿宋" w:eastAsia="仿宋" w:cstheme="minorEastAsia"/>
                <w:color w:val="auto"/>
                <w:sz w:val="21"/>
                <w:szCs w:val="21"/>
                <w:highlight w:val="none"/>
                <w:lang w:val="en-US" w:eastAsia="zh-CN"/>
              </w:rPr>
              <w:t>5</w:t>
            </w:r>
            <w:r>
              <w:rPr>
                <w:rFonts w:hint="eastAsia" w:ascii="仿宋" w:hAnsi="仿宋" w:eastAsia="仿宋" w:cstheme="minorEastAsia"/>
                <w:color w:val="auto"/>
                <w:sz w:val="21"/>
                <w:szCs w:val="21"/>
                <w:highlight w:val="none"/>
              </w:rPr>
              <w:t>年</w:t>
            </w:r>
          </w:p>
        </w:tc>
      </w:tr>
      <w:tr w14:paraId="646F36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0" w:type="dxa"/>
          </w:tblCellMar>
        </w:tblPrEx>
        <w:trPr>
          <w:trHeight w:val="0" w:hRule="atLeast"/>
          <w:jc w:val="center"/>
        </w:trPr>
        <w:tc>
          <w:tcPr>
            <w:tcW w:w="701" w:type="dxa"/>
            <w:tcBorders>
              <w:top w:val="nil"/>
            </w:tcBorders>
            <w:noWrap w:val="0"/>
            <w:vAlign w:val="center"/>
          </w:tcPr>
          <w:p w14:paraId="1810DD57">
            <w:pPr>
              <w:pStyle w:val="23"/>
              <w:spacing w:after="0" w:line="240" w:lineRule="auto"/>
              <w:ind w:firstLine="0" w:firstLineChars="0"/>
              <w:jc w:val="center"/>
              <w:rPr>
                <w:rFonts w:hint="eastAsia" w:ascii="仿宋" w:hAnsi="仿宋" w:eastAsia="仿宋" w:cstheme="minorEastAsia"/>
                <w:color w:val="auto"/>
                <w:sz w:val="21"/>
                <w:szCs w:val="21"/>
                <w:highlight w:val="none"/>
              </w:rPr>
            </w:pPr>
            <w:r>
              <w:rPr>
                <w:rFonts w:hint="eastAsia" w:ascii="仿宋" w:hAnsi="仿宋" w:eastAsia="仿宋" w:cstheme="minorEastAsia"/>
                <w:color w:val="auto"/>
                <w:sz w:val="21"/>
                <w:szCs w:val="21"/>
                <w:highlight w:val="none"/>
              </w:rPr>
              <w:t>1</w:t>
            </w:r>
          </w:p>
        </w:tc>
        <w:tc>
          <w:tcPr>
            <w:tcW w:w="2355" w:type="dxa"/>
            <w:tcBorders>
              <w:top w:val="nil"/>
            </w:tcBorders>
            <w:noWrap w:val="0"/>
            <w:vAlign w:val="center"/>
          </w:tcPr>
          <w:p w14:paraId="62231EF7">
            <w:pPr>
              <w:pStyle w:val="23"/>
              <w:spacing w:after="0" w:line="240" w:lineRule="auto"/>
              <w:ind w:firstLine="0" w:firstLineChars="0"/>
              <w:jc w:val="center"/>
              <w:rPr>
                <w:rFonts w:hint="eastAsia" w:ascii="仿宋" w:hAnsi="仿宋" w:eastAsia="仿宋" w:cstheme="minorEastAsia"/>
                <w:color w:val="auto"/>
                <w:sz w:val="21"/>
                <w:szCs w:val="21"/>
                <w:highlight w:val="none"/>
              </w:rPr>
            </w:pPr>
            <w:r>
              <w:rPr>
                <w:rFonts w:hint="eastAsia" w:ascii="仿宋" w:hAnsi="仿宋" w:eastAsia="仿宋" w:cstheme="minorEastAsia"/>
                <w:color w:val="auto"/>
                <w:sz w:val="21"/>
                <w:szCs w:val="21"/>
                <w:highlight w:val="none"/>
              </w:rPr>
              <w:t>采暖热负荷（MW）</w:t>
            </w:r>
          </w:p>
        </w:tc>
        <w:tc>
          <w:tcPr>
            <w:tcW w:w="5977" w:type="dxa"/>
            <w:noWrap w:val="0"/>
            <w:vAlign w:val="center"/>
          </w:tcPr>
          <w:p w14:paraId="7D5A9231">
            <w:pPr>
              <w:pStyle w:val="23"/>
              <w:spacing w:after="0" w:line="240" w:lineRule="auto"/>
              <w:ind w:firstLine="0" w:firstLineChars="0"/>
              <w:jc w:val="center"/>
              <w:rPr>
                <w:rFonts w:hint="default" w:ascii="仿宋" w:hAnsi="仿宋" w:eastAsia="仿宋" w:cstheme="minorEastAsia"/>
                <w:color w:val="auto"/>
                <w:sz w:val="21"/>
                <w:szCs w:val="21"/>
                <w:highlight w:val="none"/>
                <w:lang w:val="en-US" w:eastAsia="zh-CN"/>
              </w:rPr>
            </w:pPr>
            <w:r>
              <w:rPr>
                <w:rFonts w:hint="eastAsia" w:ascii="仿宋" w:hAnsi="仿宋" w:eastAsia="仿宋" w:cstheme="minorEastAsia"/>
                <w:color w:val="auto"/>
                <w:sz w:val="21"/>
                <w:szCs w:val="21"/>
                <w:highlight w:val="none"/>
                <w:lang w:val="en-US" w:eastAsia="zh-CN"/>
              </w:rPr>
              <w:t>616.44</w:t>
            </w:r>
          </w:p>
        </w:tc>
      </w:tr>
      <w:tr w14:paraId="26D829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0" w:type="dxa"/>
          </w:tblCellMar>
        </w:tblPrEx>
        <w:trPr>
          <w:trHeight w:val="0" w:hRule="atLeast"/>
          <w:jc w:val="center"/>
        </w:trPr>
        <w:tc>
          <w:tcPr>
            <w:tcW w:w="701" w:type="dxa"/>
            <w:noWrap w:val="0"/>
            <w:vAlign w:val="center"/>
          </w:tcPr>
          <w:p w14:paraId="103DBD7E">
            <w:pPr>
              <w:pStyle w:val="23"/>
              <w:spacing w:after="0" w:line="240" w:lineRule="auto"/>
              <w:ind w:firstLine="0" w:firstLineChars="0"/>
              <w:jc w:val="center"/>
              <w:rPr>
                <w:rFonts w:hint="eastAsia" w:ascii="仿宋" w:hAnsi="仿宋" w:eastAsia="仿宋" w:cstheme="minorEastAsia"/>
                <w:color w:val="auto"/>
                <w:sz w:val="21"/>
                <w:szCs w:val="21"/>
                <w:highlight w:val="none"/>
                <w:lang w:eastAsia="zh-CN"/>
              </w:rPr>
            </w:pPr>
            <w:r>
              <w:rPr>
                <w:rFonts w:hint="eastAsia" w:ascii="仿宋" w:hAnsi="仿宋" w:eastAsia="仿宋" w:cstheme="minorEastAsia"/>
                <w:color w:val="auto"/>
                <w:sz w:val="21"/>
                <w:szCs w:val="21"/>
                <w:highlight w:val="none"/>
                <w:lang w:val="en-US" w:eastAsia="zh-CN"/>
              </w:rPr>
              <w:t>2</w:t>
            </w:r>
          </w:p>
        </w:tc>
        <w:tc>
          <w:tcPr>
            <w:tcW w:w="2355" w:type="dxa"/>
            <w:noWrap w:val="0"/>
            <w:vAlign w:val="center"/>
          </w:tcPr>
          <w:p w14:paraId="65539483">
            <w:pPr>
              <w:pStyle w:val="23"/>
              <w:spacing w:after="0" w:line="240" w:lineRule="auto"/>
              <w:ind w:firstLine="0" w:firstLineChars="0"/>
              <w:jc w:val="center"/>
              <w:rPr>
                <w:rFonts w:hint="eastAsia" w:ascii="仿宋" w:hAnsi="仿宋" w:eastAsia="仿宋" w:cstheme="minorEastAsia"/>
                <w:color w:val="auto"/>
                <w:sz w:val="21"/>
                <w:szCs w:val="21"/>
                <w:highlight w:val="none"/>
              </w:rPr>
            </w:pPr>
            <w:r>
              <w:rPr>
                <w:rFonts w:hint="eastAsia" w:ascii="仿宋" w:hAnsi="仿宋" w:eastAsia="仿宋" w:cstheme="minorEastAsia"/>
                <w:color w:val="auto"/>
                <w:sz w:val="21"/>
                <w:szCs w:val="21"/>
                <w:highlight w:val="none"/>
              </w:rPr>
              <w:t>供热能力</w:t>
            </w:r>
          </w:p>
        </w:tc>
        <w:tc>
          <w:tcPr>
            <w:tcW w:w="5977" w:type="dxa"/>
            <w:noWrap w:val="0"/>
            <w:vAlign w:val="center"/>
          </w:tcPr>
          <w:p w14:paraId="0485E84E">
            <w:pPr>
              <w:pStyle w:val="23"/>
              <w:spacing w:after="0" w:line="240" w:lineRule="auto"/>
              <w:ind w:firstLine="0" w:firstLineChars="0"/>
              <w:jc w:val="center"/>
              <w:rPr>
                <w:rFonts w:hint="eastAsia" w:ascii="仿宋" w:hAnsi="仿宋" w:eastAsia="仿宋" w:cstheme="minorEastAsia"/>
                <w:color w:val="auto"/>
                <w:sz w:val="21"/>
                <w:szCs w:val="21"/>
                <w:highlight w:val="none"/>
                <w:lang w:val="en-US" w:eastAsia="zh-CN"/>
              </w:rPr>
            </w:pPr>
            <w:r>
              <w:rPr>
                <w:rFonts w:hint="eastAsia" w:ascii="仿宋" w:hAnsi="仿宋" w:eastAsia="仿宋" w:cstheme="minorEastAsia"/>
                <w:color w:val="auto"/>
                <w:sz w:val="21"/>
                <w:szCs w:val="21"/>
                <w:highlight w:val="none"/>
                <w:lang w:val="en-US" w:eastAsia="zh-CN"/>
              </w:rPr>
              <w:t>（1）无极县开采规划区块内热能为295MW。</w:t>
            </w:r>
          </w:p>
          <w:p w14:paraId="69447994">
            <w:pPr>
              <w:pStyle w:val="23"/>
              <w:spacing w:after="0" w:line="240" w:lineRule="auto"/>
              <w:ind w:firstLine="0" w:firstLineChars="0"/>
              <w:jc w:val="center"/>
              <w:rPr>
                <w:rFonts w:hint="eastAsia" w:ascii="仿宋" w:hAnsi="仿宋" w:eastAsia="仿宋" w:cstheme="minorEastAsia"/>
                <w:color w:val="auto"/>
                <w:sz w:val="21"/>
                <w:szCs w:val="21"/>
                <w:highlight w:val="none"/>
                <w:lang w:val="en-US"/>
              </w:rPr>
            </w:pPr>
            <w:r>
              <w:rPr>
                <w:rFonts w:hint="eastAsia" w:ascii="仿宋" w:hAnsi="仿宋" w:eastAsia="仿宋" w:cstheme="minorEastAsia"/>
                <w:color w:val="auto"/>
                <w:sz w:val="21"/>
                <w:szCs w:val="21"/>
                <w:highlight w:val="none"/>
                <w:lang w:val="en-US" w:eastAsia="zh-CN"/>
              </w:rPr>
              <w:t>（2）以天然气（燃气壁挂炉、小型锅炉房）、太阳能、空气能、电力等清洁能源作为其它热源，占比将近17.17%。</w:t>
            </w:r>
          </w:p>
        </w:tc>
      </w:tr>
      <w:tr w14:paraId="2FB86B4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0" w:type="dxa"/>
          </w:tblCellMar>
        </w:tblPrEx>
        <w:trPr>
          <w:trHeight w:val="0" w:hRule="atLeast"/>
          <w:jc w:val="center"/>
        </w:trPr>
        <w:tc>
          <w:tcPr>
            <w:tcW w:w="701" w:type="dxa"/>
            <w:noWrap w:val="0"/>
            <w:vAlign w:val="center"/>
          </w:tcPr>
          <w:p w14:paraId="3D8B895C">
            <w:pPr>
              <w:pStyle w:val="23"/>
              <w:spacing w:after="0" w:line="240" w:lineRule="auto"/>
              <w:ind w:firstLine="0" w:firstLineChars="0"/>
              <w:jc w:val="center"/>
              <w:rPr>
                <w:rFonts w:hint="eastAsia" w:ascii="仿宋" w:hAnsi="仿宋" w:eastAsia="仿宋" w:cstheme="minorEastAsia"/>
                <w:color w:val="auto"/>
                <w:sz w:val="21"/>
                <w:szCs w:val="21"/>
                <w:highlight w:val="none"/>
                <w:lang w:eastAsia="zh-CN"/>
              </w:rPr>
            </w:pPr>
            <w:r>
              <w:rPr>
                <w:rFonts w:hint="eastAsia" w:ascii="仿宋" w:hAnsi="仿宋" w:eastAsia="仿宋" w:cstheme="minorEastAsia"/>
                <w:color w:val="auto"/>
                <w:sz w:val="21"/>
                <w:szCs w:val="21"/>
                <w:highlight w:val="none"/>
                <w:lang w:val="en-US" w:eastAsia="zh-CN"/>
              </w:rPr>
              <w:t>3</w:t>
            </w:r>
          </w:p>
        </w:tc>
        <w:tc>
          <w:tcPr>
            <w:tcW w:w="2355" w:type="dxa"/>
            <w:noWrap w:val="0"/>
            <w:vAlign w:val="center"/>
          </w:tcPr>
          <w:p w14:paraId="71F4529C">
            <w:pPr>
              <w:pStyle w:val="23"/>
              <w:spacing w:after="0" w:line="240" w:lineRule="auto"/>
              <w:ind w:firstLine="0" w:firstLineChars="0"/>
              <w:jc w:val="center"/>
              <w:rPr>
                <w:rFonts w:hint="eastAsia" w:ascii="仿宋" w:hAnsi="仿宋" w:eastAsia="仿宋" w:cstheme="minorEastAsia"/>
                <w:color w:val="auto"/>
                <w:sz w:val="21"/>
                <w:szCs w:val="21"/>
                <w:highlight w:val="none"/>
              </w:rPr>
            </w:pPr>
            <w:r>
              <w:rPr>
                <w:rFonts w:hint="eastAsia" w:ascii="仿宋" w:hAnsi="仿宋" w:eastAsia="仿宋" w:cstheme="minorEastAsia"/>
                <w:color w:val="auto"/>
                <w:sz w:val="21"/>
                <w:szCs w:val="21"/>
                <w:highlight w:val="none"/>
              </w:rPr>
              <w:t>结论</w:t>
            </w:r>
          </w:p>
        </w:tc>
        <w:tc>
          <w:tcPr>
            <w:tcW w:w="5977" w:type="dxa"/>
            <w:noWrap w:val="0"/>
            <w:vAlign w:val="center"/>
          </w:tcPr>
          <w:p w14:paraId="0124F695">
            <w:pPr>
              <w:pStyle w:val="23"/>
              <w:spacing w:after="0" w:line="240" w:lineRule="auto"/>
              <w:ind w:firstLine="0" w:firstLineChars="0"/>
              <w:jc w:val="center"/>
              <w:rPr>
                <w:rFonts w:hint="eastAsia" w:ascii="仿宋" w:hAnsi="仿宋" w:eastAsia="仿宋" w:cstheme="minorEastAsia"/>
                <w:color w:val="auto"/>
                <w:sz w:val="21"/>
                <w:szCs w:val="21"/>
                <w:highlight w:val="none"/>
                <w:lang w:val="en-US" w:eastAsia="zh-CN"/>
              </w:rPr>
            </w:pPr>
            <w:r>
              <w:rPr>
                <w:rFonts w:hint="eastAsia" w:ascii="仿宋" w:hAnsi="仿宋" w:eastAsia="仿宋" w:cstheme="minorEastAsia"/>
                <w:color w:val="auto"/>
                <w:sz w:val="21"/>
                <w:szCs w:val="21"/>
                <w:highlight w:val="none"/>
                <w:lang w:eastAsia="zh-CN"/>
              </w:rPr>
              <w:t>满足供热需求</w:t>
            </w:r>
          </w:p>
        </w:tc>
      </w:tr>
    </w:tbl>
    <w:p w14:paraId="509B8510">
      <w:pPr>
        <w:spacing w:after="0" w:line="560" w:lineRule="exact"/>
        <w:ind w:firstLine="560" w:firstLineChars="200"/>
        <w:rPr>
          <w:rFonts w:hint="eastAsia" w:ascii="仿宋" w:hAnsi="仿宋" w:eastAsia="仿宋" w:cstheme="minorEastAsia"/>
          <w:color w:val="auto"/>
          <w:sz w:val="28"/>
          <w:szCs w:val="28"/>
          <w:lang w:val="en-US" w:eastAsia="zh-CN"/>
        </w:rPr>
      </w:pPr>
    </w:p>
    <w:p w14:paraId="153222D1">
      <w:pPr>
        <w:spacing w:after="0" w:line="560" w:lineRule="exact"/>
        <w:ind w:firstLine="560" w:firstLineChars="200"/>
        <w:rPr>
          <w:rFonts w:hint="eastAsia" w:ascii="仿宋" w:hAnsi="仿宋" w:eastAsia="仿宋" w:cstheme="minorEastAsia"/>
          <w:color w:val="auto"/>
          <w:sz w:val="28"/>
          <w:szCs w:val="28"/>
          <w:lang w:val="en-US" w:eastAsia="zh-CN"/>
        </w:rPr>
      </w:pPr>
    </w:p>
    <w:p w14:paraId="5591F9D3">
      <w:pPr>
        <w:pStyle w:val="28"/>
        <w:numPr>
          <w:ilvl w:val="0"/>
          <w:numId w:val="3"/>
        </w:numPr>
        <w:jc w:val="left"/>
        <w:rPr>
          <w:rFonts w:ascii="仿宋" w:hAnsi="仿宋" w:eastAsia="仿宋" w:cstheme="minorEastAsia"/>
          <w:color w:val="auto"/>
          <w:szCs w:val="28"/>
        </w:rPr>
      </w:pPr>
      <w:r>
        <w:rPr>
          <w:rFonts w:hint="eastAsia" w:ascii="仿宋" w:hAnsi="仿宋" w:eastAsia="仿宋" w:cstheme="minorEastAsia"/>
          <w:color w:val="auto"/>
          <w:szCs w:val="28"/>
          <w:lang w:val="en-US" w:eastAsia="zh-CN"/>
        </w:rPr>
        <w:t>燃料供应</w:t>
      </w:r>
    </w:p>
    <w:p w14:paraId="346C6EE0">
      <w:pPr>
        <w:spacing w:after="0" w:line="560" w:lineRule="exact"/>
        <w:ind w:firstLine="560" w:firstLineChars="200"/>
        <w:rPr>
          <w:rFonts w:ascii="仿宋" w:hAnsi="仿宋" w:eastAsia="仿宋" w:cstheme="minorEastAsia"/>
          <w:color w:val="auto"/>
          <w:sz w:val="28"/>
          <w:szCs w:val="28"/>
        </w:rPr>
      </w:pPr>
      <w:r>
        <w:rPr>
          <w:rFonts w:hint="eastAsia" w:ascii="仿宋" w:hAnsi="仿宋" w:eastAsia="仿宋" w:cstheme="minorEastAsia"/>
          <w:color w:val="auto"/>
          <w:sz w:val="28"/>
          <w:szCs w:val="28"/>
          <w:lang w:eastAsia="zh-CN"/>
        </w:rPr>
        <w:t>规划</w:t>
      </w:r>
      <w:r>
        <w:rPr>
          <w:rFonts w:hint="eastAsia" w:ascii="仿宋" w:hAnsi="仿宋" w:eastAsia="仿宋" w:cstheme="minorEastAsia"/>
          <w:color w:val="auto"/>
          <w:sz w:val="28"/>
          <w:szCs w:val="28"/>
          <w:lang w:val="en-US" w:eastAsia="zh-CN"/>
        </w:rPr>
        <w:t>远期</w:t>
      </w:r>
      <w:r>
        <w:rPr>
          <w:rFonts w:hint="eastAsia" w:ascii="仿宋" w:hAnsi="仿宋" w:eastAsia="仿宋" w:cstheme="minorEastAsia"/>
          <w:color w:val="auto"/>
          <w:sz w:val="28"/>
          <w:szCs w:val="28"/>
          <w:lang w:eastAsia="zh-CN"/>
        </w:rPr>
        <w:t>调峰备用锅炉房天然气接自陕京二线、三线天然气输气管线</w:t>
      </w:r>
      <w:r>
        <w:rPr>
          <w:rFonts w:hint="eastAsia" w:ascii="仿宋" w:hAnsi="仿宋" w:eastAsia="仿宋" w:cstheme="minorEastAsia"/>
          <w:color w:val="auto"/>
          <w:sz w:val="28"/>
          <w:szCs w:val="28"/>
          <w:lang w:val="en-US" w:eastAsia="zh-CN"/>
        </w:rPr>
        <w:t>、</w:t>
      </w:r>
      <w:r>
        <w:rPr>
          <w:rFonts w:hint="eastAsia" w:ascii="仿宋" w:hAnsi="仿宋" w:eastAsia="仿宋" w:cstheme="minorEastAsia"/>
          <w:color w:val="auto"/>
          <w:sz w:val="28"/>
          <w:szCs w:val="28"/>
          <w:lang w:val="zh-CN" w:eastAsia="zh-CN"/>
        </w:rPr>
        <w:t>鄂安沧输气管</w:t>
      </w:r>
      <w:r>
        <w:rPr>
          <w:rFonts w:hint="eastAsia" w:ascii="仿宋" w:hAnsi="仿宋" w:eastAsia="仿宋" w:cstheme="minorEastAsia"/>
          <w:color w:val="auto"/>
          <w:sz w:val="28"/>
          <w:szCs w:val="28"/>
          <w:lang w:val="en-US" w:eastAsia="zh-CN"/>
        </w:rPr>
        <w:t>线和神木-安平输气管线和省天然气公司的冀中十县输气管道</w:t>
      </w:r>
      <w:r>
        <w:rPr>
          <w:rFonts w:hint="eastAsia" w:ascii="仿宋" w:hAnsi="仿宋" w:eastAsia="仿宋" w:cstheme="minorEastAsia"/>
          <w:color w:val="auto"/>
          <w:sz w:val="28"/>
          <w:szCs w:val="28"/>
          <w:lang w:eastAsia="zh-CN"/>
        </w:rPr>
        <w:t>。结合无极县燃气专项规划，</w:t>
      </w:r>
      <w:r>
        <w:rPr>
          <w:rFonts w:hint="eastAsia" w:ascii="仿宋" w:hAnsi="仿宋" w:eastAsia="仿宋" w:cstheme="minorEastAsia"/>
          <w:color w:val="auto"/>
          <w:sz w:val="28"/>
          <w:szCs w:val="28"/>
          <w:lang w:val="en-US" w:eastAsia="zh-CN"/>
        </w:rPr>
        <w:t>保障天然气供应</w:t>
      </w:r>
      <w:r>
        <w:rPr>
          <w:rFonts w:hint="eastAsia" w:ascii="仿宋" w:hAnsi="仿宋" w:eastAsia="仿宋" w:cstheme="minorEastAsia"/>
          <w:color w:val="auto"/>
          <w:sz w:val="28"/>
          <w:szCs w:val="28"/>
          <w:lang w:eastAsia="zh-CN"/>
        </w:rPr>
        <w:t>。</w:t>
      </w:r>
      <w:r>
        <w:rPr>
          <w:rFonts w:hint="eastAsia" w:ascii="仿宋" w:hAnsi="仿宋" w:eastAsia="仿宋" w:cstheme="minorEastAsia"/>
          <w:color w:val="auto"/>
          <w:sz w:val="28"/>
          <w:szCs w:val="28"/>
        </w:rPr>
        <w:t xml:space="preserve">  </w:t>
      </w:r>
    </w:p>
    <w:p w14:paraId="3A55C229">
      <w:pPr>
        <w:pStyle w:val="28"/>
        <w:numPr>
          <w:ilvl w:val="0"/>
          <w:numId w:val="3"/>
        </w:numPr>
        <w:jc w:val="left"/>
        <w:rPr>
          <w:rFonts w:ascii="仿宋" w:hAnsi="仿宋" w:eastAsia="仿宋" w:cstheme="minorEastAsia"/>
          <w:color w:val="auto"/>
          <w:szCs w:val="28"/>
        </w:rPr>
      </w:pPr>
      <w:r>
        <w:rPr>
          <w:rFonts w:hint="eastAsia" w:ascii="仿宋" w:hAnsi="仿宋" w:eastAsia="仿宋" w:cstheme="minorEastAsia"/>
          <w:color w:val="auto"/>
          <w:szCs w:val="28"/>
        </w:rPr>
        <w:t>热网及附属设施规划</w:t>
      </w:r>
    </w:p>
    <w:p w14:paraId="40BBB059">
      <w:pPr>
        <w:spacing w:after="0" w:line="480" w:lineRule="auto"/>
        <w:ind w:firstLine="560" w:firstLineChars="200"/>
        <w:rPr>
          <w:rFonts w:ascii="仿宋" w:hAnsi="仿宋" w:eastAsia="仿宋" w:cstheme="minorEastAsia"/>
          <w:color w:val="auto"/>
          <w:sz w:val="28"/>
          <w:szCs w:val="28"/>
          <w:highlight w:val="none"/>
        </w:rPr>
      </w:pPr>
      <w:r>
        <w:rPr>
          <w:rFonts w:hint="eastAsia" w:ascii="仿宋" w:hAnsi="仿宋" w:eastAsia="仿宋" w:cstheme="minorEastAsia"/>
          <w:color w:val="auto"/>
          <w:sz w:val="28"/>
          <w:szCs w:val="28"/>
          <w:highlight w:val="none"/>
        </w:rPr>
        <w:t>规划对县城现状管网进行复核、梳理，随着地热井管道的接入，规划保留现状管网，在此基础上新建部分管网，将现状管网在部分道路进行连通，将地热井管线接入县城现状管网。</w:t>
      </w:r>
    </w:p>
    <w:p w14:paraId="7A4803F8">
      <w:pPr>
        <w:rPr>
          <w:rFonts w:hint="eastAsia" w:ascii="仿宋" w:hAnsi="仿宋" w:eastAsia="仿宋" w:cstheme="minorEastAsia"/>
          <w:color w:val="auto"/>
          <w:sz w:val="28"/>
          <w:szCs w:val="28"/>
        </w:rPr>
      </w:pPr>
      <w:r>
        <w:rPr>
          <w:rFonts w:hint="eastAsia" w:ascii="仿宋" w:hAnsi="仿宋" w:eastAsia="仿宋" w:cstheme="minorEastAsia"/>
          <w:color w:val="auto"/>
          <w:sz w:val="28"/>
          <w:szCs w:val="28"/>
        </w:rPr>
        <w:br w:type="page"/>
      </w:r>
    </w:p>
    <w:p w14:paraId="209302AC">
      <w:pPr>
        <w:pStyle w:val="23"/>
        <w:rPr>
          <w:rFonts w:hint="eastAsia" w:ascii="仿宋" w:hAnsi="仿宋" w:eastAsia="仿宋" w:cstheme="minorEastAsia"/>
          <w:color w:val="auto"/>
          <w:sz w:val="28"/>
          <w:szCs w:val="28"/>
          <w:lang w:eastAsia="zh-CN"/>
        </w:rPr>
      </w:pPr>
      <w:r>
        <w:rPr>
          <w:rFonts w:hint="eastAsia" w:ascii="仿宋" w:hAnsi="仿宋" w:eastAsia="仿宋" w:cstheme="minorEastAsia"/>
          <w:color w:val="auto"/>
          <w:sz w:val="28"/>
          <w:szCs w:val="28"/>
          <w:lang w:eastAsia="zh-CN"/>
        </w:rPr>
        <w:drawing>
          <wp:anchor distT="0" distB="0" distL="114300" distR="114300" simplePos="0" relativeHeight="251660288" behindDoc="0" locked="0" layoutInCell="1" allowOverlap="1">
            <wp:simplePos x="0" y="0"/>
            <wp:positionH relativeFrom="column">
              <wp:posOffset>86995</wp:posOffset>
            </wp:positionH>
            <wp:positionV relativeFrom="page">
              <wp:posOffset>1177290</wp:posOffset>
            </wp:positionV>
            <wp:extent cx="5245735" cy="7162165"/>
            <wp:effectExtent l="0" t="0" r="0" b="0"/>
            <wp:wrapTopAndBottom/>
            <wp:docPr id="2" name="图片 2" descr="09-供热分区规划图_看图王"/>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descr="09-供热分区规划图_看图王"/>
                    <pic:cNvPicPr>
                      <a:picLocks noChangeAspect="1"/>
                    </pic:cNvPicPr>
                  </pic:nvPicPr>
                  <pic:blipFill>
                    <a:blip r:embed="rId7"/>
                    <a:srcRect t="3499"/>
                    <a:stretch>
                      <a:fillRect/>
                    </a:stretch>
                  </pic:blipFill>
                  <pic:spPr>
                    <a:xfrm>
                      <a:off x="0" y="0"/>
                      <a:ext cx="5245735" cy="7162165"/>
                    </a:xfrm>
                    <a:prstGeom prst="rect">
                      <a:avLst/>
                    </a:prstGeom>
                  </pic:spPr>
                </pic:pic>
              </a:graphicData>
            </a:graphic>
          </wp:anchor>
        </w:drawing>
      </w:r>
    </w:p>
    <w:p w14:paraId="60831AB2">
      <w:pPr>
        <w:pStyle w:val="23"/>
        <w:rPr>
          <w:rFonts w:hint="eastAsia" w:ascii="仿宋" w:hAnsi="仿宋" w:eastAsia="仿宋" w:cstheme="minorEastAsia"/>
          <w:color w:val="auto"/>
          <w:sz w:val="28"/>
          <w:szCs w:val="28"/>
          <w:lang w:eastAsia="zh-CN"/>
        </w:rPr>
      </w:pPr>
    </w:p>
    <w:p w14:paraId="4EE5E679">
      <w:pPr>
        <w:pStyle w:val="23"/>
        <w:rPr>
          <w:rFonts w:hint="eastAsia" w:ascii="仿宋" w:hAnsi="仿宋" w:eastAsia="仿宋" w:cstheme="minorEastAsia"/>
          <w:color w:val="auto"/>
          <w:sz w:val="28"/>
          <w:szCs w:val="28"/>
        </w:rPr>
      </w:pPr>
    </w:p>
    <w:p w14:paraId="7C5FEEDB">
      <w:pPr>
        <w:pStyle w:val="23"/>
        <w:ind w:firstLine="480"/>
        <w:rPr>
          <w:rFonts w:hint="eastAsia" w:ascii="仿宋" w:hAnsi="仿宋" w:eastAsia="仿宋"/>
          <w:color w:val="auto"/>
          <w:lang w:eastAsia="zh-CN"/>
        </w:rPr>
      </w:pPr>
    </w:p>
    <w:p w14:paraId="53DE880B">
      <w:pPr>
        <w:pStyle w:val="23"/>
        <w:ind w:firstLine="480"/>
        <w:rPr>
          <w:rFonts w:hint="eastAsia" w:ascii="仿宋" w:hAnsi="仿宋" w:eastAsia="仿宋"/>
          <w:color w:val="auto"/>
          <w:lang w:eastAsia="zh-CN"/>
        </w:rPr>
      </w:pPr>
      <w:r>
        <w:rPr>
          <w:rFonts w:hint="eastAsia" w:ascii="仿宋" w:hAnsi="仿宋" w:eastAsia="仿宋"/>
          <w:color w:val="auto"/>
          <w:lang w:eastAsia="zh-CN"/>
        </w:rPr>
        <w:drawing>
          <wp:anchor distT="0" distB="0" distL="114300" distR="114300" simplePos="0" relativeHeight="251661312" behindDoc="0" locked="0" layoutInCell="1" allowOverlap="1">
            <wp:simplePos x="0" y="0"/>
            <wp:positionH relativeFrom="column">
              <wp:posOffset>114300</wp:posOffset>
            </wp:positionH>
            <wp:positionV relativeFrom="page">
              <wp:posOffset>1161415</wp:posOffset>
            </wp:positionV>
            <wp:extent cx="5245735" cy="7169785"/>
            <wp:effectExtent l="0" t="0" r="0" b="0"/>
            <wp:wrapTopAndBottom/>
            <wp:docPr id="3" name="图片 3" descr="10-远期热负荷分布图_看图王"/>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3" descr="10-远期热负荷分布图_看图王"/>
                    <pic:cNvPicPr>
                      <a:picLocks noChangeAspect="1"/>
                    </pic:cNvPicPr>
                  </pic:nvPicPr>
                  <pic:blipFill>
                    <a:blip r:embed="rId8"/>
                    <a:srcRect t="3397"/>
                    <a:stretch>
                      <a:fillRect/>
                    </a:stretch>
                  </pic:blipFill>
                  <pic:spPr>
                    <a:xfrm>
                      <a:off x="0" y="0"/>
                      <a:ext cx="5245735" cy="7169785"/>
                    </a:xfrm>
                    <a:prstGeom prst="rect">
                      <a:avLst/>
                    </a:prstGeom>
                  </pic:spPr>
                </pic:pic>
              </a:graphicData>
            </a:graphic>
          </wp:anchor>
        </w:drawing>
      </w:r>
    </w:p>
    <w:p w14:paraId="55CB1DD2">
      <w:pPr>
        <w:pStyle w:val="23"/>
        <w:ind w:firstLine="480"/>
        <w:rPr>
          <w:rFonts w:ascii="仿宋" w:hAnsi="仿宋" w:eastAsia="仿宋"/>
          <w:color w:val="auto"/>
        </w:rPr>
      </w:pPr>
    </w:p>
    <w:p w14:paraId="5A406587">
      <w:pPr>
        <w:pStyle w:val="23"/>
        <w:ind w:firstLine="480"/>
        <w:rPr>
          <w:rFonts w:hint="eastAsia" w:ascii="仿宋" w:hAnsi="仿宋" w:eastAsia="仿宋"/>
          <w:color w:val="auto"/>
          <w:lang w:eastAsia="zh-CN"/>
        </w:rPr>
      </w:pPr>
      <w:r>
        <w:rPr>
          <w:rFonts w:hint="eastAsia" w:ascii="仿宋" w:hAnsi="仿宋" w:eastAsia="仿宋"/>
          <w:color w:val="auto"/>
          <w:lang w:eastAsia="zh-CN"/>
        </w:rPr>
        <w:drawing>
          <wp:anchor distT="0" distB="0" distL="114300" distR="114300" simplePos="0" relativeHeight="251662336" behindDoc="0" locked="0" layoutInCell="1" allowOverlap="1">
            <wp:simplePos x="0" y="0"/>
            <wp:positionH relativeFrom="column">
              <wp:posOffset>53340</wp:posOffset>
            </wp:positionH>
            <wp:positionV relativeFrom="page">
              <wp:posOffset>1024890</wp:posOffset>
            </wp:positionV>
            <wp:extent cx="5245735" cy="7176770"/>
            <wp:effectExtent l="0" t="0" r="0" b="0"/>
            <wp:wrapTopAndBottom/>
            <wp:docPr id="4" name="图片 4" descr="12-远期供热管网规划图_看图王"/>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12-远期供热管网规划图_看图王"/>
                    <pic:cNvPicPr>
                      <a:picLocks noChangeAspect="1"/>
                    </pic:cNvPicPr>
                  </pic:nvPicPr>
                  <pic:blipFill>
                    <a:blip r:embed="rId9"/>
                    <a:srcRect t="3303"/>
                    <a:stretch>
                      <a:fillRect/>
                    </a:stretch>
                  </pic:blipFill>
                  <pic:spPr>
                    <a:xfrm>
                      <a:off x="0" y="0"/>
                      <a:ext cx="5245735" cy="7176770"/>
                    </a:xfrm>
                    <a:prstGeom prst="rect">
                      <a:avLst/>
                    </a:prstGeom>
                  </pic:spPr>
                </pic:pic>
              </a:graphicData>
            </a:graphic>
          </wp:anchor>
        </w:drawing>
      </w:r>
    </w:p>
    <w:p w14:paraId="03F9CCDC">
      <w:pPr>
        <w:pStyle w:val="23"/>
        <w:ind w:firstLine="480"/>
        <w:rPr>
          <w:rFonts w:hint="eastAsia" w:ascii="仿宋" w:hAnsi="仿宋" w:eastAsia="仿宋"/>
          <w:color w:val="auto"/>
          <w:lang w:eastAsia="zh-CN"/>
        </w:rPr>
      </w:pPr>
    </w:p>
    <w:p w14:paraId="18EEE14D">
      <w:pPr>
        <w:widowControl/>
        <w:spacing w:after="0" w:line="240" w:lineRule="auto"/>
        <w:jc w:val="left"/>
        <w:rPr>
          <w:rFonts w:hint="eastAsia" w:ascii="仿宋" w:hAnsi="仿宋" w:eastAsia="仿宋"/>
          <w:color w:val="auto"/>
          <w:sz w:val="24"/>
          <w:lang w:eastAsia="zh-CN"/>
        </w:rPr>
      </w:pPr>
    </w:p>
    <w:sectPr>
      <w:footerReference r:id="rId5" w:type="default"/>
      <w:pgSz w:w="11906" w:h="16838"/>
      <w:pgMar w:top="1440" w:right="1803" w:bottom="1440" w:left="1797" w:header="851" w:footer="992" w:gutter="0"/>
      <w:pgNumType w:start="1"/>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003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modern"/>
    <w:pitch w:val="default"/>
    <w:sig w:usb0="800002BF" w:usb1="38CF7CFA" w:usb2="00000016" w:usb3="00000000" w:csb0="00040001"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A40EDC7">
    <w:pPr>
      <w:pStyle w:val="10"/>
    </w:pPr>
    <w:r>
      <w:pict>
        <v:shape id="_x0000_s1027" o:spid="_x0000_s1027" o:spt="202" type="#_x0000_t202" style="position:absolute;left:0pt;margin-top:0pt;height:144pt;width:144pt;mso-position-horizontal:right;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4YDTjjICAABhBAAADgAAAAAAAAABACAAAAAfAQAAZHJzL2Uyb0RvYy54bWxQSwUG&#10;AAAAAAYABgBZAQAAwwUAAAAA&#10;">
          <v:path/>
          <v:fill on="f" focussize="0,0"/>
          <v:stroke on="f" weight="0.5pt" joinstyle="miter"/>
          <v:imagedata o:title=""/>
          <o:lock v:ext="edit"/>
          <v:textbox inset="0mm,0mm,0mm,0mm" style="mso-fit-shape-to-text:t;">
            <w:txbxContent>
              <w:p w14:paraId="6151DDC3">
                <w:pPr>
                  <w:pStyle w:val="10"/>
                  <w:rPr>
                    <w:sz w:val="21"/>
                    <w:szCs w:val="21"/>
                  </w:rPr>
                </w:pPr>
                <w:r>
                  <w:rPr>
                    <w:sz w:val="21"/>
                    <w:szCs w:val="21"/>
                  </w:rPr>
                  <w:fldChar w:fldCharType="begin"/>
                </w:r>
                <w:r>
                  <w:rPr>
                    <w:sz w:val="21"/>
                    <w:szCs w:val="21"/>
                  </w:rPr>
                  <w:instrText xml:space="preserve"> PAGE  \* MERGEFORMAT </w:instrText>
                </w:r>
                <w:r>
                  <w:rPr>
                    <w:sz w:val="21"/>
                    <w:szCs w:val="21"/>
                  </w:rPr>
                  <w:fldChar w:fldCharType="separate"/>
                </w:r>
                <w:r>
                  <w:rPr>
                    <w:sz w:val="21"/>
                    <w:szCs w:val="21"/>
                  </w:rPr>
                  <w:t>9</w:t>
                </w:r>
                <w:r>
                  <w:rPr>
                    <w:sz w:val="21"/>
                    <w:szCs w:val="21"/>
                  </w:rPr>
                  <w:fldChar w:fldCharType="end"/>
                </w:r>
              </w:p>
            </w:txbxContent>
          </v:textbox>
        </v:shape>
      </w:pic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276" w:lineRule="auto"/>
      </w:pPr>
      <w:r>
        <w:separator/>
      </w:r>
    </w:p>
  </w:footnote>
  <w:footnote w:type="continuationSeparator" w:id="1">
    <w:p>
      <w:pPr>
        <w:spacing w:before="0" w:after="0" w:line="276"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C757A305"/>
    <w:multiLevelType w:val="singleLevel"/>
    <w:tmpl w:val="C757A305"/>
    <w:lvl w:ilvl="0" w:tentative="0">
      <w:start w:val="1"/>
      <w:numFmt w:val="chineseCounting"/>
      <w:pStyle w:val="2"/>
      <w:suff w:val="nothing"/>
      <w:lvlText w:val="第%1章 "/>
      <w:lvlJc w:val="left"/>
      <w:pPr>
        <w:tabs>
          <w:tab w:val="left" w:pos="998"/>
        </w:tabs>
        <w:ind w:left="998" w:firstLine="420"/>
      </w:pPr>
      <w:rPr>
        <w:rFonts w:hint="eastAsia" w:ascii="宋体" w:hAnsi="宋体" w:eastAsia="宋体" w:cs="宋体"/>
      </w:rPr>
    </w:lvl>
  </w:abstractNum>
  <w:abstractNum w:abstractNumId="1">
    <w:nsid w:val="00000010"/>
    <w:multiLevelType w:val="multilevel"/>
    <w:tmpl w:val="00000010"/>
    <w:lvl w:ilvl="0" w:tentative="0">
      <w:start w:val="1"/>
      <w:numFmt w:val="decimal"/>
      <w:pStyle w:val="4"/>
      <w:lvlText w:val="%1."/>
      <w:lvlJc w:val="left"/>
      <w:pPr>
        <w:ind w:left="420" w:hanging="420"/>
      </w:pPr>
    </w:lvl>
    <w:lvl w:ilvl="1" w:tentative="0">
      <w:start w:val="1"/>
      <w:numFmt w:val="lowerLetter"/>
      <w:lvlText w:val="%2)"/>
      <w:lvlJc w:val="left"/>
      <w:pPr>
        <w:ind w:left="682" w:hanging="420"/>
      </w:pPr>
    </w:lvl>
    <w:lvl w:ilvl="2" w:tentative="0">
      <w:start w:val="1"/>
      <w:numFmt w:val="lowerRoman"/>
      <w:lvlText w:val="%3."/>
      <w:lvlJc w:val="right"/>
      <w:pPr>
        <w:ind w:left="1102" w:hanging="420"/>
      </w:pPr>
    </w:lvl>
    <w:lvl w:ilvl="3" w:tentative="0">
      <w:start w:val="1"/>
      <w:numFmt w:val="decimal"/>
      <w:lvlText w:val="%4."/>
      <w:lvlJc w:val="left"/>
      <w:pPr>
        <w:ind w:left="1522" w:hanging="420"/>
      </w:pPr>
    </w:lvl>
    <w:lvl w:ilvl="4" w:tentative="0">
      <w:start w:val="1"/>
      <w:numFmt w:val="lowerLetter"/>
      <w:lvlText w:val="%5)"/>
      <w:lvlJc w:val="left"/>
      <w:pPr>
        <w:ind w:left="1942" w:hanging="420"/>
      </w:pPr>
    </w:lvl>
    <w:lvl w:ilvl="5" w:tentative="0">
      <w:start w:val="1"/>
      <w:numFmt w:val="lowerRoman"/>
      <w:lvlText w:val="%6."/>
      <w:lvlJc w:val="right"/>
      <w:pPr>
        <w:ind w:left="2362" w:hanging="420"/>
      </w:pPr>
    </w:lvl>
    <w:lvl w:ilvl="6" w:tentative="0">
      <w:start w:val="1"/>
      <w:numFmt w:val="decimal"/>
      <w:lvlText w:val="%7."/>
      <w:lvlJc w:val="left"/>
      <w:pPr>
        <w:ind w:left="2782" w:hanging="420"/>
      </w:pPr>
    </w:lvl>
    <w:lvl w:ilvl="7" w:tentative="0">
      <w:start w:val="1"/>
      <w:numFmt w:val="lowerLetter"/>
      <w:lvlText w:val="%8)"/>
      <w:lvlJc w:val="left"/>
      <w:pPr>
        <w:ind w:left="3202" w:hanging="420"/>
      </w:pPr>
    </w:lvl>
    <w:lvl w:ilvl="8" w:tentative="0">
      <w:start w:val="1"/>
      <w:numFmt w:val="lowerRoman"/>
      <w:lvlText w:val="%9."/>
      <w:lvlJc w:val="right"/>
      <w:pPr>
        <w:ind w:left="3622" w:hanging="420"/>
      </w:pPr>
    </w:lvl>
  </w:abstractNum>
  <w:abstractNum w:abstractNumId="2">
    <w:nsid w:val="1E2F1ED9"/>
    <w:multiLevelType w:val="multilevel"/>
    <w:tmpl w:val="1E2F1ED9"/>
    <w:lvl w:ilvl="0" w:tentative="0">
      <w:start w:val="1"/>
      <w:numFmt w:val="chineseCountingThousand"/>
      <w:lvlText w:val="%1、"/>
      <w:lvlJc w:val="left"/>
      <w:pPr>
        <w:ind w:left="420" w:hanging="420"/>
      </w:pPr>
      <w:rPr>
        <w:rFonts w:hint="eastAsia"/>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bordersDoNotSurroundHeader w:val="1"/>
  <w:bordersDoNotSurroundFooter w:val="1"/>
  <w:documentProtection w:enforcement="0"/>
  <w:defaultTabStop w:val="420"/>
  <w:drawingGridHorizontalSpacing w:val="105"/>
  <w:drawingGridVerticalSpacing w:val="156"/>
  <w:displayHorizontalDrawingGridEvery w:val="2"/>
  <w:displayVerticalDrawingGridEvery w:val="2"/>
  <w:noPunctuationKerning w:val="1"/>
  <w:characterSpacingControl w:val="compressPunctuation"/>
  <w:hdrShapeDefaults>
    <o:shapelayout v:ext="edit">
      <o:idmap v:ext="edit" data="1"/>
    </o:shapelayout>
  </w:hdrShapeDefaults>
  <w:footnotePr>
    <w:footnote w:id="0"/>
    <w:footnote w:id="1"/>
  </w:footnotePr>
  <w:endnotePr>
    <w:endnote w:id="0"/>
    <w:endnote w:id="1"/>
  </w:endnotePr>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MzNmMDAxZTBjODgyYmM3MDEwYzljZDVlOTJjMjYwZTUifQ=="/>
  </w:docVars>
  <w:rsids>
    <w:rsidRoot w:val="001569B0"/>
    <w:rsid w:val="00001003"/>
    <w:rsid w:val="000013EE"/>
    <w:rsid w:val="0001700B"/>
    <w:rsid w:val="00025237"/>
    <w:rsid w:val="000471F2"/>
    <w:rsid w:val="00047CBE"/>
    <w:rsid w:val="0006268E"/>
    <w:rsid w:val="000758A0"/>
    <w:rsid w:val="0008171F"/>
    <w:rsid w:val="00084780"/>
    <w:rsid w:val="00090611"/>
    <w:rsid w:val="000A5C75"/>
    <w:rsid w:val="000B5780"/>
    <w:rsid w:val="000D3AAE"/>
    <w:rsid w:val="000D60C4"/>
    <w:rsid w:val="000F589D"/>
    <w:rsid w:val="000F774E"/>
    <w:rsid w:val="0010778B"/>
    <w:rsid w:val="00123ED3"/>
    <w:rsid w:val="00140D98"/>
    <w:rsid w:val="001553B5"/>
    <w:rsid w:val="001569B0"/>
    <w:rsid w:val="0017007D"/>
    <w:rsid w:val="001954FF"/>
    <w:rsid w:val="00195EAA"/>
    <w:rsid w:val="001A0225"/>
    <w:rsid w:val="001A288B"/>
    <w:rsid w:val="001A6F73"/>
    <w:rsid w:val="001C65D9"/>
    <w:rsid w:val="001D63DA"/>
    <w:rsid w:val="001E4825"/>
    <w:rsid w:val="001E6CBD"/>
    <w:rsid w:val="001E6E82"/>
    <w:rsid w:val="00203447"/>
    <w:rsid w:val="00236DE1"/>
    <w:rsid w:val="002420B9"/>
    <w:rsid w:val="00242F14"/>
    <w:rsid w:val="002509C5"/>
    <w:rsid w:val="00253BC8"/>
    <w:rsid w:val="00255A27"/>
    <w:rsid w:val="00263963"/>
    <w:rsid w:val="00273923"/>
    <w:rsid w:val="0027626B"/>
    <w:rsid w:val="002816A4"/>
    <w:rsid w:val="002867C4"/>
    <w:rsid w:val="002B1F35"/>
    <w:rsid w:val="002D05C5"/>
    <w:rsid w:val="002D246B"/>
    <w:rsid w:val="002D328D"/>
    <w:rsid w:val="002D6249"/>
    <w:rsid w:val="002E6115"/>
    <w:rsid w:val="002F14AF"/>
    <w:rsid w:val="003245A8"/>
    <w:rsid w:val="00332B0A"/>
    <w:rsid w:val="00332C2A"/>
    <w:rsid w:val="003360DD"/>
    <w:rsid w:val="0035520F"/>
    <w:rsid w:val="003560FC"/>
    <w:rsid w:val="00363308"/>
    <w:rsid w:val="0038348F"/>
    <w:rsid w:val="003B276D"/>
    <w:rsid w:val="003B437F"/>
    <w:rsid w:val="003C5723"/>
    <w:rsid w:val="003E1A5D"/>
    <w:rsid w:val="003E5BB0"/>
    <w:rsid w:val="003E778A"/>
    <w:rsid w:val="003F3A5E"/>
    <w:rsid w:val="003F6C9A"/>
    <w:rsid w:val="004105C6"/>
    <w:rsid w:val="00413A3A"/>
    <w:rsid w:val="00423547"/>
    <w:rsid w:val="00430884"/>
    <w:rsid w:val="00473C95"/>
    <w:rsid w:val="0047788D"/>
    <w:rsid w:val="004861A2"/>
    <w:rsid w:val="004867B2"/>
    <w:rsid w:val="004903FE"/>
    <w:rsid w:val="004968F6"/>
    <w:rsid w:val="004B03A0"/>
    <w:rsid w:val="004B04F2"/>
    <w:rsid w:val="004C0297"/>
    <w:rsid w:val="004E413B"/>
    <w:rsid w:val="004E739E"/>
    <w:rsid w:val="004E7792"/>
    <w:rsid w:val="004F38F2"/>
    <w:rsid w:val="004F4653"/>
    <w:rsid w:val="00500BFB"/>
    <w:rsid w:val="00503B0A"/>
    <w:rsid w:val="00525893"/>
    <w:rsid w:val="005328CA"/>
    <w:rsid w:val="00545508"/>
    <w:rsid w:val="00554110"/>
    <w:rsid w:val="00555B8E"/>
    <w:rsid w:val="00557A12"/>
    <w:rsid w:val="00561A81"/>
    <w:rsid w:val="00592431"/>
    <w:rsid w:val="00593B15"/>
    <w:rsid w:val="005B7F66"/>
    <w:rsid w:val="005C43C7"/>
    <w:rsid w:val="005E0F6A"/>
    <w:rsid w:val="005E1600"/>
    <w:rsid w:val="005E4E63"/>
    <w:rsid w:val="005E5FDB"/>
    <w:rsid w:val="005F0B4B"/>
    <w:rsid w:val="00600452"/>
    <w:rsid w:val="006031AF"/>
    <w:rsid w:val="006102B0"/>
    <w:rsid w:val="006119D3"/>
    <w:rsid w:val="0061703A"/>
    <w:rsid w:val="00622BB7"/>
    <w:rsid w:val="0062408B"/>
    <w:rsid w:val="0063506D"/>
    <w:rsid w:val="0063682C"/>
    <w:rsid w:val="00653E00"/>
    <w:rsid w:val="00656E87"/>
    <w:rsid w:val="00696DCD"/>
    <w:rsid w:val="006B184F"/>
    <w:rsid w:val="006B71D9"/>
    <w:rsid w:val="006D2072"/>
    <w:rsid w:val="00721DEE"/>
    <w:rsid w:val="00731BE1"/>
    <w:rsid w:val="00750DEF"/>
    <w:rsid w:val="00774FDD"/>
    <w:rsid w:val="00776089"/>
    <w:rsid w:val="00786093"/>
    <w:rsid w:val="007A1344"/>
    <w:rsid w:val="007A7CB2"/>
    <w:rsid w:val="007C2D8E"/>
    <w:rsid w:val="007C3692"/>
    <w:rsid w:val="007C4827"/>
    <w:rsid w:val="007F762F"/>
    <w:rsid w:val="00805018"/>
    <w:rsid w:val="008058B0"/>
    <w:rsid w:val="008134D6"/>
    <w:rsid w:val="00821316"/>
    <w:rsid w:val="008238D5"/>
    <w:rsid w:val="00864CAF"/>
    <w:rsid w:val="00894ECD"/>
    <w:rsid w:val="008A0EE2"/>
    <w:rsid w:val="008A192A"/>
    <w:rsid w:val="008A54AC"/>
    <w:rsid w:val="008C0793"/>
    <w:rsid w:val="008E2290"/>
    <w:rsid w:val="008E7157"/>
    <w:rsid w:val="008F5C65"/>
    <w:rsid w:val="00906B0E"/>
    <w:rsid w:val="009105DE"/>
    <w:rsid w:val="0091406F"/>
    <w:rsid w:val="00921E35"/>
    <w:rsid w:val="00922C5D"/>
    <w:rsid w:val="0093271F"/>
    <w:rsid w:val="00945767"/>
    <w:rsid w:val="0095160F"/>
    <w:rsid w:val="00954D9B"/>
    <w:rsid w:val="00970BC6"/>
    <w:rsid w:val="00973988"/>
    <w:rsid w:val="00992BAC"/>
    <w:rsid w:val="009B262F"/>
    <w:rsid w:val="009D191E"/>
    <w:rsid w:val="009D7F13"/>
    <w:rsid w:val="009F4039"/>
    <w:rsid w:val="00A01612"/>
    <w:rsid w:val="00A07AE3"/>
    <w:rsid w:val="00A26BF0"/>
    <w:rsid w:val="00A32F2D"/>
    <w:rsid w:val="00A341FE"/>
    <w:rsid w:val="00A421DF"/>
    <w:rsid w:val="00A53D83"/>
    <w:rsid w:val="00A57629"/>
    <w:rsid w:val="00A8516B"/>
    <w:rsid w:val="00AA428A"/>
    <w:rsid w:val="00AB31E6"/>
    <w:rsid w:val="00AD5DD9"/>
    <w:rsid w:val="00AE078B"/>
    <w:rsid w:val="00B021AC"/>
    <w:rsid w:val="00B02EDB"/>
    <w:rsid w:val="00B040CA"/>
    <w:rsid w:val="00B245EA"/>
    <w:rsid w:val="00B251C5"/>
    <w:rsid w:val="00B36E2D"/>
    <w:rsid w:val="00B53866"/>
    <w:rsid w:val="00B66321"/>
    <w:rsid w:val="00B66464"/>
    <w:rsid w:val="00B84C78"/>
    <w:rsid w:val="00B86577"/>
    <w:rsid w:val="00BC0A4E"/>
    <w:rsid w:val="00BC3D72"/>
    <w:rsid w:val="00BD0DCA"/>
    <w:rsid w:val="00BD6C75"/>
    <w:rsid w:val="00BE2887"/>
    <w:rsid w:val="00BE7D96"/>
    <w:rsid w:val="00BF12B6"/>
    <w:rsid w:val="00C0163C"/>
    <w:rsid w:val="00C35CBD"/>
    <w:rsid w:val="00C40E1E"/>
    <w:rsid w:val="00C41D7A"/>
    <w:rsid w:val="00C455CB"/>
    <w:rsid w:val="00C504BE"/>
    <w:rsid w:val="00C51973"/>
    <w:rsid w:val="00C70381"/>
    <w:rsid w:val="00CA1E06"/>
    <w:rsid w:val="00CA3087"/>
    <w:rsid w:val="00CB056F"/>
    <w:rsid w:val="00CB1A8F"/>
    <w:rsid w:val="00D133B9"/>
    <w:rsid w:val="00D25122"/>
    <w:rsid w:val="00D41235"/>
    <w:rsid w:val="00D51330"/>
    <w:rsid w:val="00D5331D"/>
    <w:rsid w:val="00D53808"/>
    <w:rsid w:val="00D54FAF"/>
    <w:rsid w:val="00D608E5"/>
    <w:rsid w:val="00D63F0C"/>
    <w:rsid w:val="00D75CEF"/>
    <w:rsid w:val="00D76D86"/>
    <w:rsid w:val="00D91F5A"/>
    <w:rsid w:val="00DA3CAB"/>
    <w:rsid w:val="00DA6576"/>
    <w:rsid w:val="00DC100D"/>
    <w:rsid w:val="00DC5622"/>
    <w:rsid w:val="00DC61B5"/>
    <w:rsid w:val="00DC64BE"/>
    <w:rsid w:val="00DE2691"/>
    <w:rsid w:val="00E06D25"/>
    <w:rsid w:val="00E11A3F"/>
    <w:rsid w:val="00E236CC"/>
    <w:rsid w:val="00E34BF2"/>
    <w:rsid w:val="00E475F7"/>
    <w:rsid w:val="00E52A8B"/>
    <w:rsid w:val="00E57E7E"/>
    <w:rsid w:val="00E735FA"/>
    <w:rsid w:val="00E77A23"/>
    <w:rsid w:val="00E96A47"/>
    <w:rsid w:val="00E96E4B"/>
    <w:rsid w:val="00EA54FA"/>
    <w:rsid w:val="00EC4C22"/>
    <w:rsid w:val="00ED3333"/>
    <w:rsid w:val="00EE2741"/>
    <w:rsid w:val="00EE5B69"/>
    <w:rsid w:val="00EF1A3E"/>
    <w:rsid w:val="00F11BA5"/>
    <w:rsid w:val="00F121D1"/>
    <w:rsid w:val="00F2051F"/>
    <w:rsid w:val="00F35BD8"/>
    <w:rsid w:val="00F36436"/>
    <w:rsid w:val="00F66035"/>
    <w:rsid w:val="00F70BAD"/>
    <w:rsid w:val="00F77EFA"/>
    <w:rsid w:val="00F82357"/>
    <w:rsid w:val="00F82D23"/>
    <w:rsid w:val="00F91581"/>
    <w:rsid w:val="00FA2B3C"/>
    <w:rsid w:val="00FA3EFC"/>
    <w:rsid w:val="00FB1109"/>
    <w:rsid w:val="00FB4F92"/>
    <w:rsid w:val="00FB66E5"/>
    <w:rsid w:val="00FE1AE5"/>
    <w:rsid w:val="00FE3C30"/>
    <w:rsid w:val="00FE45A4"/>
    <w:rsid w:val="014868D6"/>
    <w:rsid w:val="014B6DB6"/>
    <w:rsid w:val="014B7D31"/>
    <w:rsid w:val="03BE360A"/>
    <w:rsid w:val="040C7642"/>
    <w:rsid w:val="0486156C"/>
    <w:rsid w:val="049C0C5D"/>
    <w:rsid w:val="04ED321B"/>
    <w:rsid w:val="04F5403C"/>
    <w:rsid w:val="051931EE"/>
    <w:rsid w:val="059C0ED7"/>
    <w:rsid w:val="06127A7D"/>
    <w:rsid w:val="069A2306"/>
    <w:rsid w:val="06F7056F"/>
    <w:rsid w:val="06FC5918"/>
    <w:rsid w:val="08681C10"/>
    <w:rsid w:val="08C17F84"/>
    <w:rsid w:val="08E83CAC"/>
    <w:rsid w:val="09605449"/>
    <w:rsid w:val="0A1724EC"/>
    <w:rsid w:val="0A570314"/>
    <w:rsid w:val="0AB135FF"/>
    <w:rsid w:val="0B542216"/>
    <w:rsid w:val="0B6C2AAA"/>
    <w:rsid w:val="0B725406"/>
    <w:rsid w:val="0B8C1B18"/>
    <w:rsid w:val="0C082BF2"/>
    <w:rsid w:val="0C1C1816"/>
    <w:rsid w:val="0C47780E"/>
    <w:rsid w:val="0D660E79"/>
    <w:rsid w:val="0D911EE0"/>
    <w:rsid w:val="0ECC778E"/>
    <w:rsid w:val="0F1839CA"/>
    <w:rsid w:val="0F715CCF"/>
    <w:rsid w:val="0FDD1F1C"/>
    <w:rsid w:val="10177124"/>
    <w:rsid w:val="1025597B"/>
    <w:rsid w:val="105F2674"/>
    <w:rsid w:val="10790FE5"/>
    <w:rsid w:val="107A2A82"/>
    <w:rsid w:val="10817182"/>
    <w:rsid w:val="10C34D56"/>
    <w:rsid w:val="113072D7"/>
    <w:rsid w:val="11815416"/>
    <w:rsid w:val="119231F9"/>
    <w:rsid w:val="11D9617B"/>
    <w:rsid w:val="11DC1DA7"/>
    <w:rsid w:val="127A08CF"/>
    <w:rsid w:val="131925DE"/>
    <w:rsid w:val="138E444B"/>
    <w:rsid w:val="13DE29B0"/>
    <w:rsid w:val="14A775EA"/>
    <w:rsid w:val="14D94773"/>
    <w:rsid w:val="15586EC4"/>
    <w:rsid w:val="16010BA7"/>
    <w:rsid w:val="16310DCE"/>
    <w:rsid w:val="16322E04"/>
    <w:rsid w:val="16362534"/>
    <w:rsid w:val="170571B0"/>
    <w:rsid w:val="17355AE1"/>
    <w:rsid w:val="178F4070"/>
    <w:rsid w:val="17C70888"/>
    <w:rsid w:val="18555389"/>
    <w:rsid w:val="18645815"/>
    <w:rsid w:val="18693A81"/>
    <w:rsid w:val="19FB42AB"/>
    <w:rsid w:val="1A2E515C"/>
    <w:rsid w:val="1A6F0BB7"/>
    <w:rsid w:val="1A974D27"/>
    <w:rsid w:val="1A9A7650"/>
    <w:rsid w:val="1B404651"/>
    <w:rsid w:val="1B8D7D37"/>
    <w:rsid w:val="1BEA5747"/>
    <w:rsid w:val="1BF65EFA"/>
    <w:rsid w:val="1C343C9E"/>
    <w:rsid w:val="1CBC2DA9"/>
    <w:rsid w:val="1CEC2B3E"/>
    <w:rsid w:val="1D0B655C"/>
    <w:rsid w:val="1D734A0C"/>
    <w:rsid w:val="1DFB5F54"/>
    <w:rsid w:val="1E4F4610"/>
    <w:rsid w:val="2020618A"/>
    <w:rsid w:val="202A06D6"/>
    <w:rsid w:val="20E35871"/>
    <w:rsid w:val="21567046"/>
    <w:rsid w:val="217B4CED"/>
    <w:rsid w:val="21972AA0"/>
    <w:rsid w:val="22334283"/>
    <w:rsid w:val="22AC45A6"/>
    <w:rsid w:val="23DF51AB"/>
    <w:rsid w:val="248655AA"/>
    <w:rsid w:val="24FF52FB"/>
    <w:rsid w:val="25D00ACE"/>
    <w:rsid w:val="2629095F"/>
    <w:rsid w:val="276252F3"/>
    <w:rsid w:val="279D2F43"/>
    <w:rsid w:val="28492D10"/>
    <w:rsid w:val="28A76D6D"/>
    <w:rsid w:val="28AB1AFF"/>
    <w:rsid w:val="28B12803"/>
    <w:rsid w:val="28E62EF9"/>
    <w:rsid w:val="292044B0"/>
    <w:rsid w:val="29DA269C"/>
    <w:rsid w:val="2BF308C4"/>
    <w:rsid w:val="2D915768"/>
    <w:rsid w:val="2D946079"/>
    <w:rsid w:val="2E086395"/>
    <w:rsid w:val="2E9948C0"/>
    <w:rsid w:val="2FAA0CF1"/>
    <w:rsid w:val="30A316A4"/>
    <w:rsid w:val="30A532D8"/>
    <w:rsid w:val="30D7536C"/>
    <w:rsid w:val="31244B45"/>
    <w:rsid w:val="31AF717C"/>
    <w:rsid w:val="31B45C6F"/>
    <w:rsid w:val="32024E86"/>
    <w:rsid w:val="323D35C1"/>
    <w:rsid w:val="33341FEE"/>
    <w:rsid w:val="33D27588"/>
    <w:rsid w:val="33D51255"/>
    <w:rsid w:val="33D80194"/>
    <w:rsid w:val="33F50CB2"/>
    <w:rsid w:val="33FD4FA4"/>
    <w:rsid w:val="3488745B"/>
    <w:rsid w:val="34A87D82"/>
    <w:rsid w:val="34E6283D"/>
    <w:rsid w:val="35333637"/>
    <w:rsid w:val="3552463B"/>
    <w:rsid w:val="35660FCE"/>
    <w:rsid w:val="35A874EB"/>
    <w:rsid w:val="35C00B5B"/>
    <w:rsid w:val="35EC2D31"/>
    <w:rsid w:val="36364D84"/>
    <w:rsid w:val="363B0FB3"/>
    <w:rsid w:val="36CF1B3C"/>
    <w:rsid w:val="374161FE"/>
    <w:rsid w:val="37AD1E67"/>
    <w:rsid w:val="381A5FF7"/>
    <w:rsid w:val="389C45AA"/>
    <w:rsid w:val="399D1665"/>
    <w:rsid w:val="3B025B2A"/>
    <w:rsid w:val="3B666687"/>
    <w:rsid w:val="3B681C0B"/>
    <w:rsid w:val="3B7631B2"/>
    <w:rsid w:val="3B8F2A54"/>
    <w:rsid w:val="3BA91A83"/>
    <w:rsid w:val="3BCA70A5"/>
    <w:rsid w:val="3C1772DF"/>
    <w:rsid w:val="3C7F7CBD"/>
    <w:rsid w:val="3C981355"/>
    <w:rsid w:val="3CA04AFF"/>
    <w:rsid w:val="3CD41364"/>
    <w:rsid w:val="3DA61997"/>
    <w:rsid w:val="3DFF6BF7"/>
    <w:rsid w:val="3E1371BB"/>
    <w:rsid w:val="3E16521B"/>
    <w:rsid w:val="3ECC63B9"/>
    <w:rsid w:val="3F1E6E6D"/>
    <w:rsid w:val="3F632CDC"/>
    <w:rsid w:val="40071D65"/>
    <w:rsid w:val="400E22FB"/>
    <w:rsid w:val="401C4AEF"/>
    <w:rsid w:val="40424CAC"/>
    <w:rsid w:val="40B62FDA"/>
    <w:rsid w:val="40DF463B"/>
    <w:rsid w:val="41675BD4"/>
    <w:rsid w:val="41870188"/>
    <w:rsid w:val="41BE0726"/>
    <w:rsid w:val="420A3106"/>
    <w:rsid w:val="42142DCB"/>
    <w:rsid w:val="42D8691F"/>
    <w:rsid w:val="42EB3C66"/>
    <w:rsid w:val="441F0ECD"/>
    <w:rsid w:val="444A2328"/>
    <w:rsid w:val="449E5491"/>
    <w:rsid w:val="44BE3998"/>
    <w:rsid w:val="44C4421D"/>
    <w:rsid w:val="45475813"/>
    <w:rsid w:val="459870EC"/>
    <w:rsid w:val="45CD7002"/>
    <w:rsid w:val="461F7CE2"/>
    <w:rsid w:val="46345196"/>
    <w:rsid w:val="47160A32"/>
    <w:rsid w:val="484B7264"/>
    <w:rsid w:val="49200EFF"/>
    <w:rsid w:val="49821651"/>
    <w:rsid w:val="4A024309"/>
    <w:rsid w:val="4A5538CD"/>
    <w:rsid w:val="4A873D23"/>
    <w:rsid w:val="4B2A6B83"/>
    <w:rsid w:val="4C064DA0"/>
    <w:rsid w:val="4C2839D8"/>
    <w:rsid w:val="4C3C35D2"/>
    <w:rsid w:val="4C5A3058"/>
    <w:rsid w:val="4CEE62DB"/>
    <w:rsid w:val="4D183853"/>
    <w:rsid w:val="4D3D554A"/>
    <w:rsid w:val="4D99525E"/>
    <w:rsid w:val="4DB44FC5"/>
    <w:rsid w:val="4DEC7B28"/>
    <w:rsid w:val="4E542C6C"/>
    <w:rsid w:val="4E727211"/>
    <w:rsid w:val="4E8F6626"/>
    <w:rsid w:val="4EF163FE"/>
    <w:rsid w:val="4F6E3703"/>
    <w:rsid w:val="50451A40"/>
    <w:rsid w:val="50D22F08"/>
    <w:rsid w:val="51F17946"/>
    <w:rsid w:val="51F660E8"/>
    <w:rsid w:val="520239B2"/>
    <w:rsid w:val="527549CA"/>
    <w:rsid w:val="52B11A81"/>
    <w:rsid w:val="53414504"/>
    <w:rsid w:val="53BD0D81"/>
    <w:rsid w:val="54765AEE"/>
    <w:rsid w:val="54967D01"/>
    <w:rsid w:val="55246C59"/>
    <w:rsid w:val="55886798"/>
    <w:rsid w:val="559D7335"/>
    <w:rsid w:val="56C97A64"/>
    <w:rsid w:val="575834C9"/>
    <w:rsid w:val="575907F5"/>
    <w:rsid w:val="588400F4"/>
    <w:rsid w:val="58A331DB"/>
    <w:rsid w:val="593C2292"/>
    <w:rsid w:val="59B00907"/>
    <w:rsid w:val="5A1531CD"/>
    <w:rsid w:val="5A964398"/>
    <w:rsid w:val="5AA35CD6"/>
    <w:rsid w:val="5ADB3764"/>
    <w:rsid w:val="5B773733"/>
    <w:rsid w:val="5C397D83"/>
    <w:rsid w:val="5C5D08A2"/>
    <w:rsid w:val="5C7D3A52"/>
    <w:rsid w:val="5D805C4A"/>
    <w:rsid w:val="5D941F5F"/>
    <w:rsid w:val="5DB9374A"/>
    <w:rsid w:val="5DF77510"/>
    <w:rsid w:val="5E20759F"/>
    <w:rsid w:val="5F0F2A1C"/>
    <w:rsid w:val="5F95080E"/>
    <w:rsid w:val="60375808"/>
    <w:rsid w:val="60497ED3"/>
    <w:rsid w:val="608245CC"/>
    <w:rsid w:val="60DF5334"/>
    <w:rsid w:val="61AD0EDE"/>
    <w:rsid w:val="61BA75DA"/>
    <w:rsid w:val="637A67E0"/>
    <w:rsid w:val="63F407AD"/>
    <w:rsid w:val="640C6827"/>
    <w:rsid w:val="649858D2"/>
    <w:rsid w:val="65950F58"/>
    <w:rsid w:val="65C7345A"/>
    <w:rsid w:val="66094DDC"/>
    <w:rsid w:val="66AD4244"/>
    <w:rsid w:val="671822BE"/>
    <w:rsid w:val="67FE551B"/>
    <w:rsid w:val="681B0213"/>
    <w:rsid w:val="683664BA"/>
    <w:rsid w:val="685A6F8E"/>
    <w:rsid w:val="68A53B58"/>
    <w:rsid w:val="68CC5E33"/>
    <w:rsid w:val="6946396A"/>
    <w:rsid w:val="69483675"/>
    <w:rsid w:val="6B050FDD"/>
    <w:rsid w:val="6B2307FD"/>
    <w:rsid w:val="6B9A16B0"/>
    <w:rsid w:val="6BA430D4"/>
    <w:rsid w:val="6BC535EA"/>
    <w:rsid w:val="6C0E5989"/>
    <w:rsid w:val="6C7166E4"/>
    <w:rsid w:val="6CA642D3"/>
    <w:rsid w:val="6CD8170A"/>
    <w:rsid w:val="6D866763"/>
    <w:rsid w:val="6D917A9B"/>
    <w:rsid w:val="6D977D25"/>
    <w:rsid w:val="6DA705BD"/>
    <w:rsid w:val="6DA7736A"/>
    <w:rsid w:val="6DC4348E"/>
    <w:rsid w:val="6DD40792"/>
    <w:rsid w:val="6E7B0778"/>
    <w:rsid w:val="6F433611"/>
    <w:rsid w:val="70D55169"/>
    <w:rsid w:val="71445DD4"/>
    <w:rsid w:val="726B4A58"/>
    <w:rsid w:val="72CA4015"/>
    <w:rsid w:val="73700BDB"/>
    <w:rsid w:val="737669FC"/>
    <w:rsid w:val="73DE2D90"/>
    <w:rsid w:val="749E7BBD"/>
    <w:rsid w:val="74E455C8"/>
    <w:rsid w:val="754206C3"/>
    <w:rsid w:val="759A65A9"/>
    <w:rsid w:val="75A20241"/>
    <w:rsid w:val="75BE3F05"/>
    <w:rsid w:val="7613572C"/>
    <w:rsid w:val="7619496A"/>
    <w:rsid w:val="762E04ED"/>
    <w:rsid w:val="76C73464"/>
    <w:rsid w:val="77EF1307"/>
    <w:rsid w:val="783C0FED"/>
    <w:rsid w:val="797A5272"/>
    <w:rsid w:val="7A2F7467"/>
    <w:rsid w:val="7A5A7A29"/>
    <w:rsid w:val="7A6E00EA"/>
    <w:rsid w:val="7AC666E5"/>
    <w:rsid w:val="7AD90E2B"/>
    <w:rsid w:val="7AEE270F"/>
    <w:rsid w:val="7AF86D2C"/>
    <w:rsid w:val="7B0B00B8"/>
    <w:rsid w:val="7B5176BF"/>
    <w:rsid w:val="7B611373"/>
    <w:rsid w:val="7B6B7DD6"/>
    <w:rsid w:val="7BE14791"/>
    <w:rsid w:val="7C662EE9"/>
    <w:rsid w:val="7CA80560"/>
    <w:rsid w:val="7D3B6123"/>
    <w:rsid w:val="7D5F01A3"/>
    <w:rsid w:val="7D602605"/>
    <w:rsid w:val="7D6679D2"/>
    <w:rsid w:val="7DA84427"/>
    <w:rsid w:val="7DF84753"/>
    <w:rsid w:val="7E361F47"/>
    <w:rsid w:val="7E8A4DE0"/>
    <w:rsid w:val="7EFC7B34"/>
    <w:rsid w:val="7F4A1653"/>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2"/>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qFormat="1"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99" w:semiHidden="0" w:name="Normal Indent"/>
    <w:lsdException w:unhideWhenUsed="0" w:uiPriority="0" w:semiHidden="0" w:name="footnote text"/>
    <w:lsdException w:unhideWhenUsed="0" w:uiPriority="0" w:semiHidden="0" w:name="annotation text"/>
    <w:lsdException w:qFormat="1" w:unhideWhenUsed="0" w:uiPriority="99"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iPriority="99" w:semiHidden="0" w:name="Body Text First Indent 2"/>
    <w:lsdException w:uiPriority="99"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qFormat="1"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qFormat="1"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spacing w:after="200" w:line="276" w:lineRule="auto"/>
      <w:jc w:val="both"/>
    </w:pPr>
    <w:rPr>
      <w:rFonts w:asciiTheme="minorHAnsi" w:hAnsiTheme="minorHAnsi" w:eastAsiaTheme="minorEastAsia" w:cstheme="minorBidi"/>
      <w:kern w:val="2"/>
      <w:sz w:val="21"/>
      <w:szCs w:val="24"/>
      <w:lang w:val="en-US" w:eastAsia="zh-CN" w:bidi="ar-SA"/>
    </w:rPr>
  </w:style>
  <w:style w:type="paragraph" w:styleId="2">
    <w:name w:val="heading 1"/>
    <w:basedOn w:val="1"/>
    <w:next w:val="1"/>
    <w:qFormat/>
    <w:uiPriority w:val="0"/>
    <w:pPr>
      <w:keepNext/>
      <w:keepLines/>
      <w:numPr>
        <w:ilvl w:val="0"/>
        <w:numId w:val="1"/>
      </w:numPr>
      <w:spacing w:before="340" w:after="330" w:line="576" w:lineRule="auto"/>
      <w:outlineLvl w:val="0"/>
    </w:pPr>
    <w:rPr>
      <w:b/>
      <w:kern w:val="44"/>
      <w:sz w:val="44"/>
    </w:rPr>
  </w:style>
  <w:style w:type="paragraph" w:styleId="3">
    <w:name w:val="heading 2"/>
    <w:basedOn w:val="1"/>
    <w:next w:val="1"/>
    <w:qFormat/>
    <w:uiPriority w:val="0"/>
    <w:pPr>
      <w:keepNext/>
      <w:keepLines/>
      <w:spacing w:before="260" w:after="260" w:line="415" w:lineRule="auto"/>
      <w:outlineLvl w:val="1"/>
    </w:pPr>
    <w:rPr>
      <w:rFonts w:ascii="Arial" w:hAnsi="Arial" w:eastAsia="黑体"/>
      <w:b/>
      <w:sz w:val="32"/>
    </w:rPr>
  </w:style>
  <w:style w:type="paragraph" w:styleId="4">
    <w:name w:val="heading 3"/>
    <w:basedOn w:val="1"/>
    <w:next w:val="1"/>
    <w:qFormat/>
    <w:uiPriority w:val="0"/>
    <w:pPr>
      <w:keepNext/>
      <w:keepLines/>
      <w:numPr>
        <w:ilvl w:val="0"/>
        <w:numId w:val="2"/>
      </w:numPr>
      <w:ind w:right="100" w:rightChars="100" w:firstLine="0"/>
      <w:outlineLvl w:val="2"/>
    </w:pPr>
    <w:rPr>
      <w:b/>
      <w:sz w:val="28"/>
    </w:rPr>
  </w:style>
  <w:style w:type="paragraph" w:styleId="5">
    <w:name w:val="heading 4"/>
    <w:basedOn w:val="1"/>
    <w:next w:val="1"/>
    <w:semiHidden/>
    <w:unhideWhenUsed/>
    <w:qFormat/>
    <w:uiPriority w:val="0"/>
    <w:pPr>
      <w:spacing w:beforeAutospacing="1" w:after="0" w:afterAutospacing="1"/>
      <w:jc w:val="left"/>
      <w:outlineLvl w:val="3"/>
    </w:pPr>
    <w:rPr>
      <w:rFonts w:hint="eastAsia" w:ascii="宋体" w:hAnsi="宋体" w:eastAsia="宋体" w:cs="Times New Roman"/>
      <w:b/>
      <w:bCs/>
      <w:kern w:val="0"/>
      <w:sz w:val="24"/>
    </w:rPr>
  </w:style>
  <w:style w:type="character" w:default="1" w:styleId="18">
    <w:name w:val="Default Paragraph Font"/>
    <w:semiHidden/>
    <w:unhideWhenUsed/>
    <w:qFormat/>
    <w:uiPriority w:val="1"/>
  </w:style>
  <w:style w:type="table" w:default="1" w:styleId="16">
    <w:name w:val="Normal Table"/>
    <w:semiHidden/>
    <w:unhideWhenUsed/>
    <w:qFormat/>
    <w:uiPriority w:val="99"/>
    <w:tblPr>
      <w:tblCellMar>
        <w:top w:w="0" w:type="dxa"/>
        <w:left w:w="108" w:type="dxa"/>
        <w:bottom w:w="0" w:type="dxa"/>
        <w:right w:w="108" w:type="dxa"/>
      </w:tblCellMar>
    </w:tblPr>
  </w:style>
  <w:style w:type="paragraph" w:styleId="6">
    <w:name w:val="Normal Indent"/>
    <w:basedOn w:val="1"/>
    <w:qFormat/>
    <w:uiPriority w:val="99"/>
    <w:pPr>
      <w:adjustRightInd w:val="0"/>
      <w:spacing w:after="0" w:line="360" w:lineRule="atLeast"/>
      <w:ind w:firstLine="420"/>
      <w:jc w:val="left"/>
      <w:textAlignment w:val="baseline"/>
    </w:pPr>
    <w:rPr>
      <w:rFonts w:ascii="Calibri" w:hAnsi="Calibri" w:eastAsia="宋体" w:cs="Times New Roman"/>
      <w:kern w:val="0"/>
      <w:sz w:val="25"/>
      <w:szCs w:val="20"/>
    </w:rPr>
  </w:style>
  <w:style w:type="paragraph" w:styleId="7">
    <w:name w:val="Document Map"/>
    <w:basedOn w:val="1"/>
    <w:link w:val="27"/>
    <w:qFormat/>
    <w:uiPriority w:val="0"/>
    <w:rPr>
      <w:rFonts w:ascii="宋体" w:eastAsia="宋体"/>
      <w:sz w:val="18"/>
      <w:szCs w:val="18"/>
    </w:rPr>
  </w:style>
  <w:style w:type="paragraph" w:styleId="8">
    <w:name w:val="Body Text Indent"/>
    <w:basedOn w:val="1"/>
    <w:qFormat/>
    <w:uiPriority w:val="0"/>
    <w:pPr>
      <w:spacing w:after="120"/>
      <w:ind w:left="420" w:leftChars="200"/>
    </w:pPr>
    <w:rPr>
      <w:kern w:val="0"/>
      <w:sz w:val="20"/>
    </w:rPr>
  </w:style>
  <w:style w:type="paragraph" w:styleId="9">
    <w:name w:val="Balloon Text"/>
    <w:basedOn w:val="1"/>
    <w:link w:val="30"/>
    <w:qFormat/>
    <w:uiPriority w:val="0"/>
    <w:pPr>
      <w:spacing w:after="0" w:line="240" w:lineRule="auto"/>
    </w:pPr>
    <w:rPr>
      <w:sz w:val="18"/>
      <w:szCs w:val="18"/>
    </w:rPr>
  </w:style>
  <w:style w:type="paragraph" w:styleId="10">
    <w:name w:val="footer"/>
    <w:basedOn w:val="1"/>
    <w:qFormat/>
    <w:uiPriority w:val="0"/>
    <w:pPr>
      <w:tabs>
        <w:tab w:val="center" w:pos="4153"/>
        <w:tab w:val="right" w:pos="8306"/>
      </w:tabs>
      <w:snapToGrid w:val="0"/>
      <w:jc w:val="left"/>
    </w:pPr>
    <w:rPr>
      <w:sz w:val="18"/>
      <w:szCs w:val="18"/>
    </w:rPr>
  </w:style>
  <w:style w:type="paragraph" w:styleId="11">
    <w:name w:val="header"/>
    <w:basedOn w:val="1"/>
    <w:link w:val="29"/>
    <w:qFormat/>
    <w:uiPriority w:val="99"/>
    <w:pPr>
      <w:pBdr>
        <w:bottom w:val="single" w:color="auto" w:sz="6" w:space="1"/>
      </w:pBdr>
      <w:tabs>
        <w:tab w:val="center" w:pos="4153"/>
        <w:tab w:val="right" w:pos="8306"/>
      </w:tabs>
      <w:snapToGrid w:val="0"/>
      <w:jc w:val="center"/>
    </w:pPr>
    <w:rPr>
      <w:rFonts w:ascii="Times New Roman" w:hAnsi="Times New Roman" w:eastAsia="宋体"/>
      <w:sz w:val="18"/>
      <w:szCs w:val="18"/>
    </w:rPr>
  </w:style>
  <w:style w:type="paragraph" w:styleId="12">
    <w:name w:val="toc 1"/>
    <w:basedOn w:val="1"/>
    <w:next w:val="1"/>
    <w:qFormat/>
    <w:uiPriority w:val="0"/>
  </w:style>
  <w:style w:type="paragraph" w:styleId="13">
    <w:name w:val="toc 2"/>
    <w:basedOn w:val="1"/>
    <w:next w:val="1"/>
    <w:qFormat/>
    <w:uiPriority w:val="0"/>
    <w:pPr>
      <w:ind w:left="420" w:leftChars="200"/>
    </w:pPr>
  </w:style>
  <w:style w:type="paragraph" w:styleId="14">
    <w:name w:val="Normal (Web)"/>
    <w:basedOn w:val="1"/>
    <w:qFormat/>
    <w:uiPriority w:val="0"/>
    <w:pPr>
      <w:spacing w:before="100" w:beforeAutospacing="1" w:after="100" w:afterAutospacing="1"/>
      <w:jc w:val="left"/>
    </w:pPr>
    <w:rPr>
      <w:rFonts w:cs="Times New Roman"/>
      <w:kern w:val="0"/>
      <w:sz w:val="24"/>
    </w:rPr>
  </w:style>
  <w:style w:type="paragraph" w:styleId="15">
    <w:name w:val="Body Text First Indent 2"/>
    <w:basedOn w:val="8"/>
    <w:unhideWhenUsed/>
    <w:qFormat/>
    <w:uiPriority w:val="99"/>
    <w:pPr>
      <w:spacing w:before="50"/>
      <w:ind w:firstLine="200" w:firstLineChars="200"/>
    </w:pPr>
  </w:style>
  <w:style w:type="table" w:styleId="17">
    <w:name w:val="Table Grid"/>
    <w:basedOn w:val="16"/>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19">
    <w:name w:val="Strong"/>
    <w:basedOn w:val="18"/>
    <w:qFormat/>
    <w:uiPriority w:val="0"/>
    <w:rPr>
      <w:b/>
    </w:rPr>
  </w:style>
  <w:style w:type="character" w:styleId="20">
    <w:name w:val="page number"/>
    <w:basedOn w:val="18"/>
    <w:qFormat/>
    <w:uiPriority w:val="0"/>
  </w:style>
  <w:style w:type="character" w:styleId="21">
    <w:name w:val="Emphasis"/>
    <w:basedOn w:val="18"/>
    <w:qFormat/>
    <w:uiPriority w:val="0"/>
    <w:rPr>
      <w:i/>
    </w:rPr>
  </w:style>
  <w:style w:type="character" w:styleId="22">
    <w:name w:val="Hyperlink"/>
    <w:basedOn w:val="18"/>
    <w:qFormat/>
    <w:uiPriority w:val="0"/>
    <w:rPr>
      <w:color w:val="0000FF"/>
      <w:u w:val="single"/>
    </w:rPr>
  </w:style>
  <w:style w:type="paragraph" w:customStyle="1" w:styleId="23">
    <w:name w:val="222"/>
    <w:basedOn w:val="1"/>
    <w:qFormat/>
    <w:uiPriority w:val="0"/>
    <w:pPr>
      <w:spacing w:line="560" w:lineRule="exact"/>
      <w:ind w:firstLine="643" w:firstLineChars="200"/>
    </w:pPr>
    <w:rPr>
      <w:rFonts w:ascii="Times New Roman" w:hAnsi="Times New Roman" w:eastAsia="宋体"/>
      <w:sz w:val="24"/>
    </w:rPr>
  </w:style>
  <w:style w:type="character" w:customStyle="1" w:styleId="24">
    <w:name w:val="font31"/>
    <w:basedOn w:val="18"/>
    <w:qFormat/>
    <w:uiPriority w:val="0"/>
    <w:rPr>
      <w:rFonts w:hint="eastAsia" w:ascii="宋体" w:hAnsi="宋体" w:eastAsia="宋体" w:cs="宋体"/>
      <w:color w:val="000000"/>
      <w:sz w:val="21"/>
      <w:szCs w:val="21"/>
      <w:u w:val="single"/>
    </w:rPr>
  </w:style>
  <w:style w:type="character" w:customStyle="1" w:styleId="25">
    <w:name w:val="font01"/>
    <w:basedOn w:val="18"/>
    <w:qFormat/>
    <w:uiPriority w:val="0"/>
    <w:rPr>
      <w:rFonts w:hint="eastAsia" w:ascii="宋体" w:hAnsi="宋体" w:eastAsia="宋体" w:cs="宋体"/>
      <w:color w:val="0000FF"/>
      <w:sz w:val="21"/>
      <w:szCs w:val="21"/>
      <w:u w:val="single"/>
    </w:rPr>
  </w:style>
  <w:style w:type="paragraph" w:customStyle="1" w:styleId="26">
    <w:name w:val="表格文字"/>
    <w:basedOn w:val="1"/>
    <w:qFormat/>
    <w:uiPriority w:val="0"/>
    <w:pPr>
      <w:widowControl/>
      <w:jc w:val="center"/>
    </w:pPr>
    <w:rPr>
      <w:rFonts w:ascii="Calibri" w:hAnsi="Calibri"/>
      <w:color w:val="000000"/>
      <w:kern w:val="0"/>
    </w:rPr>
  </w:style>
  <w:style w:type="character" w:customStyle="1" w:styleId="27">
    <w:name w:val="文档结构图 Char"/>
    <w:basedOn w:val="18"/>
    <w:link w:val="7"/>
    <w:qFormat/>
    <w:uiPriority w:val="0"/>
    <w:rPr>
      <w:rFonts w:ascii="宋体" w:hAnsiTheme="minorHAnsi" w:cstheme="minorBidi"/>
      <w:kern w:val="2"/>
      <w:sz w:val="18"/>
      <w:szCs w:val="18"/>
    </w:rPr>
  </w:style>
  <w:style w:type="paragraph" w:customStyle="1" w:styleId="28">
    <w:name w:val="样式 标题 2二级标题标题 （一） + Times New Roman 小三 两端对齐 段前: 6 磅 段后: 0 ...1"/>
    <w:basedOn w:val="3"/>
    <w:qFormat/>
    <w:uiPriority w:val="0"/>
    <w:pPr>
      <w:widowControl/>
      <w:spacing w:line="560" w:lineRule="exact"/>
    </w:pPr>
    <w:rPr>
      <w:rFonts w:ascii="Times New Roman" w:hAnsi="Times New Roman" w:eastAsia="宋体" w:cs="宋体"/>
      <w:kern w:val="0"/>
      <w:sz w:val="28"/>
      <w:szCs w:val="20"/>
    </w:rPr>
  </w:style>
  <w:style w:type="character" w:customStyle="1" w:styleId="29">
    <w:name w:val="页眉 Char"/>
    <w:basedOn w:val="18"/>
    <w:link w:val="11"/>
    <w:qFormat/>
    <w:uiPriority w:val="99"/>
    <w:rPr>
      <w:rFonts w:cstheme="minorBidi"/>
      <w:kern w:val="2"/>
      <w:sz w:val="18"/>
      <w:szCs w:val="18"/>
    </w:rPr>
  </w:style>
  <w:style w:type="character" w:customStyle="1" w:styleId="30">
    <w:name w:val="批注框文本 Char"/>
    <w:basedOn w:val="18"/>
    <w:link w:val="9"/>
    <w:qFormat/>
    <w:uiPriority w:val="0"/>
    <w:rPr>
      <w:rFonts w:asciiTheme="minorHAnsi" w:hAnsiTheme="minorHAnsi" w:eastAsiaTheme="minorEastAsia" w:cstheme="minorBidi"/>
      <w:kern w:val="2"/>
      <w:sz w:val="18"/>
      <w:szCs w:val="18"/>
    </w:rPr>
  </w:style>
  <w:style w:type="paragraph" w:styleId="31">
    <w:name w:val="List Paragraph"/>
    <w:basedOn w:val="1"/>
    <w:unhideWhenUsed/>
    <w:qFormat/>
    <w:uiPriority w:val="99"/>
    <w:pPr>
      <w:ind w:firstLine="420" w:firstLineChars="200"/>
    </w:pPr>
  </w:style>
  <w:style w:type="paragraph" w:customStyle="1" w:styleId="32">
    <w:name w:val="样式1"/>
    <w:basedOn w:val="1"/>
    <w:autoRedefine/>
    <w:qFormat/>
    <w:uiPriority w:val="0"/>
    <w:pPr>
      <w:snapToGrid w:val="0"/>
      <w:spacing w:line="360" w:lineRule="auto"/>
      <w:jc w:val="center"/>
    </w:pPr>
    <w:rPr>
      <w:rFonts w:ascii="宋体"/>
    </w:rPr>
  </w:style>
</w:styles>
</file>

<file path=word/_rels/document.xml.rels><?xml version="1.0" encoding="UTF-8" standalone="yes"?>
<Relationships xmlns="http://schemas.openxmlformats.org/package/2006/relationships"><Relationship Id="rId9" Type="http://schemas.openxmlformats.org/officeDocument/2006/relationships/image" Target="media/image3.jpeg"/><Relationship Id="rId8" Type="http://schemas.openxmlformats.org/officeDocument/2006/relationships/image" Target="media/image2.jpeg"/><Relationship Id="rId7" Type="http://schemas.openxmlformats.org/officeDocument/2006/relationships/image" Target="media/image1.jpeg"/><Relationship Id="rId6" Type="http://schemas.openxmlformats.org/officeDocument/2006/relationships/theme" Target="theme/theme1.xml"/><Relationship Id="rId5" Type="http://schemas.openxmlformats.org/officeDocument/2006/relationships/footer" Target="foot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3" Type="http://schemas.openxmlformats.org/officeDocument/2006/relationships/fontTable" Target="fontTable.xml"/><Relationship Id="rId12" Type="http://schemas.openxmlformats.org/officeDocument/2006/relationships/customXml" Target="../customXml/item2.xml"/><Relationship Id="rId11" Type="http://schemas.openxmlformats.org/officeDocument/2006/relationships/numbering" Target="numbering.xml"/><Relationship Id="rId10" Type="http://schemas.openxmlformats.org/officeDocument/2006/relationships/customXml" Target="../customXml/item1.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hpExts>
    <customShpInfo spid="_x0000_s1027"/>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7533FDEE-E588-418D-95D0-0ABA3B7C8892}">
  <ds:schemaRefs/>
</ds:datastoreItem>
</file>

<file path=docProps/app.xml><?xml version="1.0" encoding="utf-8"?>
<Properties xmlns="http://schemas.openxmlformats.org/officeDocument/2006/extended-properties" xmlns:vt="http://schemas.openxmlformats.org/officeDocument/2006/docPropsVTypes">
  <Template>Normal</Template>
  <Company>China</Company>
  <Pages>8</Pages>
  <Words>1546</Words>
  <Characters>1683</Characters>
  <Lines>44</Lines>
  <Paragraphs>12</Paragraphs>
  <TotalTime>12</TotalTime>
  <ScaleCrop>false</ScaleCrop>
  <LinksUpToDate>false</LinksUpToDate>
  <CharactersWithSpaces>1701</CharactersWithSpaces>
  <Application>WPS Office_12.1.0.20784_F1E327BC-269C-435d-A152-05C5408002CA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2018-05-28T10:32:00Z</dcterms:created>
  <dc:creator>浙江省住建厅3号</dc:creator>
  <cp:lastModifiedBy>欢乐松</cp:lastModifiedBy>
  <cp:lastPrinted>2024-07-24T06:52:00Z</cp:lastPrinted>
  <dcterms:modified xsi:type="dcterms:W3CDTF">2025-04-28T02:38:23Z</dcterms:modified>
  <cp:revision>68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2052-12.1.0.20784</vt:lpwstr>
  </property>
  <property fmtid="{D5CDD505-2E9C-101B-9397-08002B2CF9AE}" pid="3" name="ICV">
    <vt:lpwstr>A9DAC8591C7546828972A527B0BA3238</vt:lpwstr>
  </property>
  <property fmtid="{D5CDD505-2E9C-101B-9397-08002B2CF9AE}" pid="4" name="KSOTemplateDocerSaveRecord">
    <vt:lpwstr>eyJoZGlkIjoiYmMyMTNlYTk5Y2QzZDIwYTg0ZGMxNTdkYzE3ODY1MDIiLCJ1c2VySWQiOiI3MjI5NjQ1MTYifQ==</vt:lpwstr>
  </property>
</Properties>
</file>