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BD50C">
      <w:pPr>
        <w:spacing w:after="0" w:line="560" w:lineRule="exact"/>
        <w:jc w:val="center"/>
        <w:rPr>
          <w:rFonts w:ascii="仿宋" w:hAnsi="仿宋" w:eastAsia="仿宋" w:cstheme="minorEastAsia"/>
          <w:b/>
          <w:sz w:val="30"/>
          <w:szCs w:val="30"/>
        </w:rPr>
      </w:pPr>
      <w:bookmarkStart w:id="0" w:name="_Toc13206"/>
      <w:r>
        <w:rPr>
          <w:rFonts w:hint="eastAsia" w:ascii="仿宋" w:hAnsi="仿宋" w:eastAsia="仿宋" w:cstheme="minorEastAsia"/>
          <w:b/>
          <w:sz w:val="30"/>
          <w:szCs w:val="30"/>
        </w:rPr>
        <w:t>无极县</w:t>
      </w:r>
      <w:r>
        <w:rPr>
          <w:rFonts w:hint="eastAsia" w:ascii="仿宋" w:hAnsi="仿宋" w:eastAsia="仿宋" w:cstheme="minorEastAsia"/>
          <w:b/>
          <w:sz w:val="30"/>
          <w:szCs w:val="30"/>
          <w:lang w:eastAsia="zh-CN"/>
        </w:rPr>
        <w:t>城市环境卫生</w:t>
      </w:r>
      <w:r>
        <w:rPr>
          <w:rFonts w:hint="eastAsia" w:ascii="仿宋" w:hAnsi="仿宋" w:eastAsia="仿宋" w:cstheme="minorEastAsia"/>
          <w:b/>
          <w:sz w:val="30"/>
          <w:szCs w:val="30"/>
        </w:rPr>
        <w:t>设施专项规划（2021-2035年）主要内容</w:t>
      </w:r>
    </w:p>
    <w:p w14:paraId="767256F1">
      <w:pPr>
        <w:spacing w:after="0" w:line="560" w:lineRule="exact"/>
        <w:jc w:val="center"/>
        <w:rPr>
          <w:rFonts w:ascii="仿宋" w:hAnsi="仿宋" w:eastAsia="仿宋" w:cstheme="minorEastAsia"/>
          <w:sz w:val="28"/>
          <w:szCs w:val="28"/>
        </w:rPr>
      </w:pPr>
      <w:r>
        <w:rPr>
          <w:rFonts w:hint="eastAsia" w:ascii="仿宋" w:hAnsi="仿宋" w:eastAsia="仿宋" w:cstheme="minorEastAsia"/>
          <w:sz w:val="28"/>
          <w:szCs w:val="28"/>
        </w:rPr>
        <w:t>（批前公示）</w:t>
      </w:r>
    </w:p>
    <w:bookmarkEnd w:id="0"/>
    <w:p w14:paraId="2D83D54C">
      <w:pPr>
        <w:spacing w:after="0" w:line="560" w:lineRule="exact"/>
        <w:ind w:firstLine="560" w:firstLineChars="200"/>
        <w:rPr>
          <w:rFonts w:ascii="仿宋" w:hAnsi="仿宋" w:eastAsia="仿宋" w:cstheme="minorEastAsia"/>
          <w:color w:val="auto"/>
          <w:sz w:val="28"/>
          <w:szCs w:val="28"/>
        </w:rPr>
      </w:pPr>
      <w:r>
        <w:rPr>
          <w:rFonts w:hint="eastAsia" w:ascii="仿宋" w:hAnsi="仿宋" w:eastAsia="仿宋" w:cstheme="minorEastAsia"/>
          <w:color w:val="auto"/>
          <w:sz w:val="28"/>
          <w:szCs w:val="28"/>
        </w:rPr>
        <w:t>随着无极县国土空间总体规划编制完成，为建设环卫设施齐全、卫生整洁、环境良好、生态宜居的现代城市，编制了《无极县城市环境卫生设施专项规划（2021-</w:t>
      </w:r>
      <w:bookmarkStart w:id="10" w:name="_GoBack"/>
      <w:bookmarkEnd w:id="10"/>
      <w:r>
        <w:rPr>
          <w:rFonts w:hint="eastAsia" w:ascii="仿宋" w:hAnsi="仿宋" w:eastAsia="仿宋" w:cstheme="minorEastAsia"/>
          <w:color w:val="auto"/>
          <w:sz w:val="28"/>
          <w:szCs w:val="28"/>
        </w:rPr>
        <w:t>2035年）》（以下简称“本规划”）。</w:t>
      </w:r>
    </w:p>
    <w:p w14:paraId="0CC7E1E5">
      <w:pPr>
        <w:pStyle w:val="29"/>
        <w:numPr>
          <w:ilvl w:val="0"/>
          <w:numId w:val="3"/>
        </w:numPr>
        <w:jc w:val="left"/>
        <w:rPr>
          <w:rFonts w:ascii="仿宋" w:hAnsi="仿宋" w:eastAsia="仿宋" w:cstheme="minorEastAsia"/>
          <w:szCs w:val="28"/>
        </w:rPr>
      </w:pPr>
      <w:bookmarkStart w:id="1" w:name="_Toc11257"/>
      <w:r>
        <w:rPr>
          <w:rFonts w:hint="eastAsia" w:ascii="仿宋" w:hAnsi="仿宋" w:eastAsia="仿宋" w:cstheme="minorEastAsia"/>
          <w:szCs w:val="28"/>
        </w:rPr>
        <w:t>规划期限</w:t>
      </w:r>
      <w:bookmarkEnd w:id="1"/>
    </w:p>
    <w:p w14:paraId="09FD84D8">
      <w:pPr>
        <w:spacing w:after="0" w:line="560" w:lineRule="exact"/>
        <w:ind w:firstLine="560" w:firstLineChars="200"/>
        <w:rPr>
          <w:rFonts w:ascii="仿宋" w:hAnsi="仿宋" w:eastAsia="仿宋" w:cstheme="minorEastAsia"/>
          <w:sz w:val="28"/>
          <w:szCs w:val="28"/>
        </w:rPr>
      </w:pPr>
      <w:r>
        <w:rPr>
          <w:rFonts w:hint="eastAsia" w:ascii="仿宋" w:hAnsi="仿宋" w:eastAsia="仿宋" w:cstheme="minorEastAsia"/>
          <w:sz w:val="28"/>
          <w:szCs w:val="28"/>
        </w:rPr>
        <w:t>规划期限为2021-2035年，近期为2021-2025年，远期为2026-2035年。</w:t>
      </w:r>
    </w:p>
    <w:p w14:paraId="265107D0">
      <w:pPr>
        <w:pStyle w:val="29"/>
        <w:numPr>
          <w:ilvl w:val="0"/>
          <w:numId w:val="3"/>
        </w:numPr>
        <w:jc w:val="left"/>
        <w:rPr>
          <w:rFonts w:ascii="仿宋" w:hAnsi="仿宋" w:eastAsia="仿宋" w:cstheme="minorEastAsia"/>
          <w:szCs w:val="28"/>
        </w:rPr>
      </w:pPr>
      <w:bookmarkStart w:id="2" w:name="_Toc3212"/>
      <w:r>
        <w:rPr>
          <w:rFonts w:hint="eastAsia" w:ascii="仿宋" w:hAnsi="仿宋" w:eastAsia="仿宋" w:cstheme="minorEastAsia"/>
          <w:szCs w:val="28"/>
        </w:rPr>
        <w:t>规划范围</w:t>
      </w:r>
      <w:bookmarkEnd w:id="2"/>
    </w:p>
    <w:p w14:paraId="60A1C3E6">
      <w:pPr>
        <w:spacing w:after="0" w:line="560" w:lineRule="exact"/>
        <w:ind w:firstLine="560" w:firstLineChars="200"/>
        <w:rPr>
          <w:rFonts w:ascii="仿宋" w:hAnsi="仿宋" w:eastAsia="仿宋" w:cstheme="minorEastAsia"/>
          <w:sz w:val="28"/>
          <w:szCs w:val="28"/>
        </w:rPr>
      </w:pPr>
      <w:r>
        <w:rPr>
          <w:rFonts w:hint="eastAsia" w:ascii="仿宋" w:hAnsi="仿宋" w:eastAsia="仿宋" w:cstheme="minorEastAsia"/>
          <w:sz w:val="28"/>
          <w:szCs w:val="28"/>
        </w:rPr>
        <w:t>本次专项规划范围为无极县全域范围，其中重点规划范围为上位规划确定的中心城区范围内城镇开发边界，城镇开发边界城镇建设用地规模14.4平方千米，规划城镇人口14万人。</w:t>
      </w:r>
    </w:p>
    <w:p w14:paraId="71B06B80">
      <w:pPr>
        <w:spacing w:after="0" w:line="560" w:lineRule="exact"/>
        <w:ind w:firstLine="560" w:firstLineChars="200"/>
        <w:rPr>
          <w:rFonts w:ascii="仿宋" w:hAnsi="仿宋" w:eastAsia="仿宋" w:cstheme="minorEastAsia"/>
          <w:sz w:val="28"/>
          <w:szCs w:val="28"/>
        </w:rPr>
      </w:pPr>
      <w:r>
        <w:rPr>
          <w:rFonts w:hint="eastAsia" w:ascii="仿宋" w:hAnsi="仿宋" w:eastAsia="仿宋" w:cstheme="minorEastAsia"/>
          <w:sz w:val="28"/>
          <w:szCs w:val="28"/>
        </w:rPr>
        <w:t>对</w:t>
      </w:r>
      <w:r>
        <w:rPr>
          <w:rFonts w:hint="eastAsia" w:ascii="仿宋" w:hAnsi="仿宋" w:eastAsia="仿宋" w:cstheme="minorEastAsia"/>
          <w:sz w:val="28"/>
          <w:szCs w:val="28"/>
          <w:lang w:eastAsia="zh-CN"/>
        </w:rPr>
        <w:t>各</w:t>
      </w:r>
      <w:r>
        <w:rPr>
          <w:rFonts w:hint="eastAsia" w:ascii="仿宋" w:hAnsi="仿宋" w:eastAsia="仿宋" w:cstheme="minorEastAsia"/>
          <w:sz w:val="28"/>
          <w:szCs w:val="28"/>
        </w:rPr>
        <w:t>乡</w:t>
      </w:r>
      <w:r>
        <w:rPr>
          <w:rFonts w:hint="eastAsia" w:ascii="仿宋" w:hAnsi="仿宋" w:eastAsia="仿宋" w:cstheme="minorEastAsia"/>
          <w:sz w:val="28"/>
          <w:szCs w:val="28"/>
          <w:lang w:eastAsia="zh-CN"/>
        </w:rPr>
        <w:t>（</w:t>
      </w:r>
      <w:r>
        <w:rPr>
          <w:rFonts w:hint="eastAsia" w:ascii="仿宋" w:hAnsi="仿宋" w:eastAsia="仿宋" w:cstheme="minorEastAsia"/>
          <w:sz w:val="28"/>
          <w:szCs w:val="28"/>
        </w:rPr>
        <w:t>镇</w:t>
      </w:r>
      <w:r>
        <w:rPr>
          <w:rFonts w:hint="eastAsia" w:ascii="仿宋" w:hAnsi="仿宋" w:eastAsia="仿宋" w:cstheme="minorEastAsia"/>
          <w:sz w:val="28"/>
          <w:szCs w:val="28"/>
          <w:lang w:eastAsia="zh-CN"/>
        </w:rPr>
        <w:t>）</w:t>
      </w:r>
      <w:r>
        <w:rPr>
          <w:rFonts w:hint="eastAsia" w:ascii="仿宋" w:hAnsi="仿宋" w:eastAsia="仿宋" w:cstheme="minorEastAsia"/>
          <w:sz w:val="28"/>
          <w:szCs w:val="28"/>
        </w:rPr>
        <w:t>的</w:t>
      </w:r>
      <w:r>
        <w:rPr>
          <w:rFonts w:hint="eastAsia" w:ascii="仿宋" w:hAnsi="仿宋" w:eastAsia="仿宋" w:cstheme="minorEastAsia"/>
          <w:sz w:val="28"/>
          <w:szCs w:val="28"/>
          <w:lang w:eastAsia="zh-CN"/>
        </w:rPr>
        <w:t>环卫设施选址、建设标准及垃圾处理系统</w:t>
      </w:r>
      <w:r>
        <w:rPr>
          <w:rFonts w:hint="eastAsia" w:ascii="仿宋" w:hAnsi="仿宋" w:eastAsia="仿宋" w:cstheme="minorEastAsia"/>
          <w:sz w:val="28"/>
          <w:szCs w:val="28"/>
        </w:rPr>
        <w:t>提出指导性建设意见。</w:t>
      </w:r>
    </w:p>
    <w:p w14:paraId="08D20112">
      <w:pPr>
        <w:pStyle w:val="29"/>
        <w:numPr>
          <w:ilvl w:val="0"/>
          <w:numId w:val="3"/>
        </w:numPr>
        <w:jc w:val="left"/>
        <w:rPr>
          <w:rFonts w:ascii="仿宋" w:hAnsi="仿宋" w:eastAsia="仿宋" w:cstheme="minorEastAsia"/>
          <w:szCs w:val="28"/>
        </w:rPr>
      </w:pPr>
      <w:bookmarkStart w:id="3" w:name="_Toc31115"/>
      <w:r>
        <w:rPr>
          <w:rFonts w:hint="eastAsia" w:ascii="仿宋" w:hAnsi="仿宋" w:eastAsia="仿宋" w:cstheme="minorEastAsia"/>
          <w:szCs w:val="28"/>
        </w:rPr>
        <w:t>规划</w:t>
      </w:r>
      <w:bookmarkEnd w:id="3"/>
      <w:r>
        <w:rPr>
          <w:rFonts w:hint="eastAsia" w:ascii="仿宋" w:hAnsi="仿宋" w:eastAsia="仿宋" w:cstheme="minorEastAsia"/>
          <w:szCs w:val="28"/>
          <w:lang w:eastAsia="zh-CN"/>
        </w:rPr>
        <w:t>目标</w:t>
      </w:r>
    </w:p>
    <w:p w14:paraId="1E9BBFFC">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1、城市生活垃圾的处理本着无害化、减量化、资源化的原则，逐步实现分类袋装化处理，做到日产日清。</w:t>
      </w:r>
    </w:p>
    <w:p w14:paraId="24C28BF4">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2、城市垃圾的收运，逐步向收集容器化、标准化、系统化发展。到2035年，垃圾、粪便无害化处理率达到100%；城市垃圾容器化收集率达到100%；医院等特种垃圾集中焚烧单独处理率达到100%。</w:t>
      </w:r>
    </w:p>
    <w:p w14:paraId="549BE75C">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3、主要道路清扫逐步实现机械化。到2035年，城市主次干路、支路清扫机械化程度达到95%以上，城市清运工作机械化、半机械化程度达到100%。</w:t>
      </w:r>
    </w:p>
    <w:p w14:paraId="2929C689">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4、城市环卫管理科学化，适应现代城市发展和管理的环卫队伍。</w:t>
      </w:r>
    </w:p>
    <w:p w14:paraId="5EC7404E">
      <w:pPr>
        <w:pStyle w:val="29"/>
        <w:numPr>
          <w:ilvl w:val="0"/>
          <w:numId w:val="3"/>
        </w:numPr>
        <w:jc w:val="left"/>
        <w:rPr>
          <w:rFonts w:ascii="仿宋" w:hAnsi="仿宋" w:eastAsia="仿宋" w:cstheme="minorEastAsia"/>
          <w:szCs w:val="28"/>
        </w:rPr>
      </w:pPr>
      <w:bookmarkStart w:id="4" w:name="_Toc108"/>
      <w:r>
        <w:rPr>
          <w:rFonts w:hint="eastAsia" w:ascii="仿宋" w:hAnsi="仿宋" w:eastAsia="仿宋" w:cstheme="minorEastAsia"/>
          <w:szCs w:val="28"/>
        </w:rPr>
        <w:t>规划</w:t>
      </w:r>
      <w:bookmarkEnd w:id="4"/>
      <w:r>
        <w:rPr>
          <w:rFonts w:hint="eastAsia" w:ascii="仿宋" w:hAnsi="仿宋" w:eastAsia="仿宋" w:cstheme="minorEastAsia"/>
          <w:szCs w:val="28"/>
          <w:lang w:eastAsia="zh-CN"/>
        </w:rPr>
        <w:t>标准与指标</w:t>
      </w:r>
    </w:p>
    <w:p w14:paraId="355304BB">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rPr>
        <w:t>、环卫系统就业人数：千人指标，取2人/千人；</w:t>
      </w:r>
    </w:p>
    <w:p w14:paraId="0ECAEAC2">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2</w:t>
      </w:r>
      <w:r>
        <w:rPr>
          <w:rFonts w:hint="eastAsia" w:ascii="仿宋" w:hAnsi="仿宋" w:eastAsia="仿宋" w:cstheme="minorEastAsia"/>
          <w:sz w:val="28"/>
          <w:szCs w:val="28"/>
        </w:rPr>
        <w:t>、环卫专用车辆：采用城市人口万人指标，取2.5辆/万人；</w:t>
      </w:r>
    </w:p>
    <w:p w14:paraId="661262FC">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3</w:t>
      </w:r>
      <w:r>
        <w:rPr>
          <w:rFonts w:hint="eastAsia" w:ascii="仿宋" w:hAnsi="仿宋" w:eastAsia="仿宋" w:cstheme="minorEastAsia"/>
          <w:sz w:val="28"/>
          <w:szCs w:val="28"/>
        </w:rPr>
        <w:t>、停车场面积：每部环卫专用车辆占地150m</w:t>
      </w:r>
      <w:r>
        <w:rPr>
          <w:rFonts w:hint="eastAsia" w:ascii="仿宋" w:hAnsi="仿宋" w:eastAsia="仿宋" w:cstheme="minorEastAsia"/>
          <w:sz w:val="28"/>
          <w:szCs w:val="28"/>
          <w:vertAlign w:val="superscript"/>
        </w:rPr>
        <w:t>2</w:t>
      </w:r>
      <w:r>
        <w:rPr>
          <w:rFonts w:hint="eastAsia" w:ascii="仿宋" w:hAnsi="仿宋" w:eastAsia="仿宋" w:cstheme="minorEastAsia"/>
          <w:sz w:val="28"/>
          <w:szCs w:val="28"/>
        </w:rPr>
        <w:t>；</w:t>
      </w:r>
    </w:p>
    <w:p w14:paraId="73DA18DB">
      <w:pPr>
        <w:spacing w:after="0" w:line="560" w:lineRule="exact"/>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4</w:t>
      </w:r>
      <w:r>
        <w:rPr>
          <w:rFonts w:hint="eastAsia" w:ascii="仿宋" w:hAnsi="仿宋" w:eastAsia="仿宋" w:cstheme="minorEastAsia"/>
          <w:sz w:val="28"/>
          <w:szCs w:val="28"/>
        </w:rPr>
        <w:t>、公共厕所、垃圾转运站、垃圾粪便处理厂、垃圾焚烧厂等设施的配置按照国家相关规范要求确定。</w:t>
      </w:r>
    </w:p>
    <w:p w14:paraId="6686064E">
      <w:pPr>
        <w:pStyle w:val="29"/>
        <w:numPr>
          <w:ilvl w:val="0"/>
          <w:numId w:val="3"/>
        </w:numPr>
        <w:jc w:val="left"/>
        <w:rPr>
          <w:rFonts w:ascii="仿宋" w:hAnsi="仿宋" w:eastAsia="仿宋" w:cstheme="minorEastAsia"/>
          <w:szCs w:val="28"/>
        </w:rPr>
      </w:pPr>
      <w:bookmarkStart w:id="5" w:name="_Toc26030"/>
      <w:r>
        <w:rPr>
          <w:rFonts w:hint="eastAsia" w:ascii="仿宋" w:hAnsi="仿宋" w:eastAsia="仿宋" w:cstheme="minorEastAsia"/>
          <w:szCs w:val="28"/>
          <w:lang w:eastAsia="zh-CN"/>
        </w:rPr>
        <w:t>垃圾量预测</w:t>
      </w:r>
      <w:bookmarkEnd w:id="5"/>
    </w:p>
    <w:p w14:paraId="78D7F674">
      <w:pPr>
        <w:pStyle w:val="24"/>
        <w:ind w:firstLine="560"/>
        <w:rPr>
          <w:rFonts w:ascii="仿宋" w:hAnsi="仿宋" w:eastAsia="仿宋" w:cstheme="minorEastAsia"/>
          <w:sz w:val="28"/>
          <w:szCs w:val="28"/>
        </w:rPr>
      </w:pPr>
      <w:r>
        <w:rPr>
          <w:rFonts w:hint="eastAsia" w:ascii="仿宋" w:hAnsi="仿宋" w:eastAsia="仿宋" w:cstheme="minorEastAsia"/>
          <w:sz w:val="28"/>
          <w:szCs w:val="28"/>
          <w:lang w:eastAsia="zh-CN"/>
        </w:rPr>
        <w:t>根据各类垃圾相关标准，分别对生活垃圾、餐厨垃圾、粪便垃圾、特种垃圾（医疗）、建筑垃圾进行预测，根据预测结果为下一步设施配置进行合理分析</w:t>
      </w:r>
      <w:r>
        <w:rPr>
          <w:rFonts w:hint="eastAsia" w:ascii="仿宋" w:hAnsi="仿宋" w:eastAsia="仿宋" w:cstheme="minorEastAsia"/>
          <w:sz w:val="28"/>
          <w:szCs w:val="28"/>
        </w:rPr>
        <w:t>。</w:t>
      </w:r>
    </w:p>
    <w:p w14:paraId="5591F9D3">
      <w:pPr>
        <w:pStyle w:val="29"/>
        <w:numPr>
          <w:ilvl w:val="0"/>
          <w:numId w:val="3"/>
        </w:numPr>
        <w:jc w:val="left"/>
        <w:rPr>
          <w:rFonts w:ascii="仿宋" w:hAnsi="仿宋" w:eastAsia="仿宋" w:cstheme="minorEastAsia"/>
          <w:szCs w:val="28"/>
        </w:rPr>
      </w:pPr>
      <w:bookmarkStart w:id="6" w:name="_Toc3984"/>
      <w:r>
        <w:rPr>
          <w:rFonts w:hint="eastAsia" w:ascii="仿宋" w:hAnsi="仿宋" w:eastAsia="仿宋" w:cstheme="minorEastAsia"/>
          <w:szCs w:val="28"/>
          <w:lang w:eastAsia="zh-CN"/>
        </w:rPr>
        <w:t>县域环卫设施</w:t>
      </w:r>
      <w:bookmarkEnd w:id="6"/>
      <w:r>
        <w:rPr>
          <w:rFonts w:hint="eastAsia" w:ascii="仿宋" w:hAnsi="仿宋" w:eastAsia="仿宋" w:cstheme="minorEastAsia"/>
          <w:szCs w:val="28"/>
          <w:lang w:eastAsia="zh-CN"/>
        </w:rPr>
        <w:t>规划</w:t>
      </w:r>
    </w:p>
    <w:p w14:paraId="5B4E0046">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（一）公共厕所</w:t>
      </w:r>
    </w:p>
    <w:p w14:paraId="1912684A">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公共厕所布局以方便群众、利于粪便运输和公共厕所卫生为原则。</w:t>
      </w:r>
      <w:r>
        <w:rPr>
          <w:rFonts w:hint="eastAsia" w:ascii="仿宋" w:hAnsi="仿宋" w:eastAsia="仿宋" w:cstheme="minorEastAsia"/>
          <w:sz w:val="28"/>
          <w:szCs w:val="28"/>
          <w:lang w:eastAsia="zh-CN"/>
        </w:rPr>
        <w:t>城</w:t>
      </w:r>
      <w:r>
        <w:rPr>
          <w:rFonts w:hint="eastAsia" w:ascii="仿宋" w:hAnsi="仿宋" w:eastAsia="仿宋" w:cstheme="minorEastAsia"/>
          <w:sz w:val="28"/>
          <w:szCs w:val="28"/>
        </w:rPr>
        <w:t>镇公厕设置密度可结合城市用地进行设置，乡镇及村庄公厕设置间距按下表进行设置。</w:t>
      </w:r>
    </w:p>
    <w:p w14:paraId="0AD313BC">
      <w:pP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br w:type="page"/>
      </w:r>
    </w:p>
    <w:p w14:paraId="5FF21965">
      <w:pPr>
        <w:spacing w:before="156" w:beforeLines="50" w:line="24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kern w:val="0"/>
          <w:sz w:val="24"/>
          <w:highlight w:val="none"/>
        </w:rPr>
        <w:t>公共厕所设置间距指标</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55"/>
        <w:gridCol w:w="1382"/>
        <w:gridCol w:w="2598"/>
        <w:gridCol w:w="2923"/>
      </w:tblGrid>
      <w:tr w14:paraId="6887F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tcBorders>
              <w:top w:val="single" w:color="auto" w:sz="12" w:space="0"/>
              <w:bottom w:val="single" w:color="auto" w:sz="4" w:space="0"/>
            </w:tcBorders>
            <w:shd w:val="clear" w:color="auto" w:fill="CCCCCC"/>
            <w:noWrap w:val="0"/>
            <w:vAlign w:val="center"/>
          </w:tcPr>
          <w:p w14:paraId="6BE8369F">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类别</w:t>
            </w:r>
          </w:p>
        </w:tc>
        <w:tc>
          <w:tcPr>
            <w:tcW w:w="1254" w:type="pct"/>
            <w:gridSpan w:val="2"/>
            <w:tcBorders>
              <w:top w:val="single" w:color="auto" w:sz="12" w:space="0"/>
              <w:bottom w:val="single" w:color="auto" w:sz="4" w:space="0"/>
            </w:tcBorders>
            <w:shd w:val="clear" w:color="auto" w:fill="CCCCCC"/>
            <w:noWrap w:val="0"/>
            <w:vAlign w:val="center"/>
          </w:tcPr>
          <w:p w14:paraId="32B0E14A">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设置位置</w:t>
            </w:r>
          </w:p>
        </w:tc>
        <w:tc>
          <w:tcPr>
            <w:tcW w:w="1524" w:type="pct"/>
            <w:tcBorders>
              <w:top w:val="single" w:color="auto" w:sz="12" w:space="0"/>
              <w:bottom w:val="single" w:color="auto" w:sz="4" w:space="0"/>
            </w:tcBorders>
            <w:shd w:val="clear" w:color="auto" w:fill="CCCCCC"/>
            <w:noWrap w:val="0"/>
            <w:vAlign w:val="center"/>
          </w:tcPr>
          <w:p w14:paraId="7D2B2BF5">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设置间距</w:t>
            </w:r>
          </w:p>
        </w:tc>
        <w:tc>
          <w:tcPr>
            <w:tcW w:w="1715" w:type="pct"/>
            <w:tcBorders>
              <w:top w:val="single" w:color="auto" w:sz="12" w:space="0"/>
              <w:bottom w:val="single" w:color="auto" w:sz="4" w:space="0"/>
            </w:tcBorders>
            <w:shd w:val="clear" w:color="auto" w:fill="CCCCCC"/>
            <w:noWrap w:val="0"/>
            <w:vAlign w:val="center"/>
          </w:tcPr>
          <w:p w14:paraId="5D9819FB">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备注</w:t>
            </w:r>
          </w:p>
        </w:tc>
      </w:tr>
      <w:tr w14:paraId="0B1CA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restart"/>
            <w:tcBorders>
              <w:top w:val="single" w:color="auto" w:sz="4" w:space="0"/>
            </w:tcBorders>
            <w:noWrap w:val="0"/>
            <w:vAlign w:val="center"/>
          </w:tcPr>
          <w:p w14:paraId="4A33E2AA">
            <w:pPr>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w:t>
            </w:r>
          </w:p>
        </w:tc>
        <w:tc>
          <w:tcPr>
            <w:tcW w:w="443" w:type="pct"/>
            <w:vMerge w:val="restart"/>
            <w:tcBorders>
              <w:top w:val="single" w:color="auto" w:sz="4" w:space="0"/>
            </w:tcBorders>
            <w:noWrap w:val="0"/>
            <w:vAlign w:val="center"/>
          </w:tcPr>
          <w:p w14:paraId="09D49048">
            <w:pPr>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城市道路</w:t>
            </w:r>
          </w:p>
        </w:tc>
        <w:tc>
          <w:tcPr>
            <w:tcW w:w="811" w:type="pct"/>
            <w:tcBorders>
              <w:top w:val="single" w:color="auto" w:sz="4" w:space="0"/>
            </w:tcBorders>
            <w:noWrap w:val="0"/>
            <w:vAlign w:val="center"/>
          </w:tcPr>
          <w:p w14:paraId="406D11E5">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商业路段</w:t>
            </w:r>
          </w:p>
        </w:tc>
        <w:tc>
          <w:tcPr>
            <w:tcW w:w="1524" w:type="pct"/>
            <w:tcBorders>
              <w:top w:val="single" w:color="auto" w:sz="4" w:space="0"/>
            </w:tcBorders>
            <w:noWrap w:val="0"/>
            <w:vAlign w:val="center"/>
          </w:tcPr>
          <w:p w14:paraId="20227C3E">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＜400m设1座</w:t>
            </w:r>
          </w:p>
        </w:tc>
        <w:tc>
          <w:tcPr>
            <w:tcW w:w="1715" w:type="pct"/>
            <w:tcBorders>
              <w:top w:val="single" w:color="auto" w:sz="4" w:space="0"/>
            </w:tcBorders>
            <w:noWrap w:val="0"/>
            <w:vAlign w:val="center"/>
          </w:tcPr>
          <w:p w14:paraId="6FDCB5A8">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步行（5km/h）3min内进入厕所</w:t>
            </w:r>
          </w:p>
        </w:tc>
      </w:tr>
      <w:tr w14:paraId="78089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393F75B1">
            <w:pPr>
              <w:snapToGrid w:val="0"/>
              <w:spacing w:line="240" w:lineRule="auto"/>
              <w:jc w:val="center"/>
              <w:rPr>
                <w:rFonts w:hint="eastAsia" w:ascii="仿宋" w:hAnsi="仿宋" w:eastAsia="仿宋" w:cs="仿宋"/>
                <w:color w:val="auto"/>
                <w:kern w:val="0"/>
                <w:highlight w:val="none"/>
              </w:rPr>
            </w:pPr>
          </w:p>
        </w:tc>
        <w:tc>
          <w:tcPr>
            <w:tcW w:w="443" w:type="pct"/>
            <w:vMerge w:val="continue"/>
            <w:noWrap w:val="0"/>
            <w:vAlign w:val="center"/>
          </w:tcPr>
          <w:p w14:paraId="3D379445">
            <w:pPr>
              <w:snapToGrid w:val="0"/>
              <w:spacing w:line="240" w:lineRule="auto"/>
              <w:jc w:val="center"/>
              <w:rPr>
                <w:rFonts w:hint="eastAsia" w:ascii="仿宋" w:hAnsi="仿宋" w:eastAsia="仿宋" w:cs="仿宋"/>
                <w:color w:val="auto"/>
                <w:kern w:val="0"/>
                <w:highlight w:val="none"/>
              </w:rPr>
            </w:pPr>
          </w:p>
        </w:tc>
        <w:tc>
          <w:tcPr>
            <w:tcW w:w="811" w:type="pct"/>
            <w:noWrap w:val="0"/>
            <w:vAlign w:val="center"/>
          </w:tcPr>
          <w:p w14:paraId="0109D8FD">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生活性路段</w:t>
            </w:r>
          </w:p>
        </w:tc>
        <w:tc>
          <w:tcPr>
            <w:tcW w:w="1524" w:type="pct"/>
            <w:noWrap w:val="0"/>
            <w:vAlign w:val="center"/>
          </w:tcPr>
          <w:p w14:paraId="4ED4A63C">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400－600m设1座</w:t>
            </w:r>
          </w:p>
        </w:tc>
        <w:tc>
          <w:tcPr>
            <w:tcW w:w="1715" w:type="pct"/>
            <w:noWrap w:val="0"/>
            <w:vAlign w:val="center"/>
          </w:tcPr>
          <w:p w14:paraId="26A0A56B">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步行（5km/h）4min内进入厕所</w:t>
            </w:r>
          </w:p>
        </w:tc>
      </w:tr>
      <w:tr w14:paraId="33E4D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796F50D7">
            <w:pPr>
              <w:widowControl/>
              <w:snapToGrid w:val="0"/>
              <w:spacing w:line="240" w:lineRule="auto"/>
              <w:jc w:val="center"/>
              <w:rPr>
                <w:rFonts w:hint="eastAsia" w:ascii="仿宋" w:hAnsi="仿宋" w:eastAsia="仿宋" w:cs="仿宋"/>
                <w:color w:val="auto"/>
                <w:kern w:val="0"/>
                <w:highlight w:val="none"/>
              </w:rPr>
            </w:pPr>
          </w:p>
        </w:tc>
        <w:tc>
          <w:tcPr>
            <w:tcW w:w="443" w:type="pct"/>
            <w:vMerge w:val="continue"/>
            <w:noWrap w:val="0"/>
            <w:vAlign w:val="center"/>
          </w:tcPr>
          <w:p w14:paraId="1461336A">
            <w:pPr>
              <w:widowControl/>
              <w:snapToGrid w:val="0"/>
              <w:spacing w:line="240" w:lineRule="auto"/>
              <w:jc w:val="center"/>
              <w:rPr>
                <w:rFonts w:hint="eastAsia" w:ascii="仿宋" w:hAnsi="仿宋" w:eastAsia="仿宋" w:cs="仿宋"/>
                <w:color w:val="auto"/>
                <w:kern w:val="0"/>
                <w:highlight w:val="none"/>
              </w:rPr>
            </w:pPr>
          </w:p>
        </w:tc>
        <w:tc>
          <w:tcPr>
            <w:tcW w:w="811" w:type="pct"/>
            <w:noWrap w:val="0"/>
            <w:vAlign w:val="center"/>
          </w:tcPr>
          <w:p w14:paraId="34C24CDE">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交通性路段</w:t>
            </w:r>
          </w:p>
        </w:tc>
        <w:tc>
          <w:tcPr>
            <w:tcW w:w="1524" w:type="pct"/>
            <w:noWrap w:val="0"/>
            <w:vAlign w:val="center"/>
          </w:tcPr>
          <w:p w14:paraId="196B0947">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600－1200m设1座</w:t>
            </w:r>
          </w:p>
        </w:tc>
        <w:tc>
          <w:tcPr>
            <w:tcW w:w="1715" w:type="pct"/>
            <w:noWrap w:val="0"/>
            <w:vAlign w:val="center"/>
          </w:tcPr>
          <w:p w14:paraId="0EA92683">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宜设置在人群停留聚集处</w:t>
            </w:r>
          </w:p>
        </w:tc>
      </w:tr>
      <w:tr w14:paraId="392D3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62D2EAEB">
            <w:pPr>
              <w:widowControl/>
              <w:snapToGrid w:val="0"/>
              <w:spacing w:line="240" w:lineRule="auto"/>
              <w:jc w:val="center"/>
              <w:rPr>
                <w:rFonts w:hint="eastAsia" w:ascii="仿宋" w:hAnsi="仿宋" w:eastAsia="仿宋" w:cs="仿宋"/>
                <w:color w:val="auto"/>
                <w:kern w:val="0"/>
                <w:highlight w:val="none"/>
              </w:rPr>
            </w:pPr>
          </w:p>
        </w:tc>
        <w:tc>
          <w:tcPr>
            <w:tcW w:w="443" w:type="pct"/>
            <w:vMerge w:val="restart"/>
            <w:noWrap w:val="0"/>
            <w:vAlign w:val="center"/>
          </w:tcPr>
          <w:p w14:paraId="4119C844">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城市休憩场所</w:t>
            </w:r>
          </w:p>
        </w:tc>
        <w:tc>
          <w:tcPr>
            <w:tcW w:w="811" w:type="pct"/>
            <w:noWrap w:val="0"/>
            <w:vAlign w:val="center"/>
          </w:tcPr>
          <w:p w14:paraId="419318CF">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开放式公园（公园绿地）</w:t>
            </w:r>
          </w:p>
        </w:tc>
        <w:tc>
          <w:tcPr>
            <w:tcW w:w="1524" w:type="pct"/>
            <w:noWrap w:val="0"/>
            <w:vAlign w:val="center"/>
          </w:tcPr>
          <w:p w14:paraId="7CE51F92">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≥2hm</w:t>
            </w:r>
            <w:r>
              <w:rPr>
                <w:rFonts w:hint="eastAsia" w:ascii="仿宋" w:hAnsi="仿宋" w:eastAsia="仿宋" w:cs="仿宋"/>
                <w:color w:val="auto"/>
                <w:kern w:val="0"/>
                <w:szCs w:val="21"/>
                <w:highlight w:val="none"/>
                <w:vertAlign w:val="superscript"/>
              </w:rPr>
              <w:t>2</w:t>
            </w:r>
            <w:r>
              <w:rPr>
                <w:rFonts w:hint="eastAsia" w:ascii="仿宋" w:hAnsi="仿宋" w:eastAsia="仿宋" w:cs="仿宋"/>
                <w:color w:val="auto"/>
                <w:kern w:val="0"/>
                <w:highlight w:val="none"/>
              </w:rPr>
              <w:t>应设置</w:t>
            </w:r>
          </w:p>
        </w:tc>
        <w:tc>
          <w:tcPr>
            <w:tcW w:w="1715" w:type="pct"/>
            <w:noWrap w:val="0"/>
            <w:vAlign w:val="center"/>
          </w:tcPr>
          <w:p w14:paraId="0B1BE676">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数量应符合国家现行标准《公园设计规范》CJJ-48的相关规定</w:t>
            </w:r>
          </w:p>
        </w:tc>
      </w:tr>
      <w:tr w14:paraId="11B90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0D3550B8">
            <w:pPr>
              <w:widowControl/>
              <w:snapToGrid w:val="0"/>
              <w:spacing w:line="240" w:lineRule="auto"/>
              <w:jc w:val="center"/>
              <w:rPr>
                <w:rFonts w:hint="eastAsia" w:ascii="仿宋" w:hAnsi="仿宋" w:eastAsia="仿宋" w:cs="仿宋"/>
                <w:color w:val="auto"/>
                <w:kern w:val="0"/>
                <w:highlight w:val="none"/>
              </w:rPr>
            </w:pPr>
          </w:p>
        </w:tc>
        <w:tc>
          <w:tcPr>
            <w:tcW w:w="443" w:type="pct"/>
            <w:vMerge w:val="continue"/>
            <w:noWrap w:val="0"/>
            <w:vAlign w:val="center"/>
          </w:tcPr>
          <w:p w14:paraId="7EC433DB">
            <w:pPr>
              <w:widowControl/>
              <w:snapToGrid w:val="0"/>
              <w:spacing w:line="240" w:lineRule="auto"/>
              <w:jc w:val="center"/>
              <w:rPr>
                <w:rFonts w:hint="eastAsia" w:ascii="仿宋" w:hAnsi="仿宋" w:eastAsia="仿宋" w:cs="仿宋"/>
                <w:color w:val="auto"/>
                <w:kern w:val="0"/>
                <w:highlight w:val="none"/>
              </w:rPr>
            </w:pPr>
          </w:p>
        </w:tc>
        <w:tc>
          <w:tcPr>
            <w:tcW w:w="811" w:type="pct"/>
            <w:noWrap w:val="0"/>
            <w:vAlign w:val="center"/>
          </w:tcPr>
          <w:p w14:paraId="0B4242AD">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城市广场</w:t>
            </w:r>
          </w:p>
        </w:tc>
        <w:tc>
          <w:tcPr>
            <w:tcW w:w="1524" w:type="pct"/>
            <w:noWrap w:val="0"/>
            <w:vAlign w:val="center"/>
          </w:tcPr>
          <w:p w14:paraId="5E2985C2">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＜200m服务半径设1座</w:t>
            </w:r>
          </w:p>
        </w:tc>
        <w:tc>
          <w:tcPr>
            <w:tcW w:w="1715" w:type="pct"/>
            <w:noWrap w:val="0"/>
            <w:vAlign w:val="center"/>
          </w:tcPr>
          <w:p w14:paraId="3C0B3D25">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城市广场至少应设置1座公共厕所，厕位数应满足广场平时人流量需求；最大流量时可设置活动式公共厕所应急</w:t>
            </w:r>
          </w:p>
        </w:tc>
      </w:tr>
      <w:tr w14:paraId="6DB44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7A0EAFE4">
            <w:pPr>
              <w:widowControl/>
              <w:snapToGrid w:val="0"/>
              <w:spacing w:line="240" w:lineRule="auto"/>
              <w:jc w:val="center"/>
              <w:rPr>
                <w:rFonts w:hint="eastAsia" w:ascii="仿宋" w:hAnsi="仿宋" w:eastAsia="仿宋" w:cs="仿宋"/>
                <w:color w:val="auto"/>
                <w:kern w:val="0"/>
                <w:highlight w:val="none"/>
              </w:rPr>
            </w:pPr>
          </w:p>
        </w:tc>
        <w:tc>
          <w:tcPr>
            <w:tcW w:w="443" w:type="pct"/>
            <w:vMerge w:val="continue"/>
            <w:noWrap w:val="0"/>
            <w:vAlign w:val="center"/>
          </w:tcPr>
          <w:p w14:paraId="35DC3CE6">
            <w:pPr>
              <w:widowControl/>
              <w:snapToGrid w:val="0"/>
              <w:spacing w:line="240" w:lineRule="auto"/>
              <w:jc w:val="center"/>
              <w:rPr>
                <w:rFonts w:hint="eastAsia" w:ascii="仿宋" w:hAnsi="仿宋" w:eastAsia="仿宋" w:cs="仿宋"/>
                <w:color w:val="auto"/>
                <w:kern w:val="0"/>
                <w:highlight w:val="none"/>
              </w:rPr>
            </w:pPr>
          </w:p>
        </w:tc>
        <w:tc>
          <w:tcPr>
            <w:tcW w:w="811" w:type="pct"/>
            <w:noWrap w:val="0"/>
            <w:vAlign w:val="center"/>
          </w:tcPr>
          <w:p w14:paraId="7F348BD1">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其他</w:t>
            </w:r>
          </w:p>
          <w:p w14:paraId="1444362B">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休憩场所</w:t>
            </w:r>
          </w:p>
        </w:tc>
        <w:tc>
          <w:tcPr>
            <w:tcW w:w="1524" w:type="pct"/>
            <w:noWrap w:val="0"/>
            <w:vAlign w:val="center"/>
          </w:tcPr>
          <w:p w14:paraId="1CCB0467">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600－800m服务半径设1座</w:t>
            </w:r>
          </w:p>
        </w:tc>
        <w:tc>
          <w:tcPr>
            <w:tcW w:w="1715" w:type="pct"/>
            <w:noWrap w:val="0"/>
            <w:vAlign w:val="center"/>
          </w:tcPr>
          <w:p w14:paraId="08E42525">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主要是旅游景区等</w:t>
            </w:r>
          </w:p>
        </w:tc>
      </w:tr>
      <w:tr w14:paraId="3F7B8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restart"/>
            <w:noWrap w:val="0"/>
            <w:vAlign w:val="center"/>
          </w:tcPr>
          <w:p w14:paraId="2D726212">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镇（乡）</w:t>
            </w:r>
          </w:p>
        </w:tc>
        <w:tc>
          <w:tcPr>
            <w:tcW w:w="1254" w:type="pct"/>
            <w:gridSpan w:val="2"/>
            <w:noWrap w:val="0"/>
            <w:vAlign w:val="center"/>
          </w:tcPr>
          <w:p w14:paraId="7ECB9CEB">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建成区</w:t>
            </w:r>
          </w:p>
        </w:tc>
        <w:tc>
          <w:tcPr>
            <w:tcW w:w="1524" w:type="pct"/>
            <w:noWrap w:val="0"/>
            <w:vAlign w:val="center"/>
          </w:tcPr>
          <w:p w14:paraId="57F23F1C">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400－500m设1座</w:t>
            </w:r>
          </w:p>
        </w:tc>
        <w:tc>
          <w:tcPr>
            <w:tcW w:w="1715" w:type="pct"/>
            <w:noWrap w:val="0"/>
            <w:vAlign w:val="center"/>
          </w:tcPr>
          <w:p w14:paraId="2654241B">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可参照城市相关规定</w:t>
            </w:r>
          </w:p>
        </w:tc>
      </w:tr>
      <w:tr w14:paraId="512C1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7" w:type="pct"/>
            <w:vMerge w:val="continue"/>
            <w:noWrap w:val="0"/>
            <w:vAlign w:val="center"/>
          </w:tcPr>
          <w:p w14:paraId="030E1037">
            <w:pPr>
              <w:widowControl/>
              <w:snapToGrid w:val="0"/>
              <w:spacing w:line="240" w:lineRule="auto"/>
              <w:jc w:val="center"/>
              <w:rPr>
                <w:rFonts w:hint="eastAsia" w:ascii="仿宋" w:hAnsi="仿宋" w:eastAsia="仿宋" w:cs="仿宋"/>
                <w:color w:val="auto"/>
                <w:kern w:val="0"/>
                <w:highlight w:val="none"/>
              </w:rPr>
            </w:pPr>
          </w:p>
        </w:tc>
        <w:tc>
          <w:tcPr>
            <w:tcW w:w="1254" w:type="pct"/>
            <w:gridSpan w:val="2"/>
            <w:noWrap w:val="0"/>
            <w:vAlign w:val="center"/>
          </w:tcPr>
          <w:p w14:paraId="6DDFCDDF">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有公共活动区的村庄</w:t>
            </w:r>
          </w:p>
        </w:tc>
        <w:tc>
          <w:tcPr>
            <w:tcW w:w="1524" w:type="pct"/>
            <w:noWrap w:val="0"/>
            <w:vAlign w:val="center"/>
          </w:tcPr>
          <w:p w14:paraId="5828494F">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每个村庄设1座</w:t>
            </w:r>
          </w:p>
        </w:tc>
        <w:tc>
          <w:tcPr>
            <w:tcW w:w="1715" w:type="pct"/>
            <w:noWrap w:val="0"/>
            <w:vAlign w:val="center"/>
          </w:tcPr>
          <w:p w14:paraId="67B35241">
            <w:pPr>
              <w:widowControl/>
              <w:snapToGrid w:val="0"/>
              <w:spacing w:line="240" w:lineRule="auto"/>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村庄内应合理布局公共厕所，1500人以下规模的村庄，宜设置1—2座，1500人以上规模的村庄，每增加1000人增设一座。</w:t>
            </w:r>
          </w:p>
        </w:tc>
      </w:tr>
      <w:tr w14:paraId="3A5F4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000" w:type="pct"/>
            <w:gridSpan w:val="5"/>
            <w:noWrap w:val="0"/>
            <w:vAlign w:val="top"/>
          </w:tcPr>
          <w:p w14:paraId="421DE011">
            <w:pPr>
              <w:widowControl/>
              <w:snapToGrid w:val="0"/>
              <w:spacing w:line="240" w:lineRule="auto"/>
              <w:rPr>
                <w:rFonts w:hint="eastAsia" w:ascii="仿宋" w:hAnsi="仿宋" w:eastAsia="仿宋" w:cs="仿宋"/>
                <w:color w:val="auto"/>
                <w:highlight w:val="none"/>
              </w:rPr>
            </w:pPr>
            <w:r>
              <w:rPr>
                <w:rFonts w:hint="eastAsia" w:ascii="仿宋" w:hAnsi="仿宋" w:eastAsia="仿宋" w:cs="仿宋"/>
                <w:color w:val="auto"/>
                <w:kern w:val="0"/>
                <w:highlight w:val="none"/>
              </w:rPr>
              <w:t>注：1、公共厕所沿城镇道路设置的，</w:t>
            </w:r>
            <w:r>
              <w:rPr>
                <w:rFonts w:hint="eastAsia" w:ascii="仿宋" w:hAnsi="仿宋" w:eastAsia="仿宋" w:cs="仿宋"/>
                <w:color w:val="auto"/>
                <w:highlight w:val="none"/>
              </w:rPr>
              <w:t>应根据道路性质选择公共厕所设置密度：</w:t>
            </w:r>
          </w:p>
          <w:p w14:paraId="0B71EAE2">
            <w:pPr>
              <w:widowControl/>
              <w:numPr>
                <w:ilvl w:val="0"/>
                <w:numId w:val="4"/>
              </w:numPr>
              <w:snapToGrid w:val="0"/>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商业性路段：沿街的商业型建筑物占街道上建筑物总量的50％以上；</w:t>
            </w:r>
          </w:p>
          <w:p w14:paraId="2C658B4F">
            <w:pPr>
              <w:widowControl/>
              <w:numPr>
                <w:ilvl w:val="0"/>
                <w:numId w:val="4"/>
              </w:numPr>
              <w:snapToGrid w:val="0"/>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生活性道路：沿街的商业型建筑物占街道上建筑物总量的15％～50％；</w:t>
            </w:r>
          </w:p>
          <w:p w14:paraId="0CFD8026">
            <w:pPr>
              <w:widowControl/>
              <w:numPr>
                <w:ilvl w:val="0"/>
                <w:numId w:val="4"/>
              </w:numPr>
              <w:snapToGrid w:val="0"/>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交通性道路：沿街商业型建筑物在15％以下。</w:t>
            </w:r>
          </w:p>
          <w:p w14:paraId="01A26F9B">
            <w:pPr>
              <w:widowControl/>
              <w:snapToGrid w:val="0"/>
              <w:spacing w:line="240" w:lineRule="auto"/>
              <w:ind w:firstLine="420" w:firstLineChars="200"/>
              <w:rPr>
                <w:rFonts w:hint="eastAsia" w:ascii="仿宋" w:hAnsi="仿宋" w:eastAsia="仿宋" w:cs="仿宋"/>
                <w:color w:val="auto"/>
                <w:kern w:val="0"/>
                <w:highlight w:val="none"/>
              </w:rPr>
            </w:pPr>
            <w:r>
              <w:rPr>
                <w:rFonts w:hint="eastAsia" w:ascii="仿宋" w:hAnsi="仿宋" w:eastAsia="仿宋" w:cs="仿宋"/>
                <w:color w:val="auto"/>
                <w:highlight w:val="none"/>
              </w:rPr>
              <w:t>2、路边公共厕所宜与加油站、停车场等设施合建。</w:t>
            </w:r>
          </w:p>
        </w:tc>
      </w:tr>
    </w:tbl>
    <w:p w14:paraId="63D506DA">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（二）垃圾收集点</w:t>
      </w:r>
    </w:p>
    <w:p w14:paraId="0341C720">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生活垃圾收集点一般设在居住区内或其他用地内，要满足其必要的交通运输条件；当设置在路边时应满足城镇及村庄景观环境要求，城市垃圾收集点的服务半径不宜超过70m，镇（乡）建成区垃圾收集点的服务半径不宜超过100m，村庄垃圾收集点的服务半径不宜超过200m。垃圾收集点的设置应以便于生活垃圾的收集，一般考虑居民就近使用。</w:t>
      </w:r>
    </w:p>
    <w:p w14:paraId="4B2EB7BD">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（三）垃圾收集站</w:t>
      </w:r>
    </w:p>
    <w:p w14:paraId="02F813DF">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垃圾收集站的功能是将小型垃圾收集运输车分散收集到的垃圾集中，并借助机械设备将垃圾压实、转装到大型垃圾运输车上。</w:t>
      </w:r>
    </w:p>
    <w:p w14:paraId="7DF0F47F">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考虑到乡镇经济及实际等情况，规划原则上对于一般乡镇不再进行垃圾收集站设置，而是设置集垃圾收集和转运功能的垃圾转运站进行垃圾收集和中转功能，有条件的如重点乡镇也可进行垃圾收集站设置。</w:t>
      </w:r>
    </w:p>
    <w:p w14:paraId="375B0F1C">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（四）垃圾转运站</w:t>
      </w:r>
    </w:p>
    <w:p w14:paraId="131B47B3">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当垃圾运输距离超过经济运距且运输量较大时，宜设置垃圾转运站。垃圾转运站的设置应符合下列规定：</w:t>
      </w:r>
    </w:p>
    <w:p w14:paraId="26C38AFB">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1、服务范围内垃圾运输平均距离超过10km，宜设置垃圾转运站；平均距离超过20km时，宜设置大、中型转运站。</w:t>
      </w:r>
    </w:p>
    <w:p w14:paraId="6243E769">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2、镇（乡）宜设置转运站。</w:t>
      </w:r>
    </w:p>
    <w:p w14:paraId="3B32DF31">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3、采用小型转运站转运的城镇区域宜按每2km</w:t>
      </w:r>
      <w:r>
        <w:rPr>
          <w:rFonts w:hint="eastAsia" w:ascii="仿宋" w:hAnsi="仿宋" w:eastAsia="仿宋" w:cstheme="minorEastAsia"/>
          <w:sz w:val="28"/>
          <w:szCs w:val="28"/>
          <w:vertAlign w:val="superscript"/>
        </w:rPr>
        <w:t>2</w:t>
      </w:r>
      <w:r>
        <w:rPr>
          <w:rFonts w:hint="eastAsia" w:ascii="仿宋" w:hAnsi="仿宋" w:eastAsia="仿宋" w:cstheme="minorEastAsia"/>
          <w:sz w:val="28"/>
          <w:szCs w:val="28"/>
        </w:rPr>
        <w:t>～3km</w:t>
      </w:r>
      <w:r>
        <w:rPr>
          <w:rFonts w:hint="eastAsia" w:ascii="仿宋" w:hAnsi="仿宋" w:eastAsia="仿宋" w:cstheme="minorEastAsia"/>
          <w:sz w:val="28"/>
          <w:szCs w:val="28"/>
          <w:vertAlign w:val="superscript"/>
        </w:rPr>
        <w:t>2</w:t>
      </w:r>
      <w:r>
        <w:rPr>
          <w:rFonts w:hint="eastAsia" w:ascii="仿宋" w:hAnsi="仿宋" w:eastAsia="仿宋" w:cstheme="minorEastAsia"/>
          <w:sz w:val="28"/>
          <w:szCs w:val="28"/>
        </w:rPr>
        <w:t>设置一座小型转运站。</w:t>
      </w:r>
    </w:p>
    <w:p w14:paraId="1F326258">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4、垃圾转运站的用地指标应根据日转运量确定，具体内容详见中心城区相关部分内容。</w:t>
      </w:r>
    </w:p>
    <w:p w14:paraId="11C45475">
      <w:pPr>
        <w:spacing w:after="0" w:line="480" w:lineRule="auto"/>
        <w:ind w:firstLine="560" w:firstLineChars="200"/>
        <w:rPr>
          <w:rFonts w:hint="eastAsia" w:ascii="仿宋" w:hAnsi="仿宋" w:eastAsia="仿宋" w:cstheme="minorEastAsia"/>
          <w:sz w:val="28"/>
          <w:szCs w:val="28"/>
        </w:rPr>
      </w:pPr>
      <w:r>
        <w:rPr>
          <w:rFonts w:hint="eastAsia" w:ascii="仿宋" w:hAnsi="仿宋" w:eastAsia="仿宋" w:cstheme="minorEastAsia"/>
          <w:sz w:val="28"/>
          <w:szCs w:val="28"/>
        </w:rPr>
        <w:t>至规划期末，县域每个乡镇设置一个中小型垃圾转运站，负责各自乡镇的垃圾转运工作。</w:t>
      </w:r>
    </w:p>
    <w:p w14:paraId="5CBC690F">
      <w:pPr>
        <w:spacing w:after="0" w:line="480" w:lineRule="auto"/>
        <w:ind w:firstLine="560" w:firstLineChars="200"/>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规划期末县域形成“村收集、镇（乡）转运、县处理”的生活垃圾处理体系。</w:t>
      </w:r>
    </w:p>
    <w:p w14:paraId="3A55C229">
      <w:pPr>
        <w:pStyle w:val="29"/>
        <w:numPr>
          <w:ilvl w:val="0"/>
          <w:numId w:val="3"/>
        </w:numPr>
        <w:jc w:val="left"/>
        <w:rPr>
          <w:rFonts w:ascii="仿宋" w:hAnsi="仿宋" w:eastAsia="仿宋" w:cstheme="minorEastAsia"/>
          <w:szCs w:val="28"/>
        </w:rPr>
      </w:pPr>
      <w:bookmarkStart w:id="7" w:name="_Toc22163"/>
      <w:r>
        <w:rPr>
          <w:rFonts w:hint="eastAsia" w:ascii="仿宋" w:hAnsi="仿宋" w:eastAsia="仿宋" w:cstheme="minorEastAsia"/>
          <w:szCs w:val="28"/>
          <w:lang w:eastAsia="zh-CN"/>
        </w:rPr>
        <w:t>中心城区环卫设施</w:t>
      </w:r>
      <w:r>
        <w:rPr>
          <w:rFonts w:hint="eastAsia" w:ascii="仿宋" w:hAnsi="仿宋" w:eastAsia="仿宋" w:cstheme="minorEastAsia"/>
          <w:szCs w:val="28"/>
        </w:rPr>
        <w:t>规划</w:t>
      </w:r>
      <w:bookmarkEnd w:id="7"/>
    </w:p>
    <w:p w14:paraId="529B84AC">
      <w:pPr>
        <w:spacing w:after="0" w:line="480" w:lineRule="auto"/>
        <w:ind w:firstLine="560" w:firstLineChars="200"/>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（一）垃圾收集站</w:t>
      </w:r>
    </w:p>
    <w:p w14:paraId="737761FB">
      <w:pPr>
        <w:spacing w:after="0" w:line="480" w:lineRule="auto"/>
        <w:ind w:firstLine="560" w:firstLineChars="200"/>
        <w:rPr>
          <w:rFonts w:hint="eastAsia" w:ascii="仿宋" w:hAnsi="仿宋" w:eastAsia="仿宋" w:cstheme="minorEastAsia"/>
          <w:sz w:val="28"/>
          <w:szCs w:val="28"/>
          <w:lang w:eastAsia="zh-CN"/>
        </w:rPr>
      </w:pP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lang w:eastAsia="zh-CN"/>
        </w:rPr>
        <w:t>垃圾收集站的设置应符合以下规定：</w:t>
      </w:r>
    </w:p>
    <w:p w14:paraId="3738992B">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封闭的居住小区内，宜设置收集站。</w:t>
      </w:r>
    </w:p>
    <w:p w14:paraId="3CC91BAF">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居住小区或村庄超过5000人时，应设置收集站。</w:t>
      </w:r>
    </w:p>
    <w:p w14:paraId="36028090">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居住小区少于5000人时，可与相邻区域联合设置收集站。</w:t>
      </w:r>
    </w:p>
    <w:p w14:paraId="19EDE256">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镇（乡）建成区垃圾日产量超过4t/d时，宜设置收集站。</w:t>
      </w:r>
    </w:p>
    <w:p w14:paraId="4EC2B874">
      <w:pPr>
        <w:spacing w:after="0" w:line="480" w:lineRule="auto"/>
        <w:ind w:firstLine="560" w:firstLineChars="200"/>
        <w:rPr>
          <w:rFonts w:hint="eastAsia" w:ascii="仿宋" w:hAnsi="仿宋" w:eastAsia="仿宋" w:cstheme="minorEastAsia"/>
          <w:sz w:val="28"/>
          <w:szCs w:val="28"/>
          <w:lang w:eastAsia="zh-CN"/>
        </w:rPr>
      </w:pPr>
      <w:r>
        <w:rPr>
          <w:rFonts w:hint="eastAsia" w:ascii="仿宋" w:hAnsi="仿宋" w:eastAsia="仿宋" w:cstheme="minorEastAsia"/>
          <w:sz w:val="28"/>
          <w:szCs w:val="28"/>
          <w:lang w:val="en-US" w:eastAsia="zh-CN"/>
        </w:rPr>
        <w:t>2、</w:t>
      </w:r>
      <w:r>
        <w:rPr>
          <w:rFonts w:hint="eastAsia" w:ascii="仿宋" w:hAnsi="仿宋" w:eastAsia="仿宋" w:cstheme="minorEastAsia"/>
          <w:sz w:val="28"/>
          <w:szCs w:val="28"/>
          <w:lang w:eastAsia="zh-CN"/>
        </w:rPr>
        <w:t>收集站的服务半径应符合下列规定：</w:t>
      </w:r>
    </w:p>
    <w:p w14:paraId="3B4297D5">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1、采用人力收集，服务半径宜为</w:t>
      </w:r>
      <w:r>
        <w:rPr>
          <w:rFonts w:hint="eastAsia" w:ascii="仿宋" w:hAnsi="仿宋" w:eastAsia="仿宋" w:cstheme="minorEastAsia"/>
          <w:sz w:val="28"/>
          <w:szCs w:val="28"/>
          <w:lang w:val="en-US" w:eastAsia="zh-CN"/>
        </w:rPr>
        <w:t>0.4</w:t>
      </w:r>
      <w:r>
        <w:rPr>
          <w:rFonts w:hint="default" w:ascii="仿宋" w:hAnsi="仿宋" w:eastAsia="仿宋" w:cstheme="minorEastAsia"/>
          <w:sz w:val="28"/>
          <w:szCs w:val="28"/>
          <w:lang w:eastAsia="zh-CN"/>
        </w:rPr>
        <w:t>km</w:t>
      </w:r>
      <w:r>
        <w:rPr>
          <w:rFonts w:hint="eastAsia" w:ascii="仿宋" w:hAnsi="仿宋" w:eastAsia="仿宋" w:cstheme="minorEastAsia"/>
          <w:sz w:val="28"/>
          <w:szCs w:val="28"/>
          <w:lang w:eastAsia="zh-CN"/>
        </w:rPr>
        <w:t>以内，最大不宜超过1km。</w:t>
      </w:r>
    </w:p>
    <w:p w14:paraId="32C6C4DE">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2、采用小型机动车收集，服务半径不宜超过2km。</w:t>
      </w:r>
    </w:p>
    <w:p w14:paraId="4743B31D">
      <w:pPr>
        <w:spacing w:after="0" w:line="480" w:lineRule="auto"/>
        <w:ind w:firstLine="560" w:firstLineChars="200"/>
        <w:rPr>
          <w:rFonts w:hint="eastAsia" w:ascii="仿宋" w:hAnsi="仿宋" w:eastAsia="仿宋" w:cstheme="minorEastAsia"/>
          <w:sz w:val="28"/>
          <w:szCs w:val="28"/>
          <w:lang w:eastAsia="zh-CN"/>
        </w:rPr>
      </w:pPr>
      <w:r>
        <w:rPr>
          <w:rFonts w:hint="eastAsia" w:ascii="仿宋" w:hAnsi="仿宋" w:eastAsia="仿宋" w:cstheme="minorEastAsia"/>
          <w:sz w:val="28"/>
          <w:szCs w:val="28"/>
          <w:lang w:val="en-US" w:eastAsia="zh-CN"/>
        </w:rPr>
        <w:t>3、</w:t>
      </w:r>
      <w:r>
        <w:rPr>
          <w:rFonts w:hint="eastAsia" w:ascii="仿宋" w:hAnsi="仿宋" w:eastAsia="仿宋" w:cstheme="minorEastAsia"/>
          <w:sz w:val="28"/>
          <w:szCs w:val="28"/>
          <w:lang w:eastAsia="zh-CN"/>
        </w:rPr>
        <w:t>收集站规模</w:t>
      </w:r>
    </w:p>
    <w:p w14:paraId="56B3B1CF">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收集站的设计规模应考虑远期发展的需要，设计收集能力不宜大于30t/d。</w:t>
      </w:r>
    </w:p>
    <w:p w14:paraId="50A9696D">
      <w:pPr>
        <w:keepNext w:val="0"/>
        <w:keepLines w:val="0"/>
        <w:pageBreakBefore w:val="0"/>
        <w:widowControl w:val="0"/>
        <w:numPr>
          <w:ilvl w:val="0"/>
          <w:numId w:val="5"/>
        </w:numPr>
        <w:kinsoku/>
        <w:wordWrap/>
        <w:overflowPunct/>
        <w:topLinePunct w:val="0"/>
        <w:autoSpaceDE/>
        <w:autoSpaceDN/>
        <w:bidi w:val="0"/>
        <w:adjustRightInd/>
        <w:snapToGrid/>
        <w:spacing w:after="0" w:line="480" w:lineRule="auto"/>
        <w:ind w:left="559" w:leftChars="266" w:firstLine="280" w:firstLineChars="100"/>
        <w:textAlignment w:val="auto"/>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设计规模和作业能力应满足其服务区域内生活垃圾“日产日清”的要求，采用分类收集的收集站，应满足其分类收运和简单分拣、储存的要求。</w:t>
      </w:r>
    </w:p>
    <w:p w14:paraId="408D7FF4">
      <w:pPr>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br w:type="page"/>
      </w:r>
    </w:p>
    <w:p w14:paraId="438F0E15">
      <w:pPr>
        <w:spacing w:after="0" w:line="480" w:lineRule="auto"/>
        <w:ind w:firstLine="2800" w:firstLineChars="1000"/>
        <w:rPr>
          <w:rFonts w:hint="eastAsia" w:ascii="仿宋" w:hAnsi="仿宋" w:eastAsia="仿宋" w:cstheme="minorEastAsia"/>
          <w:sz w:val="28"/>
          <w:szCs w:val="28"/>
          <w:lang w:eastAsia="zh-CN"/>
        </w:rPr>
      </w:pPr>
      <w:r>
        <w:rPr>
          <w:rFonts w:hint="eastAsia" w:ascii="仿宋" w:hAnsi="仿宋" w:eastAsia="仿宋" w:cstheme="minorEastAsia"/>
          <w:sz w:val="28"/>
          <w:szCs w:val="28"/>
          <w:lang w:eastAsia="zh-CN"/>
        </w:rPr>
        <w:t>垃圾收集站用地指标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2014"/>
        <w:gridCol w:w="2191"/>
        <w:gridCol w:w="2440"/>
      </w:tblGrid>
      <w:tr w14:paraId="1A3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shd w:val="clear" w:color="auto" w:fill="CCCCCC"/>
            <w:noWrap w:val="0"/>
            <w:vAlign w:val="center"/>
          </w:tcPr>
          <w:p w14:paraId="5E64D218">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规模（t/d）</w:t>
            </w:r>
          </w:p>
        </w:tc>
        <w:tc>
          <w:tcPr>
            <w:tcW w:w="2142" w:type="dxa"/>
            <w:shd w:val="clear" w:color="auto" w:fill="CCCCCC"/>
            <w:noWrap w:val="0"/>
            <w:vAlign w:val="center"/>
          </w:tcPr>
          <w:p w14:paraId="7498C276">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占地面积（m）</w:t>
            </w:r>
          </w:p>
        </w:tc>
        <w:tc>
          <w:tcPr>
            <w:tcW w:w="2337" w:type="dxa"/>
            <w:shd w:val="clear" w:color="auto" w:fill="CCCCCC"/>
            <w:noWrap w:val="0"/>
            <w:vAlign w:val="center"/>
          </w:tcPr>
          <w:p w14:paraId="70A68F97">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与相邻建筑间隔（m）</w:t>
            </w:r>
          </w:p>
        </w:tc>
        <w:tc>
          <w:tcPr>
            <w:tcW w:w="2611" w:type="dxa"/>
            <w:shd w:val="clear" w:color="auto" w:fill="CCCCCC"/>
            <w:noWrap w:val="0"/>
            <w:vAlign w:val="center"/>
          </w:tcPr>
          <w:p w14:paraId="191AF101">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绿化隔离带宽度（m）</w:t>
            </w:r>
          </w:p>
        </w:tc>
      </w:tr>
      <w:tr w14:paraId="455B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noWrap w:val="0"/>
            <w:vAlign w:val="center"/>
          </w:tcPr>
          <w:p w14:paraId="7B8751DE">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20～30</w:t>
            </w:r>
          </w:p>
        </w:tc>
        <w:tc>
          <w:tcPr>
            <w:tcW w:w="2142" w:type="dxa"/>
            <w:noWrap w:val="0"/>
            <w:vAlign w:val="center"/>
          </w:tcPr>
          <w:p w14:paraId="5FCD8C73">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300～400</w:t>
            </w:r>
          </w:p>
        </w:tc>
        <w:tc>
          <w:tcPr>
            <w:tcW w:w="2337" w:type="dxa"/>
            <w:noWrap w:val="0"/>
            <w:vAlign w:val="center"/>
          </w:tcPr>
          <w:p w14:paraId="0EB61080">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≥10</w:t>
            </w:r>
          </w:p>
        </w:tc>
        <w:tc>
          <w:tcPr>
            <w:tcW w:w="2611" w:type="dxa"/>
            <w:noWrap w:val="0"/>
            <w:vAlign w:val="center"/>
          </w:tcPr>
          <w:p w14:paraId="7CE73BC1">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≥3</w:t>
            </w:r>
          </w:p>
        </w:tc>
      </w:tr>
      <w:tr w14:paraId="1F3D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noWrap w:val="0"/>
            <w:vAlign w:val="center"/>
          </w:tcPr>
          <w:p w14:paraId="423EBE92">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10～20</w:t>
            </w:r>
          </w:p>
        </w:tc>
        <w:tc>
          <w:tcPr>
            <w:tcW w:w="2142" w:type="dxa"/>
            <w:noWrap w:val="0"/>
            <w:vAlign w:val="center"/>
          </w:tcPr>
          <w:p w14:paraId="50EC5AF1">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200～300</w:t>
            </w:r>
          </w:p>
        </w:tc>
        <w:tc>
          <w:tcPr>
            <w:tcW w:w="2337" w:type="dxa"/>
            <w:noWrap w:val="0"/>
            <w:vAlign w:val="center"/>
          </w:tcPr>
          <w:p w14:paraId="242CAE51">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≥8</w:t>
            </w:r>
          </w:p>
        </w:tc>
        <w:tc>
          <w:tcPr>
            <w:tcW w:w="2611" w:type="dxa"/>
            <w:noWrap w:val="0"/>
            <w:vAlign w:val="center"/>
          </w:tcPr>
          <w:p w14:paraId="4F0AE05F">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≥2</w:t>
            </w:r>
          </w:p>
        </w:tc>
      </w:tr>
      <w:tr w14:paraId="0D4E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noWrap w:val="0"/>
            <w:vAlign w:val="center"/>
          </w:tcPr>
          <w:p w14:paraId="2268F703">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10以下</w:t>
            </w:r>
          </w:p>
        </w:tc>
        <w:tc>
          <w:tcPr>
            <w:tcW w:w="2142" w:type="dxa"/>
            <w:noWrap w:val="0"/>
            <w:vAlign w:val="center"/>
          </w:tcPr>
          <w:p w14:paraId="4EA73FBC">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120～200</w:t>
            </w:r>
          </w:p>
        </w:tc>
        <w:tc>
          <w:tcPr>
            <w:tcW w:w="2337" w:type="dxa"/>
            <w:noWrap w:val="0"/>
            <w:vAlign w:val="center"/>
          </w:tcPr>
          <w:p w14:paraId="29AA2573">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≥8</w:t>
            </w:r>
          </w:p>
        </w:tc>
        <w:tc>
          <w:tcPr>
            <w:tcW w:w="2611" w:type="dxa"/>
            <w:noWrap w:val="0"/>
            <w:vAlign w:val="center"/>
          </w:tcPr>
          <w:p w14:paraId="4FB37BC8">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仿宋" w:hAnsi="仿宋" w:eastAsia="仿宋" w:cstheme="minorEastAsia"/>
                <w:sz w:val="21"/>
                <w:szCs w:val="21"/>
                <w:lang w:eastAsia="zh-CN"/>
              </w:rPr>
            </w:pPr>
            <w:r>
              <w:rPr>
                <w:rFonts w:hint="eastAsia" w:ascii="仿宋" w:hAnsi="仿宋" w:eastAsia="仿宋" w:cstheme="minorEastAsia"/>
                <w:sz w:val="21"/>
                <w:szCs w:val="21"/>
                <w:lang w:eastAsia="zh-CN"/>
              </w:rPr>
              <w:t>≥2</w:t>
            </w:r>
          </w:p>
        </w:tc>
      </w:tr>
    </w:tbl>
    <w:p w14:paraId="0D57EDF5">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考虑到乡镇经济及实际等情况，规划原则上不再对县域乡镇进行垃圾收集站设置，而是设置集垃圾收集和转运功能的垃圾转运站进行垃圾收集和中转功能，有条件的乡镇也可进行垃圾收集站设置。</w:t>
      </w:r>
    </w:p>
    <w:p w14:paraId="16E63505">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至2025年、2035年规划设置压缩式垃圾收集站分别为13座、31座，其中含现状垃圾收集站7座。垃圾收集站的规模应与服务区域内高峰月的垃圾量确定，每座建筑面积一般不小于80平方米。</w:t>
      </w:r>
    </w:p>
    <w:p w14:paraId="0205FF39">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（二）垃圾转运站</w:t>
      </w:r>
    </w:p>
    <w:p w14:paraId="5B23438B">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垃圾转运站的用地指标应根据日转运量确定，并应符合下表的规定。</w:t>
      </w:r>
    </w:p>
    <w:p w14:paraId="524AECB6">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表              垃圾转运站用地标准</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735"/>
        <w:gridCol w:w="1266"/>
        <w:gridCol w:w="1476"/>
        <w:gridCol w:w="1464"/>
        <w:gridCol w:w="1453"/>
        <w:gridCol w:w="1467"/>
      </w:tblGrid>
      <w:tr w14:paraId="105C9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9" w:type="pct"/>
            <w:gridSpan w:val="2"/>
            <w:tcBorders>
              <w:top w:val="single" w:color="auto" w:sz="12" w:space="0"/>
              <w:bottom w:val="single" w:color="auto" w:sz="4" w:space="0"/>
            </w:tcBorders>
            <w:shd w:val="clear" w:color="auto" w:fill="CCCCCC"/>
            <w:noWrap w:val="0"/>
            <w:vAlign w:val="center"/>
          </w:tcPr>
          <w:p w14:paraId="76A5E06E">
            <w:pPr>
              <w:widowControl/>
              <w:snapToGrid w:val="0"/>
              <w:spacing w:line="400" w:lineRule="exact"/>
              <w:jc w:val="center"/>
              <w:rPr>
                <w:rFonts w:hint="eastAsia" w:ascii="仿宋" w:hAnsi="仿宋" w:eastAsia="仿宋" w:cs="仿宋"/>
                <w:color w:val="auto"/>
                <w:kern w:val="0"/>
                <w:sz w:val="21"/>
                <w:szCs w:val="21"/>
                <w:highlight w:val="none"/>
              </w:rPr>
            </w:pPr>
            <w:bookmarkStart w:id="8" w:name="OLE_LINK10"/>
            <w:bookmarkStart w:id="9" w:name="OLE_LINK12"/>
            <w:r>
              <w:rPr>
                <w:rFonts w:hint="eastAsia" w:ascii="仿宋" w:hAnsi="仿宋" w:eastAsia="仿宋" w:cs="仿宋"/>
                <w:color w:val="auto"/>
                <w:kern w:val="0"/>
                <w:sz w:val="21"/>
                <w:szCs w:val="21"/>
                <w:highlight w:val="none"/>
              </w:rPr>
              <w:t>类型</w:t>
            </w:r>
          </w:p>
        </w:tc>
        <w:tc>
          <w:tcPr>
            <w:tcW w:w="742" w:type="pct"/>
            <w:tcBorders>
              <w:top w:val="single" w:color="auto" w:sz="12" w:space="0"/>
              <w:bottom w:val="single" w:color="auto" w:sz="4" w:space="0"/>
            </w:tcBorders>
            <w:shd w:val="clear" w:color="auto" w:fill="CCCCCC"/>
            <w:noWrap w:val="0"/>
            <w:vAlign w:val="center"/>
          </w:tcPr>
          <w:p w14:paraId="686E4C7D">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设计转运量</w:t>
            </w:r>
          </w:p>
          <w:p w14:paraId="41BB5779">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（t/d）</w:t>
            </w:r>
          </w:p>
        </w:tc>
        <w:tc>
          <w:tcPr>
            <w:tcW w:w="865" w:type="pct"/>
            <w:tcBorders>
              <w:top w:val="single" w:color="auto" w:sz="12" w:space="0"/>
              <w:bottom w:val="single" w:color="auto" w:sz="4" w:space="0"/>
            </w:tcBorders>
            <w:shd w:val="clear" w:color="auto" w:fill="CCCCCC"/>
            <w:noWrap w:val="0"/>
            <w:vAlign w:val="center"/>
          </w:tcPr>
          <w:p w14:paraId="50DAE99F">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用地面积</w:t>
            </w:r>
          </w:p>
          <w:p w14:paraId="4204B380">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w:t>
            </w:r>
            <w:r>
              <w:rPr>
                <w:rFonts w:hint="eastAsia" w:ascii="仿宋" w:hAnsi="仿宋" w:eastAsia="仿宋" w:cs="仿宋"/>
                <w:color w:val="auto"/>
                <w:kern w:val="0"/>
                <w:sz w:val="21"/>
                <w:szCs w:val="21"/>
                <w:highlight w:val="none"/>
                <w:vertAlign w:val="superscript"/>
              </w:rPr>
              <w:t>2</w:t>
            </w:r>
            <w:r>
              <w:rPr>
                <w:rFonts w:hint="eastAsia" w:ascii="仿宋" w:hAnsi="仿宋" w:eastAsia="仿宋" w:cs="仿宋"/>
                <w:color w:val="auto"/>
                <w:kern w:val="0"/>
                <w:sz w:val="21"/>
                <w:szCs w:val="21"/>
                <w:highlight w:val="none"/>
              </w:rPr>
              <w:t>）</w:t>
            </w:r>
          </w:p>
        </w:tc>
        <w:tc>
          <w:tcPr>
            <w:tcW w:w="858" w:type="pct"/>
            <w:tcBorders>
              <w:top w:val="single" w:color="auto" w:sz="12" w:space="0"/>
              <w:bottom w:val="single" w:color="auto" w:sz="4" w:space="0"/>
            </w:tcBorders>
            <w:shd w:val="clear" w:color="auto" w:fill="CCCCCC"/>
            <w:noWrap w:val="0"/>
            <w:vAlign w:val="center"/>
          </w:tcPr>
          <w:p w14:paraId="1ADA0DD0">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与站外相邻</w:t>
            </w:r>
          </w:p>
          <w:p w14:paraId="1AA838FC">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建筑间距</w:t>
            </w:r>
          </w:p>
          <w:p w14:paraId="46C8B4B0">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(m)</w:t>
            </w:r>
          </w:p>
        </w:tc>
        <w:tc>
          <w:tcPr>
            <w:tcW w:w="852" w:type="pct"/>
            <w:tcBorders>
              <w:top w:val="single" w:color="auto" w:sz="12" w:space="0"/>
              <w:bottom w:val="single" w:color="auto" w:sz="4" w:space="0"/>
            </w:tcBorders>
            <w:shd w:val="clear" w:color="auto" w:fill="CCCCCC"/>
            <w:noWrap w:val="0"/>
            <w:vAlign w:val="center"/>
          </w:tcPr>
          <w:p w14:paraId="49FDA79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转运作业功能区退界距离(m)</w:t>
            </w:r>
          </w:p>
        </w:tc>
        <w:tc>
          <w:tcPr>
            <w:tcW w:w="860" w:type="pct"/>
            <w:tcBorders>
              <w:top w:val="single" w:color="auto" w:sz="12" w:space="0"/>
              <w:bottom w:val="single" w:color="auto" w:sz="4" w:space="0"/>
            </w:tcBorders>
            <w:shd w:val="clear" w:color="auto" w:fill="CCCCCC"/>
            <w:noWrap w:val="0"/>
            <w:vAlign w:val="center"/>
          </w:tcPr>
          <w:p w14:paraId="7F4623D2">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绿地率（%）</w:t>
            </w:r>
          </w:p>
        </w:tc>
      </w:tr>
      <w:tr w14:paraId="3FC9A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restart"/>
            <w:tcBorders>
              <w:top w:val="single" w:color="auto" w:sz="4" w:space="0"/>
            </w:tcBorders>
            <w:noWrap w:val="0"/>
            <w:vAlign w:val="center"/>
          </w:tcPr>
          <w:p w14:paraId="186CC215">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大型</w:t>
            </w:r>
          </w:p>
        </w:tc>
        <w:tc>
          <w:tcPr>
            <w:tcW w:w="430" w:type="pct"/>
            <w:tcBorders>
              <w:top w:val="single" w:color="auto" w:sz="4" w:space="0"/>
            </w:tcBorders>
            <w:noWrap w:val="0"/>
            <w:vAlign w:val="center"/>
          </w:tcPr>
          <w:p w14:paraId="16CA1F5B">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Ⅰ类</w:t>
            </w:r>
          </w:p>
        </w:tc>
        <w:tc>
          <w:tcPr>
            <w:tcW w:w="742" w:type="pct"/>
            <w:tcBorders>
              <w:top w:val="single" w:color="auto" w:sz="4" w:space="0"/>
            </w:tcBorders>
            <w:noWrap w:val="0"/>
            <w:vAlign w:val="center"/>
          </w:tcPr>
          <w:p w14:paraId="5E1DD8BB">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1000—3000</w:t>
            </w:r>
          </w:p>
        </w:tc>
        <w:tc>
          <w:tcPr>
            <w:tcW w:w="865" w:type="pct"/>
            <w:tcBorders>
              <w:top w:val="single" w:color="auto" w:sz="4" w:space="0"/>
            </w:tcBorders>
            <w:noWrap w:val="0"/>
            <w:vAlign w:val="center"/>
          </w:tcPr>
          <w:p w14:paraId="597BFA48">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≤20000</w:t>
            </w:r>
          </w:p>
        </w:tc>
        <w:tc>
          <w:tcPr>
            <w:tcW w:w="858" w:type="pct"/>
            <w:tcBorders>
              <w:top w:val="single" w:color="auto" w:sz="4" w:space="0"/>
            </w:tcBorders>
            <w:noWrap w:val="0"/>
            <w:vAlign w:val="center"/>
          </w:tcPr>
          <w:p w14:paraId="0A2946DB">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w:t>
            </w:r>
          </w:p>
        </w:tc>
        <w:tc>
          <w:tcPr>
            <w:tcW w:w="852" w:type="pct"/>
            <w:tcBorders>
              <w:top w:val="single" w:color="auto" w:sz="4" w:space="0"/>
            </w:tcBorders>
            <w:noWrap w:val="0"/>
            <w:vAlign w:val="center"/>
          </w:tcPr>
          <w:p w14:paraId="32BA3A74">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860" w:type="pct"/>
            <w:vMerge w:val="restart"/>
            <w:tcBorders>
              <w:top w:val="single" w:color="auto" w:sz="4" w:space="0"/>
            </w:tcBorders>
            <w:noWrap w:val="0"/>
            <w:vAlign w:val="center"/>
          </w:tcPr>
          <w:p w14:paraId="7DE0033B">
            <w:pPr>
              <w:pStyle w:val="9"/>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20—30</w:t>
            </w:r>
          </w:p>
        </w:tc>
      </w:tr>
      <w:tr w14:paraId="5EABF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continue"/>
            <w:noWrap w:val="0"/>
            <w:vAlign w:val="center"/>
          </w:tcPr>
          <w:p w14:paraId="07B49989">
            <w:pPr>
              <w:widowControl/>
              <w:snapToGrid w:val="0"/>
              <w:spacing w:line="400" w:lineRule="exact"/>
              <w:jc w:val="center"/>
              <w:rPr>
                <w:rFonts w:hint="eastAsia" w:ascii="仿宋" w:hAnsi="仿宋" w:eastAsia="仿宋" w:cs="仿宋"/>
                <w:color w:val="auto"/>
                <w:kern w:val="0"/>
                <w:sz w:val="21"/>
                <w:szCs w:val="21"/>
                <w:highlight w:val="none"/>
              </w:rPr>
            </w:pPr>
          </w:p>
        </w:tc>
        <w:tc>
          <w:tcPr>
            <w:tcW w:w="430" w:type="pct"/>
            <w:noWrap w:val="0"/>
            <w:vAlign w:val="center"/>
          </w:tcPr>
          <w:p w14:paraId="0B9EB430">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Ⅱ类</w:t>
            </w:r>
          </w:p>
        </w:tc>
        <w:tc>
          <w:tcPr>
            <w:tcW w:w="742" w:type="pct"/>
            <w:noWrap w:val="0"/>
            <w:vAlign w:val="center"/>
          </w:tcPr>
          <w:p w14:paraId="1FC756C7">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450—1000</w:t>
            </w:r>
          </w:p>
        </w:tc>
        <w:tc>
          <w:tcPr>
            <w:tcW w:w="865" w:type="pct"/>
            <w:noWrap w:val="0"/>
            <w:vAlign w:val="center"/>
          </w:tcPr>
          <w:p w14:paraId="77DF9408">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10000—15000</w:t>
            </w:r>
          </w:p>
        </w:tc>
        <w:tc>
          <w:tcPr>
            <w:tcW w:w="858" w:type="pct"/>
            <w:noWrap w:val="0"/>
            <w:vAlign w:val="center"/>
          </w:tcPr>
          <w:p w14:paraId="1AF8C0D1">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c>
          <w:tcPr>
            <w:tcW w:w="852" w:type="pct"/>
            <w:noWrap w:val="0"/>
            <w:vAlign w:val="center"/>
          </w:tcPr>
          <w:p w14:paraId="64A4A224">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860" w:type="pct"/>
            <w:vMerge w:val="continue"/>
            <w:noWrap w:val="0"/>
            <w:vAlign w:val="center"/>
          </w:tcPr>
          <w:p w14:paraId="5E6CC700">
            <w:pPr>
              <w:pStyle w:val="9"/>
              <w:snapToGrid w:val="0"/>
              <w:spacing w:line="400" w:lineRule="exact"/>
              <w:jc w:val="center"/>
              <w:rPr>
                <w:rFonts w:hint="eastAsia" w:ascii="仿宋" w:hAnsi="仿宋" w:eastAsia="仿宋" w:cs="仿宋"/>
                <w:color w:val="auto"/>
                <w:kern w:val="0"/>
                <w:sz w:val="21"/>
                <w:szCs w:val="21"/>
                <w:highlight w:val="none"/>
              </w:rPr>
            </w:pPr>
          </w:p>
        </w:tc>
      </w:tr>
      <w:tr w14:paraId="01AF5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14:paraId="1122762F">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中型</w:t>
            </w:r>
          </w:p>
        </w:tc>
        <w:tc>
          <w:tcPr>
            <w:tcW w:w="430" w:type="pct"/>
            <w:noWrap w:val="0"/>
            <w:vAlign w:val="center"/>
          </w:tcPr>
          <w:p w14:paraId="7AD7FF90">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Ⅲ类</w:t>
            </w:r>
          </w:p>
        </w:tc>
        <w:tc>
          <w:tcPr>
            <w:tcW w:w="742" w:type="pct"/>
            <w:noWrap w:val="0"/>
            <w:vAlign w:val="center"/>
          </w:tcPr>
          <w:p w14:paraId="29E9ADA2">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150—450</w:t>
            </w:r>
          </w:p>
        </w:tc>
        <w:tc>
          <w:tcPr>
            <w:tcW w:w="865" w:type="pct"/>
            <w:noWrap w:val="0"/>
            <w:vAlign w:val="center"/>
          </w:tcPr>
          <w:p w14:paraId="766AF86F">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4000—10000</w:t>
            </w:r>
          </w:p>
        </w:tc>
        <w:tc>
          <w:tcPr>
            <w:tcW w:w="858" w:type="pct"/>
            <w:noWrap w:val="0"/>
            <w:vAlign w:val="center"/>
          </w:tcPr>
          <w:p w14:paraId="4EEAA3BA">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c>
          <w:tcPr>
            <w:tcW w:w="852" w:type="pct"/>
            <w:noWrap w:val="0"/>
            <w:vAlign w:val="center"/>
          </w:tcPr>
          <w:p w14:paraId="5CE573A8">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860" w:type="pct"/>
            <w:vMerge w:val="continue"/>
            <w:noWrap w:val="0"/>
            <w:vAlign w:val="center"/>
          </w:tcPr>
          <w:p w14:paraId="546547CC">
            <w:pPr>
              <w:pStyle w:val="9"/>
              <w:widowControl/>
              <w:snapToGrid w:val="0"/>
              <w:spacing w:line="400" w:lineRule="exact"/>
              <w:jc w:val="center"/>
              <w:rPr>
                <w:rFonts w:hint="eastAsia" w:ascii="仿宋" w:hAnsi="仿宋" w:eastAsia="仿宋" w:cs="仿宋"/>
                <w:color w:val="auto"/>
                <w:kern w:val="0"/>
                <w:sz w:val="21"/>
                <w:szCs w:val="21"/>
                <w:highlight w:val="none"/>
              </w:rPr>
            </w:pPr>
          </w:p>
        </w:tc>
      </w:tr>
      <w:tr w14:paraId="03ACB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restart"/>
            <w:noWrap w:val="0"/>
            <w:vAlign w:val="center"/>
          </w:tcPr>
          <w:p w14:paraId="7B00A844">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小型</w:t>
            </w:r>
          </w:p>
        </w:tc>
        <w:tc>
          <w:tcPr>
            <w:tcW w:w="430" w:type="pct"/>
            <w:noWrap w:val="0"/>
            <w:vAlign w:val="center"/>
          </w:tcPr>
          <w:p w14:paraId="1890EBA4">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Ⅳ类</w:t>
            </w:r>
          </w:p>
        </w:tc>
        <w:tc>
          <w:tcPr>
            <w:tcW w:w="742" w:type="pct"/>
            <w:noWrap w:val="0"/>
            <w:vAlign w:val="center"/>
          </w:tcPr>
          <w:p w14:paraId="130566F1">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50—150</w:t>
            </w:r>
          </w:p>
        </w:tc>
        <w:tc>
          <w:tcPr>
            <w:tcW w:w="865" w:type="pct"/>
            <w:noWrap w:val="0"/>
            <w:vAlign w:val="center"/>
          </w:tcPr>
          <w:p w14:paraId="02AB91C7">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1000—4000</w:t>
            </w:r>
          </w:p>
        </w:tc>
        <w:tc>
          <w:tcPr>
            <w:tcW w:w="858" w:type="pct"/>
            <w:noWrap w:val="0"/>
            <w:vAlign w:val="center"/>
          </w:tcPr>
          <w:p w14:paraId="068F0136">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c>
          <w:tcPr>
            <w:tcW w:w="852" w:type="pct"/>
            <w:noWrap w:val="0"/>
            <w:vAlign w:val="center"/>
          </w:tcPr>
          <w:p w14:paraId="1CAF5DD5">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860" w:type="pct"/>
            <w:vMerge w:val="continue"/>
            <w:noWrap w:val="0"/>
            <w:vAlign w:val="center"/>
          </w:tcPr>
          <w:p w14:paraId="64366012">
            <w:pPr>
              <w:pStyle w:val="9"/>
              <w:widowControl/>
              <w:snapToGrid w:val="0"/>
              <w:spacing w:line="400" w:lineRule="exact"/>
              <w:jc w:val="center"/>
              <w:rPr>
                <w:rFonts w:hint="eastAsia" w:ascii="仿宋" w:hAnsi="仿宋" w:eastAsia="仿宋" w:cs="仿宋"/>
                <w:color w:val="auto"/>
                <w:kern w:val="0"/>
                <w:sz w:val="21"/>
                <w:szCs w:val="21"/>
                <w:highlight w:val="none"/>
              </w:rPr>
            </w:pPr>
          </w:p>
        </w:tc>
      </w:tr>
      <w:tr w14:paraId="5A68A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continue"/>
            <w:noWrap w:val="0"/>
            <w:vAlign w:val="center"/>
          </w:tcPr>
          <w:p w14:paraId="76E27D30">
            <w:pPr>
              <w:widowControl/>
              <w:snapToGrid w:val="0"/>
              <w:spacing w:line="400" w:lineRule="exact"/>
              <w:jc w:val="center"/>
              <w:rPr>
                <w:rFonts w:hint="eastAsia" w:ascii="仿宋" w:hAnsi="仿宋" w:eastAsia="仿宋" w:cs="仿宋"/>
                <w:color w:val="auto"/>
                <w:kern w:val="0"/>
                <w:sz w:val="21"/>
                <w:szCs w:val="21"/>
                <w:highlight w:val="none"/>
              </w:rPr>
            </w:pPr>
          </w:p>
        </w:tc>
        <w:tc>
          <w:tcPr>
            <w:tcW w:w="430" w:type="pct"/>
            <w:noWrap w:val="0"/>
            <w:vAlign w:val="center"/>
          </w:tcPr>
          <w:p w14:paraId="26C225B4">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Ⅴ类</w:t>
            </w:r>
          </w:p>
        </w:tc>
        <w:tc>
          <w:tcPr>
            <w:tcW w:w="742" w:type="pct"/>
            <w:noWrap w:val="0"/>
            <w:vAlign w:val="center"/>
          </w:tcPr>
          <w:p w14:paraId="0334BF17">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c>
          <w:tcPr>
            <w:tcW w:w="865" w:type="pct"/>
            <w:noWrap w:val="0"/>
            <w:vAlign w:val="center"/>
          </w:tcPr>
          <w:p w14:paraId="12898E9F">
            <w:pPr>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800—1000</w:t>
            </w:r>
          </w:p>
        </w:tc>
        <w:tc>
          <w:tcPr>
            <w:tcW w:w="858" w:type="pct"/>
            <w:noWrap w:val="0"/>
            <w:vAlign w:val="center"/>
          </w:tcPr>
          <w:p w14:paraId="55077F31">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c>
          <w:tcPr>
            <w:tcW w:w="852" w:type="pct"/>
            <w:noWrap w:val="0"/>
            <w:vAlign w:val="center"/>
          </w:tcPr>
          <w:p w14:paraId="2C428036">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w:t>
            </w:r>
          </w:p>
        </w:tc>
        <w:tc>
          <w:tcPr>
            <w:tcW w:w="860" w:type="pct"/>
            <w:noWrap w:val="0"/>
            <w:vAlign w:val="center"/>
          </w:tcPr>
          <w:p w14:paraId="4E6E01E0">
            <w:pPr>
              <w:pStyle w:val="9"/>
              <w:widowControl/>
              <w:snapToGrid w:val="0"/>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w:t>
            </w:r>
          </w:p>
        </w:tc>
      </w:tr>
      <w:bookmarkEnd w:id="8"/>
      <w:bookmarkEnd w:id="9"/>
    </w:tbl>
    <w:p w14:paraId="0EBC1A4B">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至2025年、2035年，中心城区规划设置中小型垃圾转运站分别为1座、4座。</w:t>
      </w:r>
    </w:p>
    <w:p w14:paraId="1E150029">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（三）垃圾焚烧发电处理厂</w:t>
      </w:r>
    </w:p>
    <w:p w14:paraId="5EB818D5">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规划保留现状石家庄生物质焚烧发电厂，位于城区南侧张段固镇齐洽村东侧，为2021年3月投入使用，占地面积8.67公顷，处理规模为1600吨/天，设计使用年限30年。</w:t>
      </w:r>
    </w:p>
    <w:p w14:paraId="5CAC4464">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（四）其他垃圾处理厂</w:t>
      </w:r>
    </w:p>
    <w:p w14:paraId="35A24FD3">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1、餐厨垃圾处理厂</w:t>
      </w:r>
    </w:p>
    <w:p w14:paraId="7BE4EA18">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规划在现状垃圾填埋厂封场处理后设置餐厨垃圾处理厂，满足餐厨垃圾处理需求，餐厨垃圾优先考虑回收再利用，如养殖等用途。</w:t>
      </w:r>
    </w:p>
    <w:p w14:paraId="06D32E6C">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2、建筑垃圾处理厂</w:t>
      </w:r>
    </w:p>
    <w:p w14:paraId="6953C81D">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考虑到无极县建筑垃圾量不多等情况，规划对建筑垃圾优先进行回收再利用，如路基回填、渗水砖等建材使用等，做到资源的最大化。回收利用后多余建筑垃圾可运往城北建筑垃圾处理厂处理。</w:t>
      </w:r>
    </w:p>
    <w:p w14:paraId="0DC6FDCD">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3、粪便垃圾处理厂</w:t>
      </w:r>
    </w:p>
    <w:p w14:paraId="1A50BCE1">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规划在污水处理厂内设置粪便处理厂，远期有条件时可运作堆肥，制作肥料等做到资源的最大化。</w:t>
      </w:r>
    </w:p>
    <w:p w14:paraId="236EE16E">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4、特种垃圾处理厂</w:t>
      </w:r>
    </w:p>
    <w:p w14:paraId="078BC89B">
      <w:pPr>
        <w:spacing w:after="0" w:line="480" w:lineRule="auto"/>
        <w:ind w:firstLine="560" w:firstLineChars="200"/>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城区特种垃圾处理继续由现状具有医疗垃圾处理资质的企业进行处理，对无极县全域甚至周边区域特种垃圾进行集中处理，做到资源的最大化。</w:t>
      </w:r>
    </w:p>
    <w:p w14:paraId="08E477AB">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（五）中心城区其他环卫设施</w:t>
      </w:r>
    </w:p>
    <w:p w14:paraId="657E02EF">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1、公共厕所</w:t>
      </w:r>
    </w:p>
    <w:p w14:paraId="63F9874E">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 xml:space="preserve">              公共厕所设置密度指标</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098"/>
        <w:gridCol w:w="1021"/>
        <w:gridCol w:w="1309"/>
        <w:gridCol w:w="3435"/>
      </w:tblGrid>
      <w:tr w14:paraId="2D2BF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73" w:type="pct"/>
            <w:tcBorders>
              <w:top w:val="single" w:color="auto" w:sz="12" w:space="0"/>
              <w:bottom w:val="single" w:color="auto" w:sz="4" w:space="0"/>
            </w:tcBorders>
            <w:shd w:val="clear" w:color="auto" w:fill="CCCCCC"/>
            <w:noWrap w:val="0"/>
            <w:vAlign w:val="center"/>
          </w:tcPr>
          <w:p w14:paraId="25011FB3">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城市用地类别</w:t>
            </w:r>
          </w:p>
        </w:tc>
        <w:tc>
          <w:tcPr>
            <w:tcW w:w="644" w:type="pct"/>
            <w:tcBorders>
              <w:top w:val="single" w:color="auto" w:sz="12" w:space="0"/>
              <w:bottom w:val="single" w:color="auto" w:sz="4" w:space="0"/>
            </w:tcBorders>
            <w:shd w:val="clear" w:color="auto" w:fill="CCCCCC"/>
            <w:noWrap w:val="0"/>
            <w:vAlign w:val="center"/>
          </w:tcPr>
          <w:p w14:paraId="2B0C2B65">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设置密度</w:t>
            </w:r>
          </w:p>
          <w:p w14:paraId="0567DB30">
            <w:pPr>
              <w:widowControl/>
              <w:snapToGrid w:val="0"/>
              <w:spacing w:line="360" w:lineRule="exact"/>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（座/k</w:t>
            </w:r>
            <w:r>
              <w:rPr>
                <w:rFonts w:hint="eastAsia" w:ascii="仿宋" w:hAnsi="仿宋" w:eastAsia="仿宋" w:cs="仿宋"/>
                <w:color w:val="auto"/>
                <w:sz w:val="18"/>
                <w:szCs w:val="18"/>
                <w:highlight w:val="none"/>
              </w:rPr>
              <w:t>m</w:t>
            </w:r>
            <w:r>
              <w:rPr>
                <w:rFonts w:hint="eastAsia" w:ascii="仿宋" w:hAnsi="仿宋" w:eastAsia="仿宋" w:cs="仿宋"/>
                <w:color w:val="auto"/>
                <w:sz w:val="18"/>
                <w:szCs w:val="18"/>
                <w:highlight w:val="none"/>
                <w:vertAlign w:val="superscript"/>
              </w:rPr>
              <w:t>2</w:t>
            </w:r>
            <w:r>
              <w:rPr>
                <w:rFonts w:hint="eastAsia" w:ascii="仿宋" w:hAnsi="仿宋" w:eastAsia="仿宋" w:cs="仿宋"/>
                <w:color w:val="auto"/>
                <w:kern w:val="0"/>
                <w:sz w:val="18"/>
                <w:szCs w:val="18"/>
                <w:highlight w:val="none"/>
              </w:rPr>
              <w:t>）</w:t>
            </w:r>
          </w:p>
        </w:tc>
        <w:tc>
          <w:tcPr>
            <w:tcW w:w="599" w:type="pct"/>
            <w:tcBorders>
              <w:top w:val="single" w:color="auto" w:sz="12" w:space="0"/>
              <w:bottom w:val="single" w:color="auto" w:sz="4" w:space="0"/>
            </w:tcBorders>
            <w:shd w:val="clear" w:color="auto" w:fill="CCCCCC"/>
            <w:noWrap w:val="0"/>
            <w:vAlign w:val="center"/>
          </w:tcPr>
          <w:p w14:paraId="00F62885">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建筑面积</w:t>
            </w:r>
            <w:r>
              <w:rPr>
                <w:rFonts w:hint="eastAsia" w:ascii="仿宋" w:hAnsi="仿宋" w:eastAsia="仿宋" w:cs="仿宋"/>
                <w:color w:val="auto"/>
                <w:kern w:val="0"/>
                <w:sz w:val="18"/>
                <w:szCs w:val="18"/>
                <w:highlight w:val="none"/>
              </w:rPr>
              <w:t>（</w:t>
            </w:r>
            <w:r>
              <w:rPr>
                <w:rFonts w:hint="eastAsia" w:ascii="仿宋" w:hAnsi="仿宋" w:eastAsia="仿宋" w:cs="仿宋"/>
                <w:color w:val="auto"/>
                <w:sz w:val="18"/>
                <w:szCs w:val="18"/>
                <w:highlight w:val="none"/>
              </w:rPr>
              <w:t>m</w:t>
            </w:r>
            <w:r>
              <w:rPr>
                <w:rFonts w:hint="eastAsia" w:ascii="仿宋" w:hAnsi="仿宋" w:eastAsia="仿宋" w:cs="仿宋"/>
                <w:color w:val="auto"/>
                <w:sz w:val="18"/>
                <w:szCs w:val="18"/>
                <w:highlight w:val="none"/>
                <w:vertAlign w:val="superscript"/>
              </w:rPr>
              <w:t>2</w:t>
            </w:r>
            <w:r>
              <w:rPr>
                <w:rFonts w:hint="eastAsia" w:ascii="仿宋" w:hAnsi="仿宋" w:eastAsia="仿宋" w:cs="仿宋"/>
                <w:color w:val="auto"/>
                <w:kern w:val="0"/>
                <w:sz w:val="18"/>
                <w:szCs w:val="18"/>
                <w:highlight w:val="none"/>
              </w:rPr>
              <w:t>/座）</w:t>
            </w:r>
          </w:p>
        </w:tc>
        <w:tc>
          <w:tcPr>
            <w:tcW w:w="768" w:type="pct"/>
            <w:tcBorders>
              <w:top w:val="single" w:color="auto" w:sz="12" w:space="0"/>
              <w:bottom w:val="single" w:color="auto" w:sz="4" w:space="0"/>
            </w:tcBorders>
            <w:shd w:val="clear" w:color="auto" w:fill="CCCCCC"/>
            <w:noWrap w:val="0"/>
            <w:vAlign w:val="center"/>
          </w:tcPr>
          <w:p w14:paraId="74797DBF">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独立式公厕用地面积</w:t>
            </w:r>
            <w:r>
              <w:rPr>
                <w:rFonts w:hint="eastAsia" w:ascii="仿宋" w:hAnsi="仿宋" w:eastAsia="仿宋" w:cs="仿宋"/>
                <w:color w:val="auto"/>
                <w:kern w:val="0"/>
                <w:sz w:val="18"/>
                <w:szCs w:val="18"/>
                <w:highlight w:val="none"/>
              </w:rPr>
              <w:t>（</w:t>
            </w:r>
            <w:r>
              <w:rPr>
                <w:rFonts w:hint="eastAsia" w:ascii="仿宋" w:hAnsi="仿宋" w:eastAsia="仿宋" w:cs="仿宋"/>
                <w:color w:val="auto"/>
                <w:sz w:val="18"/>
                <w:szCs w:val="18"/>
                <w:highlight w:val="none"/>
              </w:rPr>
              <w:t>m</w:t>
            </w:r>
            <w:r>
              <w:rPr>
                <w:rFonts w:hint="eastAsia" w:ascii="仿宋" w:hAnsi="仿宋" w:eastAsia="仿宋" w:cs="仿宋"/>
                <w:color w:val="auto"/>
                <w:sz w:val="18"/>
                <w:szCs w:val="18"/>
                <w:highlight w:val="none"/>
                <w:vertAlign w:val="superscript"/>
              </w:rPr>
              <w:t>2</w:t>
            </w:r>
            <w:r>
              <w:rPr>
                <w:rFonts w:hint="eastAsia" w:ascii="仿宋" w:hAnsi="仿宋" w:eastAsia="仿宋" w:cs="仿宋"/>
                <w:color w:val="auto"/>
                <w:kern w:val="0"/>
                <w:sz w:val="18"/>
                <w:szCs w:val="18"/>
                <w:highlight w:val="none"/>
              </w:rPr>
              <w:t>/座）</w:t>
            </w:r>
          </w:p>
        </w:tc>
        <w:tc>
          <w:tcPr>
            <w:tcW w:w="2015" w:type="pct"/>
            <w:tcBorders>
              <w:top w:val="single" w:color="auto" w:sz="12" w:space="0"/>
              <w:bottom w:val="single" w:color="auto" w:sz="4" w:space="0"/>
            </w:tcBorders>
            <w:shd w:val="clear" w:color="auto" w:fill="CCCCCC"/>
            <w:noWrap w:val="0"/>
            <w:vAlign w:val="center"/>
          </w:tcPr>
          <w:p w14:paraId="44C5490A">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备注</w:t>
            </w:r>
          </w:p>
        </w:tc>
      </w:tr>
      <w:tr w14:paraId="3371A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73" w:type="pct"/>
            <w:tcBorders>
              <w:top w:val="single" w:color="auto" w:sz="4" w:space="0"/>
            </w:tcBorders>
            <w:noWrap w:val="0"/>
            <w:vAlign w:val="center"/>
          </w:tcPr>
          <w:p w14:paraId="30032B30">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居住用地</w:t>
            </w:r>
          </w:p>
        </w:tc>
        <w:tc>
          <w:tcPr>
            <w:tcW w:w="644" w:type="pct"/>
            <w:tcBorders>
              <w:top w:val="single" w:color="auto" w:sz="4" w:space="0"/>
            </w:tcBorders>
            <w:noWrap w:val="0"/>
            <w:vAlign w:val="center"/>
          </w:tcPr>
          <w:p w14:paraId="51F11054">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3－5</w:t>
            </w:r>
          </w:p>
        </w:tc>
        <w:tc>
          <w:tcPr>
            <w:tcW w:w="599" w:type="pct"/>
            <w:tcBorders>
              <w:top w:val="single" w:color="auto" w:sz="4" w:space="0"/>
            </w:tcBorders>
            <w:noWrap w:val="0"/>
            <w:vAlign w:val="center"/>
          </w:tcPr>
          <w:p w14:paraId="1D2883AE">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30-80</w:t>
            </w:r>
          </w:p>
        </w:tc>
        <w:tc>
          <w:tcPr>
            <w:tcW w:w="768" w:type="pct"/>
            <w:tcBorders>
              <w:top w:val="single" w:color="auto" w:sz="4" w:space="0"/>
            </w:tcBorders>
            <w:noWrap w:val="0"/>
            <w:vAlign w:val="center"/>
          </w:tcPr>
          <w:p w14:paraId="1A31CBEF">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60-120</w:t>
            </w:r>
          </w:p>
        </w:tc>
        <w:tc>
          <w:tcPr>
            <w:tcW w:w="2015" w:type="pct"/>
            <w:tcBorders>
              <w:top w:val="single" w:color="auto" w:sz="4" w:space="0"/>
            </w:tcBorders>
            <w:noWrap w:val="0"/>
            <w:vAlign w:val="center"/>
          </w:tcPr>
          <w:p w14:paraId="45F50515">
            <w:pPr>
              <w:widowControl/>
              <w:snapToGrid w:val="0"/>
              <w:spacing w:line="360" w:lineRule="exact"/>
              <w:rPr>
                <w:rFonts w:hint="eastAsia" w:ascii="仿宋" w:hAnsi="仿宋" w:eastAsia="仿宋" w:cs="仿宋"/>
                <w:color w:val="auto"/>
                <w:kern w:val="0"/>
                <w:highlight w:val="none"/>
              </w:rPr>
            </w:pPr>
            <w:r>
              <w:rPr>
                <w:rFonts w:hint="eastAsia" w:ascii="仿宋" w:hAnsi="仿宋" w:eastAsia="仿宋" w:cs="仿宋"/>
                <w:color w:val="auto"/>
                <w:kern w:val="0"/>
                <w:highlight w:val="none"/>
              </w:rPr>
              <w:t>旧城区宜取密度的高限，新区宜取密度的中、低限</w:t>
            </w:r>
          </w:p>
        </w:tc>
      </w:tr>
      <w:tr w14:paraId="4FF44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73" w:type="pct"/>
            <w:noWrap w:val="0"/>
            <w:vAlign w:val="center"/>
          </w:tcPr>
          <w:p w14:paraId="0C3A4CFC">
            <w:pPr>
              <w:widowControl/>
              <w:snapToGrid w:val="0"/>
              <w:spacing w:line="4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公共管理与公共服务用地、商业服务业设施用地、道路与交通设施用地</w:t>
            </w:r>
          </w:p>
        </w:tc>
        <w:tc>
          <w:tcPr>
            <w:tcW w:w="644" w:type="pct"/>
            <w:noWrap w:val="0"/>
            <w:vAlign w:val="center"/>
          </w:tcPr>
          <w:p w14:paraId="1B057B35">
            <w:pPr>
              <w:widowControl/>
              <w:snapToGrid w:val="0"/>
              <w:spacing w:line="4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4－11</w:t>
            </w:r>
          </w:p>
        </w:tc>
        <w:tc>
          <w:tcPr>
            <w:tcW w:w="599" w:type="pct"/>
            <w:noWrap w:val="0"/>
            <w:vAlign w:val="center"/>
          </w:tcPr>
          <w:p w14:paraId="0660A22F">
            <w:pPr>
              <w:widowControl/>
              <w:snapToGrid w:val="0"/>
              <w:spacing w:line="4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50-120</w:t>
            </w:r>
          </w:p>
        </w:tc>
        <w:tc>
          <w:tcPr>
            <w:tcW w:w="768" w:type="pct"/>
            <w:noWrap w:val="0"/>
            <w:vAlign w:val="center"/>
          </w:tcPr>
          <w:p w14:paraId="2E6D3F9D">
            <w:pPr>
              <w:widowControl/>
              <w:snapToGrid w:val="0"/>
              <w:spacing w:line="40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80-170</w:t>
            </w:r>
          </w:p>
        </w:tc>
        <w:tc>
          <w:tcPr>
            <w:tcW w:w="2015" w:type="pct"/>
            <w:noWrap w:val="0"/>
            <w:vAlign w:val="center"/>
          </w:tcPr>
          <w:p w14:paraId="02F6D0E9">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公共管理与公共服务用地中的文化设施用地、体育用地、医疗卫生用地，以及商业服务业设施用地中的商业设施用地、娱乐康体用地等人流较大的区域取密度指标的高限；其他人流稀疏区域宜取低限</w:t>
            </w:r>
          </w:p>
        </w:tc>
      </w:tr>
      <w:tr w14:paraId="4AD79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73" w:type="pct"/>
            <w:noWrap w:val="0"/>
            <w:vAlign w:val="center"/>
          </w:tcPr>
          <w:p w14:paraId="1723705C">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绿地与广场用地</w:t>
            </w:r>
          </w:p>
        </w:tc>
        <w:tc>
          <w:tcPr>
            <w:tcW w:w="644" w:type="pct"/>
            <w:noWrap w:val="0"/>
            <w:vAlign w:val="center"/>
          </w:tcPr>
          <w:p w14:paraId="47A829B7">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5—6</w:t>
            </w:r>
          </w:p>
        </w:tc>
        <w:tc>
          <w:tcPr>
            <w:tcW w:w="599" w:type="pct"/>
            <w:noWrap w:val="0"/>
            <w:vAlign w:val="center"/>
          </w:tcPr>
          <w:p w14:paraId="7EEC0C66">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50-120</w:t>
            </w:r>
          </w:p>
        </w:tc>
        <w:tc>
          <w:tcPr>
            <w:tcW w:w="768" w:type="pct"/>
            <w:noWrap w:val="0"/>
            <w:vAlign w:val="center"/>
          </w:tcPr>
          <w:p w14:paraId="436A8F5E">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80-170</w:t>
            </w:r>
          </w:p>
        </w:tc>
        <w:tc>
          <w:tcPr>
            <w:tcW w:w="2015" w:type="pct"/>
            <w:noWrap w:val="0"/>
            <w:vAlign w:val="center"/>
          </w:tcPr>
          <w:p w14:paraId="64533077">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绿地中的公园绿地、广场用地的公共厕所设置应以当地公共设施的布局情况而定</w:t>
            </w:r>
          </w:p>
        </w:tc>
      </w:tr>
      <w:tr w14:paraId="5654A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73" w:type="pct"/>
            <w:noWrap w:val="0"/>
            <w:vAlign w:val="center"/>
          </w:tcPr>
          <w:p w14:paraId="0C37E871">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工业用地、</w:t>
            </w:r>
          </w:p>
          <w:p w14:paraId="790BBD85">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仓储用地、</w:t>
            </w:r>
          </w:p>
          <w:p w14:paraId="725C2BD2">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公用设施用地</w:t>
            </w:r>
          </w:p>
        </w:tc>
        <w:tc>
          <w:tcPr>
            <w:tcW w:w="644" w:type="pct"/>
            <w:noWrap w:val="0"/>
            <w:vAlign w:val="center"/>
          </w:tcPr>
          <w:p w14:paraId="066FD290">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1－2</w:t>
            </w:r>
          </w:p>
        </w:tc>
        <w:tc>
          <w:tcPr>
            <w:tcW w:w="599" w:type="pct"/>
            <w:noWrap w:val="0"/>
            <w:vAlign w:val="center"/>
          </w:tcPr>
          <w:p w14:paraId="51190F75">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30-60</w:t>
            </w:r>
          </w:p>
        </w:tc>
        <w:tc>
          <w:tcPr>
            <w:tcW w:w="768" w:type="pct"/>
            <w:noWrap w:val="0"/>
            <w:vAlign w:val="center"/>
          </w:tcPr>
          <w:p w14:paraId="39CEA6F0">
            <w:pPr>
              <w:widowControl/>
              <w:snapToGrid w:val="0"/>
              <w:spacing w:line="360" w:lineRule="exact"/>
              <w:jc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60-100</w:t>
            </w:r>
          </w:p>
        </w:tc>
        <w:tc>
          <w:tcPr>
            <w:tcW w:w="2015" w:type="pct"/>
            <w:noWrap w:val="0"/>
            <w:vAlign w:val="center"/>
          </w:tcPr>
          <w:p w14:paraId="0C73DA9F">
            <w:pPr>
              <w:widowControl/>
              <w:snapToGrid w:val="0"/>
              <w:spacing w:line="360" w:lineRule="exact"/>
              <w:jc w:val="center"/>
              <w:rPr>
                <w:rFonts w:hint="eastAsia" w:ascii="仿宋" w:hAnsi="仿宋" w:eastAsia="仿宋" w:cs="仿宋"/>
                <w:color w:val="auto"/>
                <w:kern w:val="0"/>
                <w:highlight w:val="none"/>
              </w:rPr>
            </w:pPr>
          </w:p>
        </w:tc>
      </w:tr>
    </w:tbl>
    <w:p w14:paraId="174958D4">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至2035年，公共厕所共设置86座，平均设置密度为5.97座/km</w:t>
      </w:r>
      <w:r>
        <w:rPr>
          <w:rFonts w:hint="eastAsia" w:ascii="仿宋" w:hAnsi="仿宋" w:eastAsia="仿宋" w:cstheme="minorEastAsia"/>
          <w:sz w:val="28"/>
          <w:szCs w:val="28"/>
          <w:vertAlign w:val="superscript"/>
          <w:lang w:val="en-US" w:eastAsia="zh-CN"/>
        </w:rPr>
        <w:t>2</w:t>
      </w:r>
      <w:r>
        <w:rPr>
          <w:rFonts w:hint="eastAsia" w:ascii="仿宋" w:hAnsi="仿宋" w:eastAsia="仿宋" w:cstheme="minorEastAsia"/>
          <w:sz w:val="28"/>
          <w:szCs w:val="28"/>
          <w:lang w:val="en-US" w:eastAsia="zh-CN"/>
        </w:rPr>
        <w:t>。</w:t>
      </w:r>
    </w:p>
    <w:p w14:paraId="6DEE390F">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2、环卫工人作息场所规划</w:t>
      </w:r>
    </w:p>
    <w:p w14:paraId="44B6C548">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作息场所的面积和设置数量，一般以作业区域的大小和环卫清扫保洁工人的数量计算。</w:t>
      </w:r>
    </w:p>
    <w:p w14:paraId="543473B8">
      <w:pPr>
        <w:keepNext w:val="0"/>
        <w:keepLines w:val="0"/>
        <w:pageBreakBefore w:val="0"/>
        <w:widowControl w:val="0"/>
        <w:kinsoku/>
        <w:wordWrap/>
        <w:overflowPunct/>
        <w:topLinePunct w:val="0"/>
        <w:autoSpaceDE/>
        <w:autoSpaceDN/>
        <w:bidi w:val="0"/>
        <w:adjustRightInd/>
        <w:snapToGrid/>
        <w:spacing w:after="0" w:line="480" w:lineRule="auto"/>
        <w:ind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 xml:space="preserve">               环卫清扫保洁工人作息场所设置指标</w:t>
      </w:r>
    </w:p>
    <w:tbl>
      <w:tblPr>
        <w:tblStyle w:val="17"/>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0"/>
        <w:gridCol w:w="4550"/>
      </w:tblGrid>
      <w:tr w14:paraId="4F7EB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0" w:type="dxa"/>
            <w:tcBorders>
              <w:top w:val="single" w:color="auto" w:sz="12" w:space="0"/>
              <w:bottom w:val="single" w:color="auto" w:sz="4" w:space="0"/>
            </w:tcBorders>
            <w:shd w:val="clear" w:color="auto" w:fill="CCCCCC"/>
            <w:noWrap w:val="0"/>
            <w:vAlign w:val="top"/>
          </w:tcPr>
          <w:p w14:paraId="0943FD49">
            <w:pPr>
              <w:pStyle w:val="15"/>
              <w:spacing w:before="0" w:beforeAutospacing="0" w:after="0" w:afterAutospacing="0"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作息场所（座/km）</w:t>
            </w:r>
          </w:p>
        </w:tc>
        <w:tc>
          <w:tcPr>
            <w:tcW w:w="4550" w:type="dxa"/>
            <w:tcBorders>
              <w:top w:val="single" w:color="auto" w:sz="12" w:space="0"/>
              <w:bottom w:val="single" w:color="auto" w:sz="4" w:space="0"/>
            </w:tcBorders>
            <w:shd w:val="clear" w:color="auto" w:fill="CCCCCC"/>
            <w:noWrap w:val="0"/>
            <w:vAlign w:val="top"/>
          </w:tcPr>
          <w:p w14:paraId="06F8DA07">
            <w:pPr>
              <w:pStyle w:val="15"/>
              <w:spacing w:before="0" w:beforeAutospacing="0" w:after="0" w:afterAutospacing="0"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建筑面积（m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w:t>
            </w:r>
          </w:p>
        </w:tc>
      </w:tr>
      <w:tr w14:paraId="4262D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270" w:type="dxa"/>
            <w:tcBorders>
              <w:top w:val="single" w:color="auto" w:sz="4" w:space="0"/>
            </w:tcBorders>
            <w:noWrap w:val="0"/>
            <w:vAlign w:val="top"/>
          </w:tcPr>
          <w:p w14:paraId="3D171EB1">
            <w:pPr>
              <w:pStyle w:val="15"/>
              <w:spacing w:before="0" w:beforeAutospacing="0" w:after="0" w:afterAutospacing="0"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个/0.3－1.2</w:t>
            </w:r>
          </w:p>
        </w:tc>
        <w:tc>
          <w:tcPr>
            <w:tcW w:w="4550" w:type="dxa"/>
            <w:tcBorders>
              <w:top w:val="single" w:color="auto" w:sz="4" w:space="0"/>
            </w:tcBorders>
            <w:noWrap w:val="0"/>
            <w:vAlign w:val="top"/>
          </w:tcPr>
          <w:p w14:paraId="27105D5A">
            <w:pPr>
              <w:pStyle w:val="15"/>
              <w:spacing w:before="0" w:beforeAutospacing="0" w:after="0" w:afterAutospacing="0"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20－150</w:t>
            </w:r>
          </w:p>
        </w:tc>
      </w:tr>
      <w:tr w14:paraId="529AE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820" w:type="dxa"/>
            <w:gridSpan w:val="2"/>
            <w:noWrap w:val="0"/>
            <w:vAlign w:val="top"/>
          </w:tcPr>
          <w:p w14:paraId="3D381FF6">
            <w:pPr>
              <w:pStyle w:val="15"/>
              <w:spacing w:before="0" w:beforeAutospacing="0" w:after="0" w:afterAutospacing="0" w:line="36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注：1、表中km系指环卫工人的清扫保洁服务半径。</w:t>
            </w:r>
          </w:p>
          <w:p w14:paraId="52BEB80D">
            <w:pPr>
              <w:pStyle w:val="15"/>
              <w:spacing w:before="0" w:beforeAutospacing="0" w:after="0" w:afterAutospacing="0" w:line="36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2、商业区、重要公共设施、重要交通客运设施等人口密度大的区域取上限，工业仓储区等人口密度小的区域取下限。</w:t>
            </w:r>
          </w:p>
        </w:tc>
      </w:tr>
    </w:tbl>
    <w:p w14:paraId="27181401">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按城市人口2人/千人的指标配置环卫专业队伍，则需环卫专业人员至少为240人、280人。其中现状环卫专业人员有194人，需增设部分环卫专业人员，满足近期需求。</w:t>
      </w:r>
    </w:p>
    <w:p w14:paraId="52C92A19">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目前，中心城区近年新建环卫工人作息场所14处，大部分和公厕合建。2035年，城区环卫工人作息场所应达到40个，每处占地20—60m</w:t>
      </w:r>
      <w:r>
        <w:rPr>
          <w:rFonts w:hint="eastAsia" w:ascii="仿宋" w:hAnsi="仿宋" w:eastAsia="仿宋" w:cstheme="minorEastAsia"/>
          <w:sz w:val="28"/>
          <w:szCs w:val="28"/>
          <w:vertAlign w:val="superscript"/>
          <w:lang w:val="en-US" w:eastAsia="zh-CN"/>
        </w:rPr>
        <w:t>2</w:t>
      </w:r>
      <w:r>
        <w:rPr>
          <w:rFonts w:hint="eastAsia" w:ascii="仿宋" w:hAnsi="仿宋" w:eastAsia="仿宋" w:cstheme="minorEastAsia"/>
          <w:sz w:val="28"/>
          <w:szCs w:val="28"/>
          <w:lang w:val="en-US" w:eastAsia="zh-CN"/>
        </w:rPr>
        <w:t>，以供工人休息、更衣、淋浴和停放小型车辆和工具。</w:t>
      </w:r>
    </w:p>
    <w:p w14:paraId="03E89FAC">
      <w:pPr>
        <w:keepNext w:val="0"/>
        <w:keepLines w:val="0"/>
        <w:pageBreakBefore w:val="0"/>
        <w:widowControl w:val="0"/>
        <w:kinsoku/>
        <w:wordWrap/>
        <w:overflowPunct/>
        <w:topLinePunct w:val="0"/>
        <w:autoSpaceDE/>
        <w:autoSpaceDN/>
        <w:bidi w:val="0"/>
        <w:adjustRightInd/>
        <w:snapToGrid/>
        <w:spacing w:after="0" w:line="480" w:lineRule="auto"/>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3、环卫车辆停车场、维修厂</w:t>
      </w:r>
    </w:p>
    <w:p w14:paraId="496B873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环卫专用车辆按2.5辆/万人计，近期需30辆，远期需35辆；共需专用停车场0.45hm</w:t>
      </w:r>
      <w:r>
        <w:rPr>
          <w:rFonts w:hint="eastAsia" w:ascii="仿宋" w:hAnsi="仿宋" w:eastAsia="仿宋" w:cstheme="minorEastAsia"/>
          <w:sz w:val="28"/>
          <w:szCs w:val="28"/>
          <w:vertAlign w:val="superscript"/>
          <w:lang w:val="en-US" w:eastAsia="zh-CN"/>
        </w:rPr>
        <w:t>2</w:t>
      </w:r>
      <w:r>
        <w:rPr>
          <w:rFonts w:hint="eastAsia" w:ascii="仿宋" w:hAnsi="仿宋" w:eastAsia="仿宋" w:cstheme="minorEastAsia"/>
          <w:sz w:val="28"/>
          <w:szCs w:val="28"/>
          <w:lang w:val="en-US" w:eastAsia="zh-CN"/>
        </w:rPr>
        <w:t>、0.53hm</w:t>
      </w:r>
      <w:r>
        <w:rPr>
          <w:rFonts w:hint="eastAsia" w:ascii="仿宋" w:hAnsi="仿宋" w:eastAsia="仿宋" w:cstheme="minorEastAsia"/>
          <w:sz w:val="28"/>
          <w:szCs w:val="28"/>
          <w:vertAlign w:val="superscript"/>
          <w:lang w:val="en-US" w:eastAsia="zh-CN"/>
        </w:rPr>
        <w:t>2</w:t>
      </w:r>
      <w:r>
        <w:rPr>
          <w:rFonts w:hint="eastAsia" w:ascii="仿宋" w:hAnsi="仿宋" w:eastAsia="仿宋" w:cstheme="minorEastAsia"/>
          <w:sz w:val="28"/>
          <w:szCs w:val="28"/>
          <w:lang w:val="en-US" w:eastAsia="zh-CN"/>
        </w:rPr>
        <w:t>。规划将环卫停车场与维修厂同建，位于城区主要出入口附近处，设置1座环卫车辆停放场。</w:t>
      </w:r>
    </w:p>
    <w:p w14:paraId="0C24FDBC">
      <w:pPr>
        <w:keepNext w:val="0"/>
        <w:keepLines w:val="0"/>
        <w:pageBreakBefore w:val="0"/>
        <w:widowControl w:val="0"/>
        <w:kinsoku/>
        <w:wordWrap/>
        <w:overflowPunct/>
        <w:topLinePunct w:val="0"/>
        <w:autoSpaceDE/>
        <w:autoSpaceDN/>
        <w:bidi w:val="0"/>
        <w:adjustRightInd/>
        <w:snapToGrid/>
        <w:spacing w:after="0" w:line="480" w:lineRule="auto"/>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4、洒水车供水器</w:t>
      </w:r>
    </w:p>
    <w:p w14:paraId="1C89E0B3">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供水器可与城市消火栓共用，也可单独设置；洒水水源优先利用城市污水处理厂处理后的中水。</w:t>
      </w:r>
    </w:p>
    <w:p w14:paraId="75456D8E">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洒水车辆供水器沿城市次干道路和支路上设置。城区洒水车辆供水器：2035年规划设置13个。</w:t>
      </w:r>
    </w:p>
    <w:p w14:paraId="4583CAD7">
      <w:pPr>
        <w:pStyle w:val="29"/>
        <w:numPr>
          <w:ilvl w:val="0"/>
          <w:numId w:val="3"/>
        </w:numPr>
        <w:jc w:val="left"/>
        <w:rPr>
          <w:rFonts w:ascii="仿宋" w:hAnsi="仿宋" w:eastAsia="仿宋" w:cstheme="minorEastAsia"/>
          <w:szCs w:val="28"/>
        </w:rPr>
      </w:pPr>
      <w:r>
        <w:rPr>
          <w:rFonts w:hint="eastAsia" w:ascii="仿宋" w:hAnsi="仿宋" w:eastAsia="仿宋" w:cstheme="minorEastAsia"/>
          <w:szCs w:val="28"/>
          <w:lang w:eastAsia="zh-CN"/>
        </w:rPr>
        <w:t>中心城区环卫设施管控</w:t>
      </w:r>
    </w:p>
    <w:p w14:paraId="431D09AD">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考虑到中心城区环卫设置用地规模和数量，规划将新建、改建垃圾中转站、垃圾处理设施进行虚线控制；其他环卫设施如垃圾收集站、公厕、环卫供人休息站、供水器等设施进行点位控制，以便在城市建设过程中进行弹性管控和科学管理，为建设环卫设施齐全的现代城市提供有力依据。</w:t>
      </w:r>
    </w:p>
    <w:p w14:paraId="046B5608">
      <w:pPr>
        <w:pStyle w:val="24"/>
        <w:rPr>
          <w:rFonts w:hint="eastAsia" w:ascii="仿宋" w:hAnsi="仿宋" w:eastAsia="仿宋" w:cstheme="minorEastAsia"/>
          <w:sz w:val="28"/>
          <w:szCs w:val="28"/>
        </w:rPr>
      </w:pPr>
    </w:p>
    <w:p w14:paraId="2397656E">
      <w:pPr>
        <w:pStyle w:val="24"/>
        <w:rPr>
          <w:rFonts w:hint="eastAsia" w:ascii="仿宋" w:hAnsi="仿宋" w:eastAsia="仿宋" w:cstheme="minorEastAsia"/>
          <w:sz w:val="28"/>
          <w:szCs w:val="28"/>
        </w:rPr>
      </w:pPr>
    </w:p>
    <w:p w14:paraId="7942B0C8">
      <w:pPr>
        <w:rPr>
          <w:rFonts w:hint="eastAsia"/>
          <w:lang w:eastAsia="zh-CN"/>
        </w:rPr>
      </w:pPr>
      <w:r>
        <w:rPr>
          <w:rFonts w:hint="eastAsia"/>
          <w:lang w:eastAsia="zh-CN"/>
        </w:rPr>
        <w:drawing>
          <wp:inline distT="0" distB="0" distL="114300" distR="114300">
            <wp:extent cx="5264150" cy="3721100"/>
            <wp:effectExtent l="0" t="0" r="12700" b="12700"/>
            <wp:docPr id="2" name="图片 2" descr="04 县域环卫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 县域环卫设施规划图"/>
                    <pic:cNvPicPr>
                      <a:picLocks noChangeAspect="1"/>
                    </pic:cNvPicPr>
                  </pic:nvPicPr>
                  <pic:blipFill>
                    <a:blip r:embed="rId7"/>
                    <a:stretch>
                      <a:fillRect/>
                    </a:stretch>
                  </pic:blipFill>
                  <pic:spPr>
                    <a:xfrm>
                      <a:off x="0" y="0"/>
                      <a:ext cx="5264150" cy="3721100"/>
                    </a:xfrm>
                    <a:prstGeom prst="rect">
                      <a:avLst/>
                    </a:prstGeom>
                  </pic:spPr>
                </pic:pic>
              </a:graphicData>
            </a:graphic>
          </wp:inline>
        </w:drawing>
      </w:r>
    </w:p>
    <w:p w14:paraId="00CC0272">
      <w:pPr>
        <w:rPr>
          <w:rFonts w:hint="eastAsia"/>
          <w:lang w:eastAsia="zh-CN"/>
        </w:rPr>
      </w:pPr>
    </w:p>
    <w:p w14:paraId="5A097BF3">
      <w:pPr>
        <w:rPr>
          <w:rFonts w:hint="eastAsia"/>
          <w:lang w:eastAsia="zh-CN"/>
        </w:rPr>
      </w:pPr>
      <w:r>
        <w:rPr>
          <w:rFonts w:hint="eastAsia"/>
          <w:lang w:eastAsia="zh-CN"/>
        </w:rPr>
        <w:drawing>
          <wp:inline distT="0" distB="0" distL="114300" distR="114300">
            <wp:extent cx="5264785" cy="3721735"/>
            <wp:effectExtent l="0" t="0" r="12065" b="12065"/>
            <wp:docPr id="4" name="图片 4" descr="06 中心城区公厕设置规划图(xin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 中心城区公厕设置规划图(xin Model (1)"/>
                    <pic:cNvPicPr>
                      <a:picLocks noChangeAspect="1"/>
                    </pic:cNvPicPr>
                  </pic:nvPicPr>
                  <pic:blipFill>
                    <a:blip r:embed="rId8"/>
                    <a:stretch>
                      <a:fillRect/>
                    </a:stretch>
                  </pic:blipFill>
                  <pic:spPr>
                    <a:xfrm>
                      <a:off x="0" y="0"/>
                      <a:ext cx="5264785" cy="3721735"/>
                    </a:xfrm>
                    <a:prstGeom prst="rect">
                      <a:avLst/>
                    </a:prstGeom>
                  </pic:spPr>
                </pic:pic>
              </a:graphicData>
            </a:graphic>
          </wp:inline>
        </w:drawing>
      </w:r>
    </w:p>
    <w:p w14:paraId="623BC9D5">
      <w:pPr>
        <w:rPr>
          <w:rFonts w:hint="eastAsia"/>
          <w:lang w:eastAsia="zh-CN"/>
        </w:rPr>
      </w:pPr>
      <w:r>
        <w:rPr>
          <w:rFonts w:hint="eastAsia"/>
          <w:lang w:eastAsia="zh-CN"/>
        </w:rPr>
        <w:drawing>
          <wp:inline distT="0" distB="0" distL="114300" distR="114300">
            <wp:extent cx="5264785" cy="3721735"/>
            <wp:effectExtent l="0" t="0" r="12065" b="12065"/>
            <wp:docPr id="5" name="图片 5" descr="07 中心城区环卫工程规划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 中心城区环卫工程规划图 Model (1)"/>
                    <pic:cNvPicPr>
                      <a:picLocks noChangeAspect="1"/>
                    </pic:cNvPicPr>
                  </pic:nvPicPr>
                  <pic:blipFill>
                    <a:blip r:embed="rId9"/>
                    <a:stretch>
                      <a:fillRect/>
                    </a:stretch>
                  </pic:blipFill>
                  <pic:spPr>
                    <a:xfrm>
                      <a:off x="0" y="0"/>
                      <a:ext cx="5264785" cy="3721735"/>
                    </a:xfrm>
                    <a:prstGeom prst="rect">
                      <a:avLst/>
                    </a:prstGeom>
                  </pic:spPr>
                </pic:pic>
              </a:graphicData>
            </a:graphic>
          </wp:inline>
        </w:drawing>
      </w:r>
    </w:p>
    <w:p w14:paraId="219FD2A5">
      <w:pPr>
        <w:rPr>
          <w:rFonts w:hint="eastAsia"/>
          <w:lang w:eastAsia="zh-CN"/>
        </w:rPr>
      </w:pPr>
    </w:p>
    <w:p w14:paraId="18EEE14D">
      <w:pPr>
        <w:rPr>
          <w:rFonts w:hint="eastAsia"/>
          <w:lang w:eastAsia="zh-CN"/>
        </w:rPr>
      </w:pPr>
      <w:r>
        <w:rPr>
          <w:rFonts w:hint="eastAsia"/>
          <w:lang w:eastAsia="zh-CN"/>
        </w:rPr>
        <w:drawing>
          <wp:inline distT="0" distB="0" distL="114300" distR="114300">
            <wp:extent cx="5264785" cy="3721735"/>
            <wp:effectExtent l="0" t="0" r="12065" b="12065"/>
            <wp:docPr id="6" name="图片 6" descr="08 其他环卫设施规划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 其他环卫设施规划图 Model (1)"/>
                    <pic:cNvPicPr>
                      <a:picLocks noChangeAspect="1"/>
                    </pic:cNvPicPr>
                  </pic:nvPicPr>
                  <pic:blipFill>
                    <a:blip r:embed="rId10"/>
                    <a:stretch>
                      <a:fillRect/>
                    </a:stretch>
                  </pic:blipFill>
                  <pic:spPr>
                    <a:xfrm>
                      <a:off x="0" y="0"/>
                      <a:ext cx="5264785" cy="3721735"/>
                    </a:xfrm>
                    <a:prstGeom prst="rect">
                      <a:avLst/>
                    </a:prstGeom>
                  </pic:spPr>
                </pic:pic>
              </a:graphicData>
            </a:graphic>
          </wp:inline>
        </w:drawing>
      </w:r>
    </w:p>
    <w:sectPr>
      <w:footerReference r:id="rId5" w:type="default"/>
      <w:pgSz w:w="11906" w:h="16838"/>
      <w:pgMar w:top="1440" w:right="1803"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0EDC7">
    <w:pPr>
      <w:pStyle w:val="11"/>
    </w:pPr>
    <w:r>
      <w:pict>
        <v:shape id="_x0000_s1027" o:spid="_x0000_s1027"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6151DDC3">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9</w:t>
                </w:r>
                <w:r>
                  <w:rPr>
                    <w:sz w:val="21"/>
                    <w:szCs w:val="21"/>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57A305"/>
    <w:multiLevelType w:val="singleLevel"/>
    <w:tmpl w:val="C757A305"/>
    <w:lvl w:ilvl="0" w:tentative="0">
      <w:start w:val="1"/>
      <w:numFmt w:val="chineseCounting"/>
      <w:pStyle w:val="2"/>
      <w:suff w:val="nothing"/>
      <w:lvlText w:val="第%1章 "/>
      <w:lvlJc w:val="left"/>
      <w:pPr>
        <w:tabs>
          <w:tab w:val="left" w:pos="998"/>
        </w:tabs>
        <w:ind w:left="998" w:firstLine="420"/>
      </w:pPr>
      <w:rPr>
        <w:rFonts w:hint="eastAsia" w:ascii="宋体" w:hAnsi="宋体" w:eastAsia="宋体" w:cs="宋体"/>
      </w:rPr>
    </w:lvl>
  </w:abstractNum>
  <w:abstractNum w:abstractNumId="1">
    <w:nsid w:val="EB4935F2"/>
    <w:multiLevelType w:val="singleLevel"/>
    <w:tmpl w:val="EB4935F2"/>
    <w:lvl w:ilvl="0" w:tentative="0">
      <w:start w:val="1"/>
      <w:numFmt w:val="bullet"/>
      <w:lvlText w:val=""/>
      <w:lvlJc w:val="left"/>
      <w:pPr>
        <w:ind w:left="420" w:hanging="420"/>
      </w:pPr>
      <w:rPr>
        <w:rFonts w:hint="default" w:ascii="Wingdings" w:hAnsi="Wingdings"/>
      </w:rPr>
    </w:lvl>
  </w:abstractNum>
  <w:abstractNum w:abstractNumId="2">
    <w:nsid w:val="00000010"/>
    <w:multiLevelType w:val="multilevel"/>
    <w:tmpl w:val="00000010"/>
    <w:lvl w:ilvl="0" w:tentative="0">
      <w:start w:val="1"/>
      <w:numFmt w:val="decimal"/>
      <w:pStyle w:val="4"/>
      <w:lvlText w:val="%1."/>
      <w:lvlJc w:val="left"/>
      <w:pPr>
        <w:ind w:left="420" w:hanging="420"/>
      </w:pPr>
    </w:lvl>
    <w:lvl w:ilvl="1" w:tentative="0">
      <w:start w:val="1"/>
      <w:numFmt w:val="lowerLetter"/>
      <w:lvlText w:val="%2)"/>
      <w:lvlJc w:val="left"/>
      <w:pPr>
        <w:ind w:left="682" w:hanging="420"/>
      </w:pPr>
    </w:lvl>
    <w:lvl w:ilvl="2" w:tentative="0">
      <w:start w:val="1"/>
      <w:numFmt w:val="lowerRoman"/>
      <w:lvlText w:val="%3."/>
      <w:lvlJc w:val="right"/>
      <w:pPr>
        <w:ind w:left="1102" w:hanging="420"/>
      </w:pPr>
    </w:lvl>
    <w:lvl w:ilvl="3" w:tentative="0">
      <w:start w:val="1"/>
      <w:numFmt w:val="decimal"/>
      <w:lvlText w:val="%4."/>
      <w:lvlJc w:val="left"/>
      <w:pPr>
        <w:ind w:left="1522" w:hanging="420"/>
      </w:pPr>
    </w:lvl>
    <w:lvl w:ilvl="4" w:tentative="0">
      <w:start w:val="1"/>
      <w:numFmt w:val="lowerLetter"/>
      <w:lvlText w:val="%5)"/>
      <w:lvlJc w:val="left"/>
      <w:pPr>
        <w:ind w:left="1942" w:hanging="420"/>
      </w:pPr>
    </w:lvl>
    <w:lvl w:ilvl="5" w:tentative="0">
      <w:start w:val="1"/>
      <w:numFmt w:val="lowerRoman"/>
      <w:lvlText w:val="%6."/>
      <w:lvlJc w:val="right"/>
      <w:pPr>
        <w:ind w:left="2362" w:hanging="420"/>
      </w:pPr>
    </w:lvl>
    <w:lvl w:ilvl="6" w:tentative="0">
      <w:start w:val="1"/>
      <w:numFmt w:val="decimal"/>
      <w:lvlText w:val="%7."/>
      <w:lvlJc w:val="left"/>
      <w:pPr>
        <w:ind w:left="2782" w:hanging="420"/>
      </w:pPr>
    </w:lvl>
    <w:lvl w:ilvl="7" w:tentative="0">
      <w:start w:val="1"/>
      <w:numFmt w:val="lowerLetter"/>
      <w:lvlText w:val="%8)"/>
      <w:lvlJc w:val="left"/>
      <w:pPr>
        <w:ind w:left="3202" w:hanging="420"/>
      </w:pPr>
    </w:lvl>
    <w:lvl w:ilvl="8" w:tentative="0">
      <w:start w:val="1"/>
      <w:numFmt w:val="lowerRoman"/>
      <w:lvlText w:val="%9."/>
      <w:lvlJc w:val="right"/>
      <w:pPr>
        <w:ind w:left="3622" w:hanging="420"/>
      </w:pPr>
    </w:lvl>
  </w:abstractNum>
  <w:abstractNum w:abstractNumId="3">
    <w:nsid w:val="033A74B8"/>
    <w:multiLevelType w:val="multilevel"/>
    <w:tmpl w:val="033A74B8"/>
    <w:lvl w:ilvl="0" w:tentative="0">
      <w:start w:val="1"/>
      <w:numFmt w:val="decimalEnclosedCircle"/>
      <w:lvlText w:val="%1"/>
      <w:lvlJc w:val="left"/>
      <w:pPr>
        <w:tabs>
          <w:tab w:val="left" w:pos="1005"/>
        </w:tabs>
        <w:ind w:left="1005" w:hanging="360"/>
      </w:pPr>
      <w:rPr>
        <w:rFonts w:hint="default" w:ascii="宋体" w:hAnsi="宋体" w:cs="宋体"/>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4">
    <w:nsid w:val="1E2F1ED9"/>
    <w:multiLevelType w:val="multilevel"/>
    <w:tmpl w:val="1E2F1ED9"/>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NmMDAxZTBjODgyYmM3MDEwYzljZDVlOTJjMjYwZTUifQ=="/>
  </w:docVars>
  <w:rsids>
    <w:rsidRoot w:val="001569B0"/>
    <w:rsid w:val="00001003"/>
    <w:rsid w:val="000013EE"/>
    <w:rsid w:val="0001700B"/>
    <w:rsid w:val="00025237"/>
    <w:rsid w:val="000471F2"/>
    <w:rsid w:val="00047CBE"/>
    <w:rsid w:val="0006268E"/>
    <w:rsid w:val="000758A0"/>
    <w:rsid w:val="0008171F"/>
    <w:rsid w:val="00084780"/>
    <w:rsid w:val="00090611"/>
    <w:rsid w:val="000A5C75"/>
    <w:rsid w:val="000B5780"/>
    <w:rsid w:val="000D3AAE"/>
    <w:rsid w:val="000D60C4"/>
    <w:rsid w:val="000F589D"/>
    <w:rsid w:val="000F774E"/>
    <w:rsid w:val="0010778B"/>
    <w:rsid w:val="00123ED3"/>
    <w:rsid w:val="00140D98"/>
    <w:rsid w:val="001553B5"/>
    <w:rsid w:val="001569B0"/>
    <w:rsid w:val="0017007D"/>
    <w:rsid w:val="001954FF"/>
    <w:rsid w:val="00195EAA"/>
    <w:rsid w:val="001A0225"/>
    <w:rsid w:val="001A288B"/>
    <w:rsid w:val="001A6F73"/>
    <w:rsid w:val="001C65D9"/>
    <w:rsid w:val="001D63DA"/>
    <w:rsid w:val="001E4825"/>
    <w:rsid w:val="001E6CBD"/>
    <w:rsid w:val="001E6E82"/>
    <w:rsid w:val="00203447"/>
    <w:rsid w:val="00236DE1"/>
    <w:rsid w:val="002420B9"/>
    <w:rsid w:val="00242F14"/>
    <w:rsid w:val="002509C5"/>
    <w:rsid w:val="00253BC8"/>
    <w:rsid w:val="00255A27"/>
    <w:rsid w:val="00263963"/>
    <w:rsid w:val="00273923"/>
    <w:rsid w:val="0027626B"/>
    <w:rsid w:val="002816A4"/>
    <w:rsid w:val="002867C4"/>
    <w:rsid w:val="002B1F35"/>
    <w:rsid w:val="002D05C5"/>
    <w:rsid w:val="002D246B"/>
    <w:rsid w:val="002D328D"/>
    <w:rsid w:val="002D6249"/>
    <w:rsid w:val="002E6115"/>
    <w:rsid w:val="002F14AF"/>
    <w:rsid w:val="003245A8"/>
    <w:rsid w:val="00332B0A"/>
    <w:rsid w:val="00332C2A"/>
    <w:rsid w:val="003360DD"/>
    <w:rsid w:val="0035520F"/>
    <w:rsid w:val="003560FC"/>
    <w:rsid w:val="00363308"/>
    <w:rsid w:val="0038348F"/>
    <w:rsid w:val="003B276D"/>
    <w:rsid w:val="003B437F"/>
    <w:rsid w:val="003C5723"/>
    <w:rsid w:val="003E1A5D"/>
    <w:rsid w:val="003E5BB0"/>
    <w:rsid w:val="003E778A"/>
    <w:rsid w:val="003F3A5E"/>
    <w:rsid w:val="003F6C9A"/>
    <w:rsid w:val="004105C6"/>
    <w:rsid w:val="00413A3A"/>
    <w:rsid w:val="00423547"/>
    <w:rsid w:val="00430884"/>
    <w:rsid w:val="00473C95"/>
    <w:rsid w:val="0047788D"/>
    <w:rsid w:val="004861A2"/>
    <w:rsid w:val="004867B2"/>
    <w:rsid w:val="004903FE"/>
    <w:rsid w:val="004968F6"/>
    <w:rsid w:val="004B03A0"/>
    <w:rsid w:val="004B04F2"/>
    <w:rsid w:val="004C0297"/>
    <w:rsid w:val="004E413B"/>
    <w:rsid w:val="004E739E"/>
    <w:rsid w:val="004E7792"/>
    <w:rsid w:val="004F38F2"/>
    <w:rsid w:val="004F4653"/>
    <w:rsid w:val="00500BFB"/>
    <w:rsid w:val="00503B0A"/>
    <w:rsid w:val="00525893"/>
    <w:rsid w:val="005328CA"/>
    <w:rsid w:val="00545508"/>
    <w:rsid w:val="00554110"/>
    <w:rsid w:val="00555B8E"/>
    <w:rsid w:val="00557A12"/>
    <w:rsid w:val="00561A81"/>
    <w:rsid w:val="00592431"/>
    <w:rsid w:val="00593B15"/>
    <w:rsid w:val="005B7F66"/>
    <w:rsid w:val="005C43C7"/>
    <w:rsid w:val="005E0F6A"/>
    <w:rsid w:val="005E1600"/>
    <w:rsid w:val="005E4E63"/>
    <w:rsid w:val="005E5FDB"/>
    <w:rsid w:val="005F0B4B"/>
    <w:rsid w:val="00600452"/>
    <w:rsid w:val="006031AF"/>
    <w:rsid w:val="006102B0"/>
    <w:rsid w:val="006119D3"/>
    <w:rsid w:val="0061703A"/>
    <w:rsid w:val="00622BB7"/>
    <w:rsid w:val="0062408B"/>
    <w:rsid w:val="0063506D"/>
    <w:rsid w:val="0063682C"/>
    <w:rsid w:val="00653E00"/>
    <w:rsid w:val="00656E87"/>
    <w:rsid w:val="00696DCD"/>
    <w:rsid w:val="006B184F"/>
    <w:rsid w:val="006B71D9"/>
    <w:rsid w:val="006D2072"/>
    <w:rsid w:val="00721DEE"/>
    <w:rsid w:val="00731BE1"/>
    <w:rsid w:val="00750DEF"/>
    <w:rsid w:val="00774FDD"/>
    <w:rsid w:val="00776089"/>
    <w:rsid w:val="00786093"/>
    <w:rsid w:val="007A1344"/>
    <w:rsid w:val="007A7CB2"/>
    <w:rsid w:val="007C2D8E"/>
    <w:rsid w:val="007C3692"/>
    <w:rsid w:val="007C4827"/>
    <w:rsid w:val="007F762F"/>
    <w:rsid w:val="00805018"/>
    <w:rsid w:val="008058B0"/>
    <w:rsid w:val="008134D6"/>
    <w:rsid w:val="00821316"/>
    <w:rsid w:val="008238D5"/>
    <w:rsid w:val="00864CAF"/>
    <w:rsid w:val="00894ECD"/>
    <w:rsid w:val="008A0EE2"/>
    <w:rsid w:val="008A192A"/>
    <w:rsid w:val="008A54AC"/>
    <w:rsid w:val="008C0793"/>
    <w:rsid w:val="008E2290"/>
    <w:rsid w:val="008E7157"/>
    <w:rsid w:val="008F5C65"/>
    <w:rsid w:val="00906B0E"/>
    <w:rsid w:val="009105DE"/>
    <w:rsid w:val="0091406F"/>
    <w:rsid w:val="00921E35"/>
    <w:rsid w:val="00922C5D"/>
    <w:rsid w:val="0093271F"/>
    <w:rsid w:val="00945767"/>
    <w:rsid w:val="0095160F"/>
    <w:rsid w:val="00954D9B"/>
    <w:rsid w:val="00970BC6"/>
    <w:rsid w:val="00973988"/>
    <w:rsid w:val="00992BAC"/>
    <w:rsid w:val="009B262F"/>
    <w:rsid w:val="009D191E"/>
    <w:rsid w:val="009D7F13"/>
    <w:rsid w:val="009F4039"/>
    <w:rsid w:val="00A01612"/>
    <w:rsid w:val="00A07AE3"/>
    <w:rsid w:val="00A26BF0"/>
    <w:rsid w:val="00A32F2D"/>
    <w:rsid w:val="00A341FE"/>
    <w:rsid w:val="00A421DF"/>
    <w:rsid w:val="00A53D83"/>
    <w:rsid w:val="00A57629"/>
    <w:rsid w:val="00A8516B"/>
    <w:rsid w:val="00AA428A"/>
    <w:rsid w:val="00AB31E6"/>
    <w:rsid w:val="00AD5DD9"/>
    <w:rsid w:val="00AE078B"/>
    <w:rsid w:val="00B021AC"/>
    <w:rsid w:val="00B02EDB"/>
    <w:rsid w:val="00B040CA"/>
    <w:rsid w:val="00B245EA"/>
    <w:rsid w:val="00B251C5"/>
    <w:rsid w:val="00B36E2D"/>
    <w:rsid w:val="00B53866"/>
    <w:rsid w:val="00B66321"/>
    <w:rsid w:val="00B66464"/>
    <w:rsid w:val="00B84C78"/>
    <w:rsid w:val="00B86577"/>
    <w:rsid w:val="00BC0A4E"/>
    <w:rsid w:val="00BC3D72"/>
    <w:rsid w:val="00BD0DCA"/>
    <w:rsid w:val="00BD6C75"/>
    <w:rsid w:val="00BE2887"/>
    <w:rsid w:val="00BE7D96"/>
    <w:rsid w:val="00BF12B6"/>
    <w:rsid w:val="00C0163C"/>
    <w:rsid w:val="00C35CBD"/>
    <w:rsid w:val="00C40E1E"/>
    <w:rsid w:val="00C41D7A"/>
    <w:rsid w:val="00C455CB"/>
    <w:rsid w:val="00C504BE"/>
    <w:rsid w:val="00C51973"/>
    <w:rsid w:val="00C70381"/>
    <w:rsid w:val="00CA1E06"/>
    <w:rsid w:val="00CA3087"/>
    <w:rsid w:val="00CB056F"/>
    <w:rsid w:val="00CB1A8F"/>
    <w:rsid w:val="00D133B9"/>
    <w:rsid w:val="00D25122"/>
    <w:rsid w:val="00D41235"/>
    <w:rsid w:val="00D51330"/>
    <w:rsid w:val="00D5331D"/>
    <w:rsid w:val="00D53808"/>
    <w:rsid w:val="00D54FAF"/>
    <w:rsid w:val="00D608E5"/>
    <w:rsid w:val="00D63F0C"/>
    <w:rsid w:val="00D75CEF"/>
    <w:rsid w:val="00D76D86"/>
    <w:rsid w:val="00D91F5A"/>
    <w:rsid w:val="00DA3CAB"/>
    <w:rsid w:val="00DA6576"/>
    <w:rsid w:val="00DC100D"/>
    <w:rsid w:val="00DC5622"/>
    <w:rsid w:val="00DC61B5"/>
    <w:rsid w:val="00DC64BE"/>
    <w:rsid w:val="00DE2691"/>
    <w:rsid w:val="00E06D25"/>
    <w:rsid w:val="00E11A3F"/>
    <w:rsid w:val="00E236CC"/>
    <w:rsid w:val="00E34BF2"/>
    <w:rsid w:val="00E475F7"/>
    <w:rsid w:val="00E52A8B"/>
    <w:rsid w:val="00E57E7E"/>
    <w:rsid w:val="00E735FA"/>
    <w:rsid w:val="00E77A23"/>
    <w:rsid w:val="00E96A47"/>
    <w:rsid w:val="00E96E4B"/>
    <w:rsid w:val="00EA54FA"/>
    <w:rsid w:val="00EC4C22"/>
    <w:rsid w:val="00ED3333"/>
    <w:rsid w:val="00EE2741"/>
    <w:rsid w:val="00EE5B69"/>
    <w:rsid w:val="00EF1A3E"/>
    <w:rsid w:val="00F11BA5"/>
    <w:rsid w:val="00F121D1"/>
    <w:rsid w:val="00F2051F"/>
    <w:rsid w:val="00F35BD8"/>
    <w:rsid w:val="00F36436"/>
    <w:rsid w:val="00F66035"/>
    <w:rsid w:val="00F70BAD"/>
    <w:rsid w:val="00F77EFA"/>
    <w:rsid w:val="00F82357"/>
    <w:rsid w:val="00F82D23"/>
    <w:rsid w:val="00F91581"/>
    <w:rsid w:val="00FA2B3C"/>
    <w:rsid w:val="00FA3EFC"/>
    <w:rsid w:val="00FB1109"/>
    <w:rsid w:val="00FB4F92"/>
    <w:rsid w:val="00FB66E5"/>
    <w:rsid w:val="00FE1AE5"/>
    <w:rsid w:val="00FE3C30"/>
    <w:rsid w:val="00FE45A4"/>
    <w:rsid w:val="014868D6"/>
    <w:rsid w:val="014B6DB6"/>
    <w:rsid w:val="014B7D31"/>
    <w:rsid w:val="0179546C"/>
    <w:rsid w:val="01D6466C"/>
    <w:rsid w:val="03BE360A"/>
    <w:rsid w:val="040C7642"/>
    <w:rsid w:val="04293CFB"/>
    <w:rsid w:val="0486156C"/>
    <w:rsid w:val="049C0C5D"/>
    <w:rsid w:val="04ED321B"/>
    <w:rsid w:val="04F5403C"/>
    <w:rsid w:val="051931EE"/>
    <w:rsid w:val="059C0ED7"/>
    <w:rsid w:val="06127A7D"/>
    <w:rsid w:val="069A2306"/>
    <w:rsid w:val="06F7056F"/>
    <w:rsid w:val="06FC5918"/>
    <w:rsid w:val="08681C10"/>
    <w:rsid w:val="08AB5379"/>
    <w:rsid w:val="08C17F84"/>
    <w:rsid w:val="08E83CAC"/>
    <w:rsid w:val="09605449"/>
    <w:rsid w:val="0A0A57FB"/>
    <w:rsid w:val="0A1724EC"/>
    <w:rsid w:val="0A394593"/>
    <w:rsid w:val="0A570314"/>
    <w:rsid w:val="0AB135FF"/>
    <w:rsid w:val="0B542216"/>
    <w:rsid w:val="0B6C2AAA"/>
    <w:rsid w:val="0B725406"/>
    <w:rsid w:val="0B8C1B18"/>
    <w:rsid w:val="0C082BF2"/>
    <w:rsid w:val="0C1C1816"/>
    <w:rsid w:val="0C47780E"/>
    <w:rsid w:val="0D660E79"/>
    <w:rsid w:val="0D911EE0"/>
    <w:rsid w:val="0ECC778E"/>
    <w:rsid w:val="0ED65CAC"/>
    <w:rsid w:val="0F1839CA"/>
    <w:rsid w:val="0F715CCF"/>
    <w:rsid w:val="0FDD1F1C"/>
    <w:rsid w:val="10177124"/>
    <w:rsid w:val="1025597B"/>
    <w:rsid w:val="105F2674"/>
    <w:rsid w:val="10790FE5"/>
    <w:rsid w:val="107A2A82"/>
    <w:rsid w:val="10817182"/>
    <w:rsid w:val="10C34D56"/>
    <w:rsid w:val="113072D7"/>
    <w:rsid w:val="11815416"/>
    <w:rsid w:val="119231F9"/>
    <w:rsid w:val="11D9617B"/>
    <w:rsid w:val="11DC1DA7"/>
    <w:rsid w:val="127A08CF"/>
    <w:rsid w:val="131925DE"/>
    <w:rsid w:val="13581385"/>
    <w:rsid w:val="138E444B"/>
    <w:rsid w:val="13DE29B0"/>
    <w:rsid w:val="14A775EA"/>
    <w:rsid w:val="14D94773"/>
    <w:rsid w:val="15586EC4"/>
    <w:rsid w:val="156008E3"/>
    <w:rsid w:val="16010BA7"/>
    <w:rsid w:val="16310DCE"/>
    <w:rsid w:val="16322E04"/>
    <w:rsid w:val="16362534"/>
    <w:rsid w:val="170571B0"/>
    <w:rsid w:val="17355AE1"/>
    <w:rsid w:val="178F4070"/>
    <w:rsid w:val="17C70888"/>
    <w:rsid w:val="18555389"/>
    <w:rsid w:val="18645815"/>
    <w:rsid w:val="18693A81"/>
    <w:rsid w:val="19485BB8"/>
    <w:rsid w:val="19FB42AB"/>
    <w:rsid w:val="1A257B29"/>
    <w:rsid w:val="1A2E515C"/>
    <w:rsid w:val="1A6F0BB7"/>
    <w:rsid w:val="1A974D27"/>
    <w:rsid w:val="1A9A7650"/>
    <w:rsid w:val="1B404651"/>
    <w:rsid w:val="1B8D7D37"/>
    <w:rsid w:val="1BEA5747"/>
    <w:rsid w:val="1BF65EFA"/>
    <w:rsid w:val="1C343C9E"/>
    <w:rsid w:val="1CBC2DA9"/>
    <w:rsid w:val="1CEC2B3E"/>
    <w:rsid w:val="1D0B655C"/>
    <w:rsid w:val="1D2C4692"/>
    <w:rsid w:val="1D734A0C"/>
    <w:rsid w:val="1DFB5F54"/>
    <w:rsid w:val="1E4F4610"/>
    <w:rsid w:val="1E6A01BF"/>
    <w:rsid w:val="1E707ECB"/>
    <w:rsid w:val="2020618A"/>
    <w:rsid w:val="202A06D6"/>
    <w:rsid w:val="20E35871"/>
    <w:rsid w:val="21567046"/>
    <w:rsid w:val="217B4CED"/>
    <w:rsid w:val="21972AA0"/>
    <w:rsid w:val="22334283"/>
    <w:rsid w:val="2288247A"/>
    <w:rsid w:val="22AC45A6"/>
    <w:rsid w:val="23DF51AB"/>
    <w:rsid w:val="248655AA"/>
    <w:rsid w:val="24C3687B"/>
    <w:rsid w:val="24FF52FB"/>
    <w:rsid w:val="255C4264"/>
    <w:rsid w:val="259124D5"/>
    <w:rsid w:val="25D00ACE"/>
    <w:rsid w:val="25F211C5"/>
    <w:rsid w:val="2629095F"/>
    <w:rsid w:val="276252F3"/>
    <w:rsid w:val="279D2F43"/>
    <w:rsid w:val="28492D10"/>
    <w:rsid w:val="28A76D6D"/>
    <w:rsid w:val="28AB1AFF"/>
    <w:rsid w:val="28B12803"/>
    <w:rsid w:val="28E62EF9"/>
    <w:rsid w:val="292044B0"/>
    <w:rsid w:val="29DA269C"/>
    <w:rsid w:val="29F033EF"/>
    <w:rsid w:val="2A8B3997"/>
    <w:rsid w:val="2BCE6231"/>
    <w:rsid w:val="2BF308C4"/>
    <w:rsid w:val="2D58341B"/>
    <w:rsid w:val="2D915768"/>
    <w:rsid w:val="2D946079"/>
    <w:rsid w:val="2E086395"/>
    <w:rsid w:val="2E776CB2"/>
    <w:rsid w:val="2E9948C0"/>
    <w:rsid w:val="2F2F7506"/>
    <w:rsid w:val="2FAA0CF1"/>
    <w:rsid w:val="30286057"/>
    <w:rsid w:val="30372C8D"/>
    <w:rsid w:val="307F31A4"/>
    <w:rsid w:val="30A316A4"/>
    <w:rsid w:val="30A532D8"/>
    <w:rsid w:val="30D7536C"/>
    <w:rsid w:val="30F1439C"/>
    <w:rsid w:val="31244B45"/>
    <w:rsid w:val="31AF717C"/>
    <w:rsid w:val="31B45C6F"/>
    <w:rsid w:val="32024E86"/>
    <w:rsid w:val="323D35C1"/>
    <w:rsid w:val="325D52DC"/>
    <w:rsid w:val="32A52895"/>
    <w:rsid w:val="32AC3044"/>
    <w:rsid w:val="33204932"/>
    <w:rsid w:val="33341FEE"/>
    <w:rsid w:val="33972172"/>
    <w:rsid w:val="33D27588"/>
    <w:rsid w:val="33D51255"/>
    <w:rsid w:val="33D80194"/>
    <w:rsid w:val="33F50CB2"/>
    <w:rsid w:val="33FD4FA4"/>
    <w:rsid w:val="3488745B"/>
    <w:rsid w:val="34A87D82"/>
    <w:rsid w:val="34E6283D"/>
    <w:rsid w:val="35333637"/>
    <w:rsid w:val="3552463B"/>
    <w:rsid w:val="35660FCE"/>
    <w:rsid w:val="35A874EB"/>
    <w:rsid w:val="35C00B5B"/>
    <w:rsid w:val="35CD1307"/>
    <w:rsid w:val="35EC2D31"/>
    <w:rsid w:val="36364D84"/>
    <w:rsid w:val="363B0FB3"/>
    <w:rsid w:val="36CF1B3C"/>
    <w:rsid w:val="374161FE"/>
    <w:rsid w:val="37AD1E67"/>
    <w:rsid w:val="381A5FF7"/>
    <w:rsid w:val="389C45AA"/>
    <w:rsid w:val="399D1665"/>
    <w:rsid w:val="3A305611"/>
    <w:rsid w:val="3B025B2A"/>
    <w:rsid w:val="3B666687"/>
    <w:rsid w:val="3B681C0B"/>
    <w:rsid w:val="3B7631B2"/>
    <w:rsid w:val="3B8F2A54"/>
    <w:rsid w:val="3BA91A83"/>
    <w:rsid w:val="3BCA70A5"/>
    <w:rsid w:val="3C1772DF"/>
    <w:rsid w:val="3C1C686F"/>
    <w:rsid w:val="3C355B42"/>
    <w:rsid w:val="3C7F7CBD"/>
    <w:rsid w:val="3C981355"/>
    <w:rsid w:val="3CA04AFF"/>
    <w:rsid w:val="3CD41364"/>
    <w:rsid w:val="3DA61997"/>
    <w:rsid w:val="3DFF6BF7"/>
    <w:rsid w:val="3E1371BB"/>
    <w:rsid w:val="3E16521B"/>
    <w:rsid w:val="3E57542F"/>
    <w:rsid w:val="3ECC63B9"/>
    <w:rsid w:val="3F19736B"/>
    <w:rsid w:val="3F1E6E6D"/>
    <w:rsid w:val="3F632CDC"/>
    <w:rsid w:val="40071D65"/>
    <w:rsid w:val="400E22FB"/>
    <w:rsid w:val="401C4AEF"/>
    <w:rsid w:val="40424CAC"/>
    <w:rsid w:val="40B62FDA"/>
    <w:rsid w:val="40CB6D8B"/>
    <w:rsid w:val="40DF463B"/>
    <w:rsid w:val="413E130B"/>
    <w:rsid w:val="41675BD4"/>
    <w:rsid w:val="41870188"/>
    <w:rsid w:val="41BE0726"/>
    <w:rsid w:val="420A3106"/>
    <w:rsid w:val="42142DCB"/>
    <w:rsid w:val="423C0E97"/>
    <w:rsid w:val="42D8691F"/>
    <w:rsid w:val="42EB3C66"/>
    <w:rsid w:val="439B2A45"/>
    <w:rsid w:val="441F0ECD"/>
    <w:rsid w:val="444A2328"/>
    <w:rsid w:val="449E5491"/>
    <w:rsid w:val="44BE3998"/>
    <w:rsid w:val="44C4421D"/>
    <w:rsid w:val="45475813"/>
    <w:rsid w:val="45CD7002"/>
    <w:rsid w:val="461F7CE2"/>
    <w:rsid w:val="46345196"/>
    <w:rsid w:val="47160A32"/>
    <w:rsid w:val="477552AD"/>
    <w:rsid w:val="48217291"/>
    <w:rsid w:val="48280819"/>
    <w:rsid w:val="484B7264"/>
    <w:rsid w:val="49200EFF"/>
    <w:rsid w:val="49821651"/>
    <w:rsid w:val="4A024309"/>
    <w:rsid w:val="4A5538CD"/>
    <w:rsid w:val="4A873D23"/>
    <w:rsid w:val="4B1A06F3"/>
    <w:rsid w:val="4B2A6B83"/>
    <w:rsid w:val="4BE17463"/>
    <w:rsid w:val="4C064DA0"/>
    <w:rsid w:val="4C2839D8"/>
    <w:rsid w:val="4C3C35D2"/>
    <w:rsid w:val="4C5A3058"/>
    <w:rsid w:val="4CEE62DB"/>
    <w:rsid w:val="4D183853"/>
    <w:rsid w:val="4D3D554A"/>
    <w:rsid w:val="4D99525E"/>
    <w:rsid w:val="4DB44FC5"/>
    <w:rsid w:val="4DEC7B28"/>
    <w:rsid w:val="4E542C6C"/>
    <w:rsid w:val="4E622728"/>
    <w:rsid w:val="4E727211"/>
    <w:rsid w:val="4E8F6626"/>
    <w:rsid w:val="4EF163FE"/>
    <w:rsid w:val="4F6E3703"/>
    <w:rsid w:val="50451A40"/>
    <w:rsid w:val="50BD2394"/>
    <w:rsid w:val="50D22F08"/>
    <w:rsid w:val="51C70EA9"/>
    <w:rsid w:val="51F17946"/>
    <w:rsid w:val="51F660E8"/>
    <w:rsid w:val="520239B2"/>
    <w:rsid w:val="527549CA"/>
    <w:rsid w:val="52B11A81"/>
    <w:rsid w:val="530103EA"/>
    <w:rsid w:val="53414504"/>
    <w:rsid w:val="53BD0D81"/>
    <w:rsid w:val="54765AEE"/>
    <w:rsid w:val="54967D01"/>
    <w:rsid w:val="5499740F"/>
    <w:rsid w:val="55246C59"/>
    <w:rsid w:val="55886798"/>
    <w:rsid w:val="559D7335"/>
    <w:rsid w:val="56C97A64"/>
    <w:rsid w:val="56ED3294"/>
    <w:rsid w:val="575834C9"/>
    <w:rsid w:val="575907F5"/>
    <w:rsid w:val="57A108B0"/>
    <w:rsid w:val="57BD1EB9"/>
    <w:rsid w:val="57CC0FC7"/>
    <w:rsid w:val="588400F4"/>
    <w:rsid w:val="58A331DB"/>
    <w:rsid w:val="593C2292"/>
    <w:rsid w:val="59B00907"/>
    <w:rsid w:val="5A1531CD"/>
    <w:rsid w:val="5A2E7499"/>
    <w:rsid w:val="5A964398"/>
    <w:rsid w:val="5AA35CD6"/>
    <w:rsid w:val="5ADB3764"/>
    <w:rsid w:val="5B773733"/>
    <w:rsid w:val="5C397D83"/>
    <w:rsid w:val="5C5D08A2"/>
    <w:rsid w:val="5C7D3A52"/>
    <w:rsid w:val="5D805C4A"/>
    <w:rsid w:val="5D941F5F"/>
    <w:rsid w:val="5DB9374A"/>
    <w:rsid w:val="5DF77510"/>
    <w:rsid w:val="5E20759F"/>
    <w:rsid w:val="5E244E0E"/>
    <w:rsid w:val="5F0F2A1C"/>
    <w:rsid w:val="5F95080E"/>
    <w:rsid w:val="60375808"/>
    <w:rsid w:val="60497ED3"/>
    <w:rsid w:val="608245CC"/>
    <w:rsid w:val="60DF5334"/>
    <w:rsid w:val="617869AC"/>
    <w:rsid w:val="61AD0EDE"/>
    <w:rsid w:val="61BA75DA"/>
    <w:rsid w:val="61C251E9"/>
    <w:rsid w:val="637A67E0"/>
    <w:rsid w:val="63A62985"/>
    <w:rsid w:val="63F407AD"/>
    <w:rsid w:val="640C6827"/>
    <w:rsid w:val="6483791E"/>
    <w:rsid w:val="649858D2"/>
    <w:rsid w:val="64A801B6"/>
    <w:rsid w:val="65950F58"/>
    <w:rsid w:val="65C7345A"/>
    <w:rsid w:val="65CE3C00"/>
    <w:rsid w:val="66094DDC"/>
    <w:rsid w:val="66AD4244"/>
    <w:rsid w:val="671822BE"/>
    <w:rsid w:val="67FE551B"/>
    <w:rsid w:val="681B0213"/>
    <w:rsid w:val="683664BA"/>
    <w:rsid w:val="685A6F8E"/>
    <w:rsid w:val="689E42BA"/>
    <w:rsid w:val="68A53B58"/>
    <w:rsid w:val="68CC5E33"/>
    <w:rsid w:val="68D75DBC"/>
    <w:rsid w:val="6946396A"/>
    <w:rsid w:val="69483675"/>
    <w:rsid w:val="6ABC491F"/>
    <w:rsid w:val="6B050FDD"/>
    <w:rsid w:val="6B2307FD"/>
    <w:rsid w:val="6B9A16B0"/>
    <w:rsid w:val="6B9B1861"/>
    <w:rsid w:val="6BA430D4"/>
    <w:rsid w:val="6BC535EA"/>
    <w:rsid w:val="6BF84629"/>
    <w:rsid w:val="6C0E5989"/>
    <w:rsid w:val="6C5506B8"/>
    <w:rsid w:val="6C7166E4"/>
    <w:rsid w:val="6CA642D3"/>
    <w:rsid w:val="6CD8170A"/>
    <w:rsid w:val="6D866763"/>
    <w:rsid w:val="6D917A9B"/>
    <w:rsid w:val="6D977D25"/>
    <w:rsid w:val="6DA705BD"/>
    <w:rsid w:val="6DA7736A"/>
    <w:rsid w:val="6DC4348E"/>
    <w:rsid w:val="6DD40792"/>
    <w:rsid w:val="6E7B0778"/>
    <w:rsid w:val="6F433611"/>
    <w:rsid w:val="6FA663F0"/>
    <w:rsid w:val="702F613F"/>
    <w:rsid w:val="709366CE"/>
    <w:rsid w:val="70D55169"/>
    <w:rsid w:val="71445DD4"/>
    <w:rsid w:val="726B4A58"/>
    <w:rsid w:val="72CA4015"/>
    <w:rsid w:val="73152BC1"/>
    <w:rsid w:val="733A1083"/>
    <w:rsid w:val="73700BDB"/>
    <w:rsid w:val="737669FC"/>
    <w:rsid w:val="73C5163E"/>
    <w:rsid w:val="73DE2D90"/>
    <w:rsid w:val="749E7BBD"/>
    <w:rsid w:val="74E455C8"/>
    <w:rsid w:val="754206C3"/>
    <w:rsid w:val="759A65A9"/>
    <w:rsid w:val="75A20241"/>
    <w:rsid w:val="75BE3F05"/>
    <w:rsid w:val="7613572C"/>
    <w:rsid w:val="7619496A"/>
    <w:rsid w:val="762E04ED"/>
    <w:rsid w:val="76C73464"/>
    <w:rsid w:val="770B16B4"/>
    <w:rsid w:val="77EF1307"/>
    <w:rsid w:val="783C0FED"/>
    <w:rsid w:val="797A5272"/>
    <w:rsid w:val="7A28736F"/>
    <w:rsid w:val="7A2F7467"/>
    <w:rsid w:val="7A5A7A29"/>
    <w:rsid w:val="7A6E00EA"/>
    <w:rsid w:val="7AC666E5"/>
    <w:rsid w:val="7AD90E2B"/>
    <w:rsid w:val="7AEE270F"/>
    <w:rsid w:val="7AF86D2C"/>
    <w:rsid w:val="7AFD57B8"/>
    <w:rsid w:val="7B0B00B8"/>
    <w:rsid w:val="7B467280"/>
    <w:rsid w:val="7B5176BF"/>
    <w:rsid w:val="7B611373"/>
    <w:rsid w:val="7B6B7DD6"/>
    <w:rsid w:val="7BE14791"/>
    <w:rsid w:val="7C662EE9"/>
    <w:rsid w:val="7CA80560"/>
    <w:rsid w:val="7D3B6123"/>
    <w:rsid w:val="7D5F01A3"/>
    <w:rsid w:val="7D602605"/>
    <w:rsid w:val="7D6679D2"/>
    <w:rsid w:val="7DA84427"/>
    <w:rsid w:val="7DF84753"/>
    <w:rsid w:val="7E361F47"/>
    <w:rsid w:val="7E462FD2"/>
    <w:rsid w:val="7E5002A1"/>
    <w:rsid w:val="7E8A4DE0"/>
    <w:rsid w:val="7EFC7B34"/>
    <w:rsid w:val="7F4A1653"/>
    <w:rsid w:val="7F825D8F"/>
    <w:rsid w:val="7FF66D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numPr>
        <w:ilvl w:val="0"/>
        <w:numId w:val="2"/>
      </w:numPr>
      <w:ind w:right="100" w:rightChars="100" w:firstLine="0"/>
      <w:outlineLvl w:val="2"/>
    </w:pPr>
    <w:rPr>
      <w:b/>
      <w:sz w:val="28"/>
    </w:rPr>
  </w:style>
  <w:style w:type="paragraph" w:styleId="5">
    <w:name w:val="heading 4"/>
    <w:basedOn w:val="1"/>
    <w:next w:val="1"/>
    <w:semiHidden/>
    <w:unhideWhenUsed/>
    <w:qFormat/>
    <w:uiPriority w:val="0"/>
    <w:pPr>
      <w:spacing w:beforeAutospacing="1" w:after="0" w:afterAutospacing="1"/>
      <w:jc w:val="left"/>
      <w:outlineLvl w:val="3"/>
    </w:pPr>
    <w:rPr>
      <w:rFonts w:hint="eastAsia" w:ascii="宋体" w:hAnsi="宋体" w:eastAsia="宋体" w:cs="Times New Roman"/>
      <w:b/>
      <w:bCs/>
      <w:kern w:val="0"/>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adjustRightInd w:val="0"/>
      <w:spacing w:after="0" w:line="360" w:lineRule="atLeast"/>
      <w:ind w:firstLine="420"/>
      <w:jc w:val="left"/>
      <w:textAlignment w:val="baseline"/>
    </w:pPr>
    <w:rPr>
      <w:rFonts w:ascii="Calibri" w:hAnsi="Calibri" w:eastAsia="宋体" w:cs="Times New Roman"/>
      <w:kern w:val="0"/>
      <w:sz w:val="25"/>
      <w:szCs w:val="20"/>
    </w:rPr>
  </w:style>
  <w:style w:type="paragraph" w:styleId="7">
    <w:name w:val="Document Map"/>
    <w:basedOn w:val="1"/>
    <w:link w:val="28"/>
    <w:qFormat/>
    <w:uiPriority w:val="0"/>
    <w:rPr>
      <w:rFonts w:ascii="宋体" w:eastAsia="宋体"/>
      <w:sz w:val="18"/>
      <w:szCs w:val="18"/>
    </w:rPr>
  </w:style>
  <w:style w:type="paragraph" w:styleId="8">
    <w:name w:val="Body Text Indent"/>
    <w:basedOn w:val="1"/>
    <w:qFormat/>
    <w:uiPriority w:val="0"/>
    <w:pPr>
      <w:spacing w:after="120"/>
      <w:ind w:left="420" w:leftChars="200"/>
    </w:pPr>
    <w:rPr>
      <w:kern w:val="0"/>
      <w:sz w:val="20"/>
    </w:rPr>
  </w:style>
  <w:style w:type="paragraph" w:styleId="9">
    <w:name w:val="Date"/>
    <w:basedOn w:val="1"/>
    <w:next w:val="1"/>
    <w:qFormat/>
    <w:uiPriority w:val="0"/>
    <w:rPr>
      <w:sz w:val="24"/>
      <w:szCs w:val="20"/>
    </w:rPr>
  </w:style>
  <w:style w:type="paragraph" w:styleId="10">
    <w:name w:val="Balloon Text"/>
    <w:basedOn w:val="1"/>
    <w:link w:val="31"/>
    <w:qFormat/>
    <w:uiPriority w:val="0"/>
    <w:pPr>
      <w:spacing w:after="0" w:line="240" w:lineRule="auto"/>
    </w:pPr>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link w:val="30"/>
    <w:qFormat/>
    <w:uiPriority w:val="99"/>
    <w:pPr>
      <w:pBdr>
        <w:bottom w:val="single" w:color="auto" w:sz="6" w:space="1"/>
      </w:pBdr>
      <w:tabs>
        <w:tab w:val="center" w:pos="4153"/>
        <w:tab w:val="right" w:pos="8306"/>
      </w:tabs>
      <w:snapToGrid w:val="0"/>
      <w:jc w:val="center"/>
    </w:pPr>
    <w:rPr>
      <w:rFonts w:ascii="Times New Roman" w:hAnsi="Times New Roman" w:eastAsia="宋体"/>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100" w:beforeAutospacing="1" w:after="100" w:afterAutospacing="1"/>
      <w:jc w:val="left"/>
    </w:pPr>
    <w:rPr>
      <w:rFonts w:cs="Times New Roman"/>
      <w:kern w:val="0"/>
      <w:sz w:val="24"/>
    </w:rPr>
  </w:style>
  <w:style w:type="paragraph" w:styleId="16">
    <w:name w:val="Body Text First Indent 2"/>
    <w:basedOn w:val="8"/>
    <w:unhideWhenUsed/>
    <w:qFormat/>
    <w:uiPriority w:val="99"/>
    <w:pPr>
      <w:spacing w:before="50"/>
      <w:ind w:firstLine="20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page number"/>
    <w:basedOn w:val="19"/>
    <w:qFormat/>
    <w:uiPriority w:val="0"/>
  </w:style>
  <w:style w:type="character" w:styleId="22">
    <w:name w:val="Emphasis"/>
    <w:basedOn w:val="19"/>
    <w:qFormat/>
    <w:uiPriority w:val="0"/>
    <w:rPr>
      <w:i/>
    </w:rPr>
  </w:style>
  <w:style w:type="character" w:styleId="23">
    <w:name w:val="Hyperlink"/>
    <w:basedOn w:val="19"/>
    <w:qFormat/>
    <w:uiPriority w:val="0"/>
    <w:rPr>
      <w:color w:val="0000FF"/>
      <w:u w:val="single"/>
    </w:rPr>
  </w:style>
  <w:style w:type="paragraph" w:customStyle="1" w:styleId="24">
    <w:name w:val="222"/>
    <w:basedOn w:val="1"/>
    <w:qFormat/>
    <w:uiPriority w:val="0"/>
    <w:pPr>
      <w:spacing w:line="560" w:lineRule="exact"/>
      <w:ind w:firstLine="643" w:firstLineChars="200"/>
    </w:pPr>
    <w:rPr>
      <w:rFonts w:ascii="Times New Roman" w:hAnsi="Times New Roman" w:eastAsia="宋体"/>
      <w:sz w:val="24"/>
    </w:rPr>
  </w:style>
  <w:style w:type="character" w:customStyle="1" w:styleId="25">
    <w:name w:val="font31"/>
    <w:basedOn w:val="19"/>
    <w:qFormat/>
    <w:uiPriority w:val="0"/>
    <w:rPr>
      <w:rFonts w:hint="eastAsia" w:ascii="宋体" w:hAnsi="宋体" w:eastAsia="宋体" w:cs="宋体"/>
      <w:color w:val="000000"/>
      <w:sz w:val="21"/>
      <w:szCs w:val="21"/>
      <w:u w:val="single"/>
    </w:rPr>
  </w:style>
  <w:style w:type="character" w:customStyle="1" w:styleId="26">
    <w:name w:val="font01"/>
    <w:basedOn w:val="19"/>
    <w:qFormat/>
    <w:uiPriority w:val="0"/>
    <w:rPr>
      <w:rFonts w:hint="eastAsia" w:ascii="宋体" w:hAnsi="宋体" w:eastAsia="宋体" w:cs="宋体"/>
      <w:color w:val="0000FF"/>
      <w:sz w:val="21"/>
      <w:szCs w:val="21"/>
      <w:u w:val="single"/>
    </w:rPr>
  </w:style>
  <w:style w:type="paragraph" w:customStyle="1" w:styleId="27">
    <w:name w:val="表格文字"/>
    <w:basedOn w:val="1"/>
    <w:qFormat/>
    <w:uiPriority w:val="0"/>
    <w:pPr>
      <w:widowControl/>
      <w:jc w:val="center"/>
    </w:pPr>
    <w:rPr>
      <w:rFonts w:ascii="Calibri" w:hAnsi="Calibri"/>
      <w:color w:val="000000"/>
      <w:kern w:val="0"/>
    </w:rPr>
  </w:style>
  <w:style w:type="character" w:customStyle="1" w:styleId="28">
    <w:name w:val="文档结构图 Char"/>
    <w:basedOn w:val="19"/>
    <w:link w:val="7"/>
    <w:qFormat/>
    <w:uiPriority w:val="0"/>
    <w:rPr>
      <w:rFonts w:ascii="宋体" w:hAnsiTheme="minorHAnsi" w:cstheme="minorBidi"/>
      <w:kern w:val="2"/>
      <w:sz w:val="18"/>
      <w:szCs w:val="18"/>
    </w:rPr>
  </w:style>
  <w:style w:type="paragraph" w:customStyle="1" w:styleId="29">
    <w:name w:val="样式 标题 2二级标题标题 （一） + Times New Roman 小三 两端对齐 段前: 6 磅 段后: 0 ...1"/>
    <w:basedOn w:val="3"/>
    <w:qFormat/>
    <w:uiPriority w:val="0"/>
    <w:pPr>
      <w:widowControl/>
      <w:spacing w:line="560" w:lineRule="exact"/>
    </w:pPr>
    <w:rPr>
      <w:rFonts w:ascii="Times New Roman" w:hAnsi="Times New Roman" w:eastAsia="宋体" w:cs="宋体"/>
      <w:kern w:val="0"/>
      <w:sz w:val="28"/>
      <w:szCs w:val="20"/>
    </w:rPr>
  </w:style>
  <w:style w:type="character" w:customStyle="1" w:styleId="30">
    <w:name w:val="页眉 Char"/>
    <w:basedOn w:val="19"/>
    <w:link w:val="12"/>
    <w:qFormat/>
    <w:uiPriority w:val="99"/>
    <w:rPr>
      <w:rFonts w:cstheme="minorBidi"/>
      <w:kern w:val="2"/>
      <w:sz w:val="18"/>
      <w:szCs w:val="18"/>
    </w:rPr>
  </w:style>
  <w:style w:type="character" w:customStyle="1" w:styleId="31">
    <w:name w:val="批注框文本 Char"/>
    <w:basedOn w:val="19"/>
    <w:link w:val="10"/>
    <w:qFormat/>
    <w:uiPriority w:val="0"/>
    <w:rPr>
      <w:rFonts w:asciiTheme="minorHAnsi" w:hAnsiTheme="minorHAnsi" w:eastAsiaTheme="minorEastAsia" w:cstheme="minorBidi"/>
      <w:kern w:val="2"/>
      <w:sz w:val="18"/>
      <w:szCs w:val="18"/>
    </w:rPr>
  </w:style>
  <w:style w:type="paragraph" w:styleId="32">
    <w:name w:val="List Paragraph"/>
    <w:basedOn w:val="1"/>
    <w:unhideWhenUsed/>
    <w:qFormat/>
    <w:uiPriority w:val="99"/>
    <w:pPr>
      <w:ind w:firstLine="420" w:firstLineChars="200"/>
    </w:pPr>
  </w:style>
  <w:style w:type="paragraph" w:customStyle="1" w:styleId="33">
    <w:name w:val="2"/>
    <w:basedOn w:val="1"/>
    <w:next w:val="15"/>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33FDEE-E588-418D-95D0-0ABA3B7C889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2970</Words>
  <Characters>3266</Characters>
  <Lines>44</Lines>
  <Paragraphs>12</Paragraphs>
  <TotalTime>50</TotalTime>
  <ScaleCrop>false</ScaleCrop>
  <LinksUpToDate>false</LinksUpToDate>
  <CharactersWithSpaces>3294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2018-05-28T10:32:00Z</dcterms:created>
  <dc:creator>浙江省住建厅3号</dc:creator>
  <cp:lastModifiedBy>Administrator</cp:lastModifiedBy>
  <cp:lastPrinted>2024-07-24T06:52:00Z</cp:lastPrinted>
  <dcterms:modified xsi:type="dcterms:W3CDTF">2025-04-28T06:20:56Z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A9DAC8591C7546828972A527B0BA3238</vt:lpwstr>
  </property>
  <property fmtid="{D5CDD505-2E9C-101B-9397-08002B2CF9AE}" pid="4" name="KSOTemplateDocerSaveRecord">
    <vt:lpwstr>eyJoZGlkIjoiY2VlYTMxYjBjMDhlYmM3OWNlMzBlMjU3YmVkZjExNTQifQ==</vt:lpwstr>
  </property>
</Properties>
</file>