
<file path=[Content_Types].xml><?xml version="1.0" encoding="utf-8"?>
<Types xmlns="http://schemas.openxmlformats.org/package/2006/content-types">
  <Default Extension="xml" ContentType="application/xml"/>
  <Default Extension="jpeg" ContentType="image/jpeg"/>
  <Default Extension="JPG" ContentType="image/.jpg"/>
  <Default Extension="tiff" ContentType="image/tif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9BD50C">
      <w:pPr>
        <w:spacing w:after="0" w:line="560" w:lineRule="exact"/>
        <w:jc w:val="center"/>
        <w:rPr>
          <w:rFonts w:ascii="仿宋" w:hAnsi="仿宋" w:eastAsia="仿宋" w:cstheme="minorEastAsia"/>
          <w:b/>
          <w:sz w:val="30"/>
          <w:szCs w:val="30"/>
        </w:rPr>
      </w:pPr>
      <w:bookmarkStart w:id="0" w:name="_Toc13206"/>
      <w:r>
        <w:rPr>
          <w:rFonts w:hint="eastAsia" w:ascii="仿宋" w:hAnsi="仿宋" w:eastAsia="仿宋" w:cstheme="minorEastAsia"/>
          <w:b/>
          <w:sz w:val="30"/>
          <w:szCs w:val="30"/>
        </w:rPr>
        <w:t>无极县</w:t>
      </w:r>
      <w:r>
        <w:rPr>
          <w:rFonts w:hint="eastAsia" w:ascii="仿宋" w:hAnsi="仿宋" w:eastAsia="仿宋" w:cstheme="minorEastAsia"/>
          <w:b/>
          <w:sz w:val="30"/>
          <w:szCs w:val="30"/>
          <w:lang w:eastAsia="zh-CN"/>
        </w:rPr>
        <w:t>城市环境卫生</w:t>
      </w:r>
      <w:r>
        <w:rPr>
          <w:rFonts w:hint="eastAsia" w:ascii="仿宋" w:hAnsi="仿宋" w:eastAsia="仿宋" w:cstheme="minorEastAsia"/>
          <w:b/>
          <w:sz w:val="30"/>
          <w:szCs w:val="30"/>
        </w:rPr>
        <w:t>设施专项规划（2021-2035年）主要内容</w:t>
      </w:r>
    </w:p>
    <w:p w14:paraId="767256F1">
      <w:pPr>
        <w:spacing w:after="0" w:line="560" w:lineRule="exact"/>
        <w:jc w:val="center"/>
        <w:rPr>
          <w:rFonts w:ascii="仿宋" w:hAnsi="仿宋" w:eastAsia="仿宋" w:cstheme="minorEastAsia"/>
          <w:sz w:val="28"/>
          <w:szCs w:val="28"/>
        </w:rPr>
      </w:pPr>
      <w:r>
        <w:rPr>
          <w:rFonts w:hint="eastAsia" w:ascii="仿宋" w:hAnsi="仿宋" w:eastAsia="仿宋" w:cstheme="minorEastAsia"/>
          <w:sz w:val="28"/>
          <w:szCs w:val="28"/>
        </w:rPr>
        <w:t>（批前公示）</w:t>
      </w:r>
    </w:p>
    <w:bookmarkEnd w:id="0"/>
    <w:p w14:paraId="2D83D54C">
      <w:pPr>
        <w:spacing w:after="0" w:line="560" w:lineRule="exact"/>
        <w:ind w:firstLine="560" w:firstLineChars="200"/>
        <w:rPr>
          <w:rFonts w:ascii="仿宋" w:hAnsi="仿宋" w:eastAsia="仿宋" w:cstheme="minorEastAsia"/>
          <w:color w:val="auto"/>
          <w:sz w:val="28"/>
          <w:szCs w:val="28"/>
        </w:rPr>
      </w:pPr>
      <w:r>
        <w:rPr>
          <w:rFonts w:hint="eastAsia" w:ascii="仿宋" w:hAnsi="仿宋" w:eastAsia="仿宋" w:cstheme="minorEastAsia"/>
          <w:color w:val="auto"/>
          <w:sz w:val="28"/>
          <w:szCs w:val="28"/>
        </w:rPr>
        <w:t>随着无极县国土空间总体规划编制完成，为建设环卫设施齐全、卫生整洁、环境良好、生态宜居的现代城市，编制了《无极县城市环境卫生设施专项规划（2021-</w:t>
      </w:r>
      <w:bookmarkStart w:id="10" w:name="_GoBack"/>
      <w:bookmarkEnd w:id="10"/>
      <w:r>
        <w:rPr>
          <w:rFonts w:hint="eastAsia" w:ascii="仿宋" w:hAnsi="仿宋" w:eastAsia="仿宋" w:cstheme="minorEastAsia"/>
          <w:color w:val="auto"/>
          <w:sz w:val="28"/>
          <w:szCs w:val="28"/>
        </w:rPr>
        <w:t>2035年）》（以下简称“本规划”）。</w:t>
      </w:r>
    </w:p>
    <w:p w14:paraId="0CC7E1E5">
      <w:pPr>
        <w:pStyle w:val="29"/>
        <w:numPr>
          <w:ilvl w:val="0"/>
          <w:numId w:val="3"/>
        </w:numPr>
        <w:jc w:val="left"/>
        <w:rPr>
          <w:rFonts w:ascii="仿宋" w:hAnsi="仿宋" w:eastAsia="仿宋" w:cstheme="minorEastAsia"/>
          <w:szCs w:val="28"/>
        </w:rPr>
      </w:pPr>
      <w:bookmarkStart w:id="1" w:name="_Toc11257"/>
      <w:r>
        <w:rPr>
          <w:rFonts w:hint="eastAsia" w:ascii="仿宋" w:hAnsi="仿宋" w:eastAsia="仿宋" w:cstheme="minorEastAsia"/>
          <w:szCs w:val="28"/>
        </w:rPr>
        <w:t>规划期限</w:t>
      </w:r>
      <w:bookmarkEnd w:id="1"/>
    </w:p>
    <w:p w14:paraId="09FD84D8">
      <w:pPr>
        <w:spacing w:after="0" w:line="560" w:lineRule="exact"/>
        <w:ind w:firstLine="560" w:firstLineChars="200"/>
        <w:rPr>
          <w:rFonts w:ascii="仿宋" w:hAnsi="仿宋" w:eastAsia="仿宋" w:cstheme="minorEastAsia"/>
          <w:sz w:val="28"/>
          <w:szCs w:val="28"/>
        </w:rPr>
      </w:pPr>
      <w:r>
        <w:rPr>
          <w:rFonts w:hint="eastAsia" w:ascii="仿宋" w:hAnsi="仿宋" w:eastAsia="仿宋" w:cstheme="minorEastAsia"/>
          <w:sz w:val="28"/>
          <w:szCs w:val="28"/>
        </w:rPr>
        <w:t>规划期限为2021-2035年，近期为2021-2025年，远期为2026-2035年。</w:t>
      </w:r>
    </w:p>
    <w:p w14:paraId="265107D0">
      <w:pPr>
        <w:pStyle w:val="29"/>
        <w:numPr>
          <w:ilvl w:val="0"/>
          <w:numId w:val="3"/>
        </w:numPr>
        <w:jc w:val="left"/>
        <w:rPr>
          <w:rFonts w:ascii="仿宋" w:hAnsi="仿宋" w:eastAsia="仿宋" w:cstheme="minorEastAsia"/>
          <w:szCs w:val="28"/>
        </w:rPr>
      </w:pPr>
      <w:bookmarkStart w:id="2" w:name="_Toc3212"/>
      <w:r>
        <w:rPr>
          <w:rFonts w:hint="eastAsia" w:ascii="仿宋" w:hAnsi="仿宋" w:eastAsia="仿宋" w:cstheme="minorEastAsia"/>
          <w:szCs w:val="28"/>
        </w:rPr>
        <w:t>规划范围</w:t>
      </w:r>
      <w:bookmarkEnd w:id="2"/>
    </w:p>
    <w:p w14:paraId="60A1C3E6">
      <w:pPr>
        <w:spacing w:after="0" w:line="560" w:lineRule="exact"/>
        <w:ind w:firstLine="560" w:firstLineChars="200"/>
        <w:rPr>
          <w:rFonts w:ascii="仿宋" w:hAnsi="仿宋" w:eastAsia="仿宋" w:cstheme="minorEastAsia"/>
          <w:sz w:val="28"/>
          <w:szCs w:val="28"/>
        </w:rPr>
      </w:pPr>
      <w:r>
        <w:rPr>
          <w:rFonts w:hint="eastAsia" w:ascii="仿宋" w:hAnsi="仿宋" w:eastAsia="仿宋" w:cstheme="minorEastAsia"/>
          <w:sz w:val="28"/>
          <w:szCs w:val="28"/>
        </w:rPr>
        <w:t>本次专项规划范围为无极县全域范围，其中重点规划范围为上位规划确定的中心城区范围内城镇开发边界，城镇开发边界城镇建设用地规模14.4平方千米，规划城镇人口14万人。</w:t>
      </w:r>
    </w:p>
    <w:p w14:paraId="71B06B80">
      <w:pPr>
        <w:spacing w:after="0" w:line="560" w:lineRule="exact"/>
        <w:ind w:firstLine="560" w:firstLineChars="200"/>
        <w:rPr>
          <w:rFonts w:ascii="仿宋" w:hAnsi="仿宋" w:eastAsia="仿宋" w:cstheme="minorEastAsia"/>
          <w:sz w:val="28"/>
          <w:szCs w:val="28"/>
        </w:rPr>
      </w:pPr>
      <w:r>
        <w:rPr>
          <w:rFonts w:hint="eastAsia" w:ascii="仿宋" w:hAnsi="仿宋" w:eastAsia="仿宋" w:cstheme="minorEastAsia"/>
          <w:sz w:val="28"/>
          <w:szCs w:val="28"/>
        </w:rPr>
        <w:t>对</w:t>
      </w:r>
      <w:r>
        <w:rPr>
          <w:rFonts w:hint="eastAsia" w:ascii="仿宋" w:hAnsi="仿宋" w:eastAsia="仿宋" w:cstheme="minorEastAsia"/>
          <w:sz w:val="28"/>
          <w:szCs w:val="28"/>
          <w:lang w:eastAsia="zh-CN"/>
        </w:rPr>
        <w:t>各</w:t>
      </w:r>
      <w:r>
        <w:rPr>
          <w:rFonts w:hint="eastAsia" w:ascii="仿宋" w:hAnsi="仿宋" w:eastAsia="仿宋" w:cstheme="minorEastAsia"/>
          <w:sz w:val="28"/>
          <w:szCs w:val="28"/>
        </w:rPr>
        <w:t>乡</w:t>
      </w:r>
      <w:r>
        <w:rPr>
          <w:rFonts w:hint="eastAsia" w:ascii="仿宋" w:hAnsi="仿宋" w:eastAsia="仿宋" w:cstheme="minorEastAsia"/>
          <w:sz w:val="28"/>
          <w:szCs w:val="28"/>
          <w:lang w:eastAsia="zh-CN"/>
        </w:rPr>
        <w:t>（</w:t>
      </w:r>
      <w:r>
        <w:rPr>
          <w:rFonts w:hint="eastAsia" w:ascii="仿宋" w:hAnsi="仿宋" w:eastAsia="仿宋" w:cstheme="minorEastAsia"/>
          <w:sz w:val="28"/>
          <w:szCs w:val="28"/>
        </w:rPr>
        <w:t>镇</w:t>
      </w:r>
      <w:r>
        <w:rPr>
          <w:rFonts w:hint="eastAsia" w:ascii="仿宋" w:hAnsi="仿宋" w:eastAsia="仿宋" w:cstheme="minorEastAsia"/>
          <w:sz w:val="28"/>
          <w:szCs w:val="28"/>
          <w:lang w:eastAsia="zh-CN"/>
        </w:rPr>
        <w:t>）</w:t>
      </w:r>
      <w:r>
        <w:rPr>
          <w:rFonts w:hint="eastAsia" w:ascii="仿宋" w:hAnsi="仿宋" w:eastAsia="仿宋" w:cstheme="minorEastAsia"/>
          <w:sz w:val="28"/>
          <w:szCs w:val="28"/>
        </w:rPr>
        <w:t>的</w:t>
      </w:r>
      <w:r>
        <w:rPr>
          <w:rFonts w:hint="eastAsia" w:ascii="仿宋" w:hAnsi="仿宋" w:eastAsia="仿宋" w:cstheme="minorEastAsia"/>
          <w:sz w:val="28"/>
          <w:szCs w:val="28"/>
          <w:lang w:eastAsia="zh-CN"/>
        </w:rPr>
        <w:t>环卫设施选址、建设标准及垃圾处理系统</w:t>
      </w:r>
      <w:r>
        <w:rPr>
          <w:rFonts w:hint="eastAsia" w:ascii="仿宋" w:hAnsi="仿宋" w:eastAsia="仿宋" w:cstheme="minorEastAsia"/>
          <w:sz w:val="28"/>
          <w:szCs w:val="28"/>
        </w:rPr>
        <w:t>提出指导性建设意见。</w:t>
      </w:r>
    </w:p>
    <w:p w14:paraId="08D20112">
      <w:pPr>
        <w:pStyle w:val="29"/>
        <w:numPr>
          <w:ilvl w:val="0"/>
          <w:numId w:val="3"/>
        </w:numPr>
        <w:jc w:val="left"/>
        <w:rPr>
          <w:rFonts w:ascii="仿宋" w:hAnsi="仿宋" w:eastAsia="仿宋" w:cstheme="minorEastAsia"/>
          <w:szCs w:val="28"/>
        </w:rPr>
      </w:pPr>
      <w:bookmarkStart w:id="3" w:name="_Toc31115"/>
      <w:r>
        <w:rPr>
          <w:rFonts w:hint="eastAsia" w:ascii="仿宋" w:hAnsi="仿宋" w:eastAsia="仿宋" w:cstheme="minorEastAsia"/>
          <w:szCs w:val="28"/>
        </w:rPr>
        <w:t>规划</w:t>
      </w:r>
      <w:bookmarkEnd w:id="3"/>
      <w:r>
        <w:rPr>
          <w:rFonts w:hint="eastAsia" w:ascii="仿宋" w:hAnsi="仿宋" w:eastAsia="仿宋" w:cstheme="minorEastAsia"/>
          <w:szCs w:val="28"/>
          <w:lang w:eastAsia="zh-CN"/>
        </w:rPr>
        <w:t>目标</w:t>
      </w:r>
    </w:p>
    <w:p w14:paraId="1E9BBFFC">
      <w:pPr>
        <w:spacing w:after="0" w:line="560" w:lineRule="exact"/>
        <w:ind w:firstLine="560" w:firstLineChars="200"/>
        <w:rPr>
          <w:rFonts w:hint="eastAsia" w:ascii="仿宋" w:hAnsi="仿宋" w:eastAsia="仿宋" w:cstheme="minorEastAsia"/>
          <w:sz w:val="28"/>
          <w:szCs w:val="28"/>
        </w:rPr>
      </w:pPr>
      <w:r>
        <w:rPr>
          <w:rFonts w:hint="eastAsia" w:ascii="仿宋" w:hAnsi="仿宋" w:eastAsia="仿宋" w:cstheme="minorEastAsia"/>
          <w:sz w:val="28"/>
          <w:szCs w:val="28"/>
        </w:rPr>
        <w:t>1、城市生活垃圾的处理本着无害化、减量化、资源化的原则，逐步实现分类袋装化处理，做到日产日清。</w:t>
      </w:r>
    </w:p>
    <w:p w14:paraId="24C28BF4">
      <w:pPr>
        <w:spacing w:after="0" w:line="560" w:lineRule="exact"/>
        <w:ind w:firstLine="560" w:firstLineChars="200"/>
        <w:rPr>
          <w:rFonts w:hint="eastAsia" w:ascii="仿宋" w:hAnsi="仿宋" w:eastAsia="仿宋" w:cstheme="minorEastAsia"/>
          <w:sz w:val="28"/>
          <w:szCs w:val="28"/>
        </w:rPr>
      </w:pPr>
      <w:r>
        <w:rPr>
          <w:rFonts w:hint="eastAsia" w:ascii="仿宋" w:hAnsi="仿宋" w:eastAsia="仿宋" w:cstheme="minorEastAsia"/>
          <w:sz w:val="28"/>
          <w:szCs w:val="28"/>
        </w:rPr>
        <w:t>2、城市垃圾的收运，逐步向收集容器化、标准化、系统化发展。到2035年，垃圾、粪便无害化处理率达到100%；城市垃圾容器化收集率达到100%；医院等特种垃圾集中焚烧单独处理率达到100%。</w:t>
      </w:r>
    </w:p>
    <w:p w14:paraId="549BE75C">
      <w:pPr>
        <w:spacing w:after="0" w:line="560" w:lineRule="exact"/>
        <w:ind w:firstLine="560" w:firstLineChars="200"/>
        <w:rPr>
          <w:rFonts w:hint="eastAsia" w:ascii="仿宋" w:hAnsi="仿宋" w:eastAsia="仿宋" w:cstheme="minorEastAsia"/>
          <w:sz w:val="28"/>
          <w:szCs w:val="28"/>
        </w:rPr>
      </w:pPr>
      <w:r>
        <w:rPr>
          <w:rFonts w:hint="eastAsia" w:ascii="仿宋" w:hAnsi="仿宋" w:eastAsia="仿宋" w:cstheme="minorEastAsia"/>
          <w:sz w:val="28"/>
          <w:szCs w:val="28"/>
        </w:rPr>
        <w:t>3、主要道路清扫逐步实现机械化。到2035年，城市主次干路、支路清扫机械化程度达到95%以上，城市清运工作机械化、半机械化程度达到100%。</w:t>
      </w:r>
    </w:p>
    <w:p w14:paraId="2929C689">
      <w:pPr>
        <w:spacing w:after="0" w:line="560" w:lineRule="exact"/>
        <w:ind w:firstLine="560" w:firstLineChars="200"/>
        <w:rPr>
          <w:rFonts w:hint="eastAsia" w:ascii="仿宋" w:hAnsi="仿宋" w:eastAsia="仿宋" w:cstheme="minorEastAsia"/>
          <w:sz w:val="28"/>
          <w:szCs w:val="28"/>
        </w:rPr>
      </w:pPr>
      <w:r>
        <w:rPr>
          <w:rFonts w:hint="eastAsia" w:ascii="仿宋" w:hAnsi="仿宋" w:eastAsia="仿宋" w:cstheme="minorEastAsia"/>
          <w:sz w:val="28"/>
          <w:szCs w:val="28"/>
        </w:rPr>
        <w:t>4、城市环卫管理科学化，适应现代城市发展和管理的环卫队伍。</w:t>
      </w:r>
    </w:p>
    <w:p w14:paraId="5EC7404E">
      <w:pPr>
        <w:pStyle w:val="29"/>
        <w:numPr>
          <w:ilvl w:val="0"/>
          <w:numId w:val="3"/>
        </w:numPr>
        <w:jc w:val="left"/>
        <w:rPr>
          <w:rFonts w:ascii="仿宋" w:hAnsi="仿宋" w:eastAsia="仿宋" w:cstheme="minorEastAsia"/>
          <w:szCs w:val="28"/>
        </w:rPr>
      </w:pPr>
      <w:bookmarkStart w:id="4" w:name="_Toc108"/>
      <w:r>
        <w:rPr>
          <w:rFonts w:hint="eastAsia" w:ascii="仿宋" w:hAnsi="仿宋" w:eastAsia="仿宋" w:cstheme="minorEastAsia"/>
          <w:szCs w:val="28"/>
        </w:rPr>
        <w:t>规划</w:t>
      </w:r>
      <w:bookmarkEnd w:id="4"/>
      <w:r>
        <w:rPr>
          <w:rFonts w:hint="eastAsia" w:ascii="仿宋" w:hAnsi="仿宋" w:eastAsia="仿宋" w:cstheme="minorEastAsia"/>
          <w:szCs w:val="28"/>
          <w:lang w:eastAsia="zh-CN"/>
        </w:rPr>
        <w:t>标准与指标</w:t>
      </w:r>
    </w:p>
    <w:p w14:paraId="355304BB">
      <w:pPr>
        <w:spacing w:after="0" w:line="560" w:lineRule="exact"/>
        <w:ind w:firstLine="560" w:firstLineChars="200"/>
        <w:rPr>
          <w:rFonts w:hint="eastAsia" w:ascii="仿宋" w:hAnsi="仿宋" w:eastAsia="仿宋" w:cstheme="minorEastAsia"/>
          <w:sz w:val="28"/>
          <w:szCs w:val="28"/>
        </w:rPr>
      </w:pPr>
      <w:r>
        <w:rPr>
          <w:rFonts w:hint="eastAsia" w:ascii="仿宋" w:hAnsi="仿宋" w:eastAsia="仿宋" w:cstheme="minorEastAsia"/>
          <w:sz w:val="28"/>
          <w:szCs w:val="28"/>
          <w:lang w:val="en-US" w:eastAsia="zh-CN"/>
        </w:rPr>
        <w:t>1</w:t>
      </w:r>
      <w:r>
        <w:rPr>
          <w:rFonts w:hint="eastAsia" w:ascii="仿宋" w:hAnsi="仿宋" w:eastAsia="仿宋" w:cstheme="minorEastAsia"/>
          <w:sz w:val="28"/>
          <w:szCs w:val="28"/>
        </w:rPr>
        <w:t>、环卫系统就业人数：千人指标，取2人/千人；</w:t>
      </w:r>
    </w:p>
    <w:p w14:paraId="0ECAEAC2">
      <w:pPr>
        <w:spacing w:after="0" w:line="560" w:lineRule="exact"/>
        <w:ind w:firstLine="560" w:firstLineChars="200"/>
        <w:rPr>
          <w:rFonts w:hint="eastAsia" w:ascii="仿宋" w:hAnsi="仿宋" w:eastAsia="仿宋" w:cstheme="minorEastAsia"/>
          <w:sz w:val="28"/>
          <w:szCs w:val="28"/>
        </w:rPr>
      </w:pPr>
      <w:r>
        <w:rPr>
          <w:rFonts w:hint="eastAsia" w:ascii="仿宋" w:hAnsi="仿宋" w:eastAsia="仿宋" w:cstheme="minorEastAsia"/>
          <w:sz w:val="28"/>
          <w:szCs w:val="28"/>
          <w:lang w:val="en-US" w:eastAsia="zh-CN"/>
        </w:rPr>
        <w:t>2</w:t>
      </w:r>
      <w:r>
        <w:rPr>
          <w:rFonts w:hint="eastAsia" w:ascii="仿宋" w:hAnsi="仿宋" w:eastAsia="仿宋" w:cstheme="minorEastAsia"/>
          <w:sz w:val="28"/>
          <w:szCs w:val="28"/>
        </w:rPr>
        <w:t>、环卫专用车辆：采用城市人口万人指标，取2.5辆/万人；</w:t>
      </w:r>
    </w:p>
    <w:p w14:paraId="661262FC">
      <w:pPr>
        <w:spacing w:after="0" w:line="560" w:lineRule="exact"/>
        <w:ind w:firstLine="560" w:firstLineChars="200"/>
        <w:rPr>
          <w:rFonts w:hint="eastAsia" w:ascii="仿宋" w:hAnsi="仿宋" w:eastAsia="仿宋" w:cstheme="minorEastAsia"/>
          <w:sz w:val="28"/>
          <w:szCs w:val="28"/>
        </w:rPr>
      </w:pPr>
      <w:r>
        <w:rPr>
          <w:rFonts w:hint="eastAsia" w:ascii="仿宋" w:hAnsi="仿宋" w:eastAsia="仿宋" w:cstheme="minorEastAsia"/>
          <w:sz w:val="28"/>
          <w:szCs w:val="28"/>
          <w:lang w:val="en-US" w:eastAsia="zh-CN"/>
        </w:rPr>
        <w:t>3</w:t>
      </w:r>
      <w:r>
        <w:rPr>
          <w:rFonts w:hint="eastAsia" w:ascii="仿宋" w:hAnsi="仿宋" w:eastAsia="仿宋" w:cstheme="minorEastAsia"/>
          <w:sz w:val="28"/>
          <w:szCs w:val="28"/>
        </w:rPr>
        <w:t>、停车场面积：每部环卫专用车辆占地150m</w:t>
      </w:r>
      <w:r>
        <w:rPr>
          <w:rFonts w:hint="eastAsia" w:ascii="仿宋" w:hAnsi="仿宋" w:eastAsia="仿宋" w:cstheme="minorEastAsia"/>
          <w:sz w:val="28"/>
          <w:szCs w:val="28"/>
          <w:vertAlign w:val="superscript"/>
        </w:rPr>
        <w:t>2</w:t>
      </w:r>
      <w:r>
        <w:rPr>
          <w:rFonts w:hint="eastAsia" w:ascii="仿宋" w:hAnsi="仿宋" w:eastAsia="仿宋" w:cstheme="minorEastAsia"/>
          <w:sz w:val="28"/>
          <w:szCs w:val="28"/>
        </w:rPr>
        <w:t>；</w:t>
      </w:r>
    </w:p>
    <w:p w14:paraId="73DA18DB">
      <w:pPr>
        <w:spacing w:after="0" w:line="560" w:lineRule="exact"/>
        <w:ind w:firstLine="560" w:firstLineChars="200"/>
        <w:rPr>
          <w:rFonts w:hint="eastAsia" w:ascii="仿宋" w:hAnsi="仿宋" w:eastAsia="仿宋" w:cstheme="minorEastAsia"/>
          <w:sz w:val="28"/>
          <w:szCs w:val="28"/>
        </w:rPr>
      </w:pPr>
      <w:r>
        <w:rPr>
          <w:rFonts w:hint="eastAsia" w:ascii="仿宋" w:hAnsi="仿宋" w:eastAsia="仿宋" w:cstheme="minorEastAsia"/>
          <w:sz w:val="28"/>
          <w:szCs w:val="28"/>
          <w:lang w:val="en-US" w:eastAsia="zh-CN"/>
        </w:rPr>
        <w:t>4</w:t>
      </w:r>
      <w:r>
        <w:rPr>
          <w:rFonts w:hint="eastAsia" w:ascii="仿宋" w:hAnsi="仿宋" w:eastAsia="仿宋" w:cstheme="minorEastAsia"/>
          <w:sz w:val="28"/>
          <w:szCs w:val="28"/>
        </w:rPr>
        <w:t>、公共厕所、垃圾转运站、垃圾粪便处理厂、垃圾焚烧厂等设施的配置按照国家相关规范要求确定。</w:t>
      </w:r>
    </w:p>
    <w:p w14:paraId="6686064E">
      <w:pPr>
        <w:pStyle w:val="29"/>
        <w:numPr>
          <w:ilvl w:val="0"/>
          <w:numId w:val="3"/>
        </w:numPr>
        <w:jc w:val="left"/>
        <w:rPr>
          <w:rFonts w:ascii="仿宋" w:hAnsi="仿宋" w:eastAsia="仿宋" w:cstheme="minorEastAsia"/>
          <w:szCs w:val="28"/>
        </w:rPr>
      </w:pPr>
      <w:bookmarkStart w:id="5" w:name="_Toc26030"/>
      <w:r>
        <w:rPr>
          <w:rFonts w:hint="eastAsia" w:ascii="仿宋" w:hAnsi="仿宋" w:eastAsia="仿宋" w:cstheme="minorEastAsia"/>
          <w:szCs w:val="28"/>
          <w:lang w:eastAsia="zh-CN"/>
        </w:rPr>
        <w:t>垃圾量预测</w:t>
      </w:r>
      <w:bookmarkEnd w:id="5"/>
    </w:p>
    <w:p w14:paraId="78D7F674">
      <w:pPr>
        <w:pStyle w:val="24"/>
        <w:ind w:firstLine="560"/>
        <w:rPr>
          <w:rFonts w:ascii="仿宋" w:hAnsi="仿宋" w:eastAsia="仿宋" w:cstheme="minorEastAsia"/>
          <w:sz w:val="28"/>
          <w:szCs w:val="28"/>
        </w:rPr>
      </w:pPr>
      <w:r>
        <w:rPr>
          <w:rFonts w:hint="eastAsia" w:ascii="仿宋" w:hAnsi="仿宋" w:eastAsia="仿宋" w:cstheme="minorEastAsia"/>
          <w:sz w:val="28"/>
          <w:szCs w:val="28"/>
          <w:lang w:eastAsia="zh-CN"/>
        </w:rPr>
        <w:t>根据各类垃圾相关标准，分别对生活垃圾、餐厨垃圾、粪便垃圾、特种垃圾（医疗）、建筑垃圾进行预测，根据预测结果为下一步设施配置进行合理分析</w:t>
      </w:r>
      <w:r>
        <w:rPr>
          <w:rFonts w:hint="eastAsia" w:ascii="仿宋" w:hAnsi="仿宋" w:eastAsia="仿宋" w:cstheme="minorEastAsia"/>
          <w:sz w:val="28"/>
          <w:szCs w:val="28"/>
        </w:rPr>
        <w:t>。</w:t>
      </w:r>
    </w:p>
    <w:p w14:paraId="5591F9D3">
      <w:pPr>
        <w:pStyle w:val="29"/>
        <w:numPr>
          <w:ilvl w:val="0"/>
          <w:numId w:val="3"/>
        </w:numPr>
        <w:jc w:val="left"/>
        <w:rPr>
          <w:rFonts w:ascii="仿宋" w:hAnsi="仿宋" w:eastAsia="仿宋" w:cstheme="minorEastAsia"/>
          <w:szCs w:val="28"/>
        </w:rPr>
      </w:pPr>
      <w:bookmarkStart w:id="6" w:name="_Toc3984"/>
      <w:r>
        <w:rPr>
          <w:rFonts w:hint="eastAsia" w:ascii="仿宋" w:hAnsi="仿宋" w:eastAsia="仿宋" w:cstheme="minorEastAsia"/>
          <w:szCs w:val="28"/>
          <w:lang w:eastAsia="zh-CN"/>
        </w:rPr>
        <w:t>县域环卫设施</w:t>
      </w:r>
      <w:bookmarkEnd w:id="6"/>
      <w:r>
        <w:rPr>
          <w:rFonts w:hint="eastAsia" w:ascii="仿宋" w:hAnsi="仿宋" w:eastAsia="仿宋" w:cstheme="minorEastAsia"/>
          <w:szCs w:val="28"/>
          <w:lang w:eastAsia="zh-CN"/>
        </w:rPr>
        <w:t>规划</w:t>
      </w:r>
    </w:p>
    <w:p w14:paraId="5B4E0046">
      <w:pPr>
        <w:spacing w:after="0" w:line="480" w:lineRule="auto"/>
        <w:ind w:firstLine="560" w:firstLineChars="200"/>
        <w:rPr>
          <w:rFonts w:hint="eastAsia" w:ascii="仿宋" w:hAnsi="仿宋" w:eastAsia="仿宋" w:cstheme="minorEastAsia"/>
          <w:sz w:val="28"/>
          <w:szCs w:val="28"/>
        </w:rPr>
      </w:pPr>
      <w:r>
        <w:rPr>
          <w:rFonts w:hint="eastAsia" w:ascii="仿宋" w:hAnsi="仿宋" w:eastAsia="仿宋" w:cstheme="minorEastAsia"/>
          <w:sz w:val="28"/>
          <w:szCs w:val="28"/>
        </w:rPr>
        <w:t>（一）公共厕所</w:t>
      </w:r>
    </w:p>
    <w:p w14:paraId="1912684A">
      <w:pPr>
        <w:spacing w:after="0" w:line="480" w:lineRule="auto"/>
        <w:ind w:firstLine="560" w:firstLineChars="200"/>
        <w:rPr>
          <w:rFonts w:hint="eastAsia" w:ascii="仿宋" w:hAnsi="仿宋" w:eastAsia="仿宋" w:cstheme="minorEastAsia"/>
          <w:sz w:val="28"/>
          <w:szCs w:val="28"/>
        </w:rPr>
      </w:pPr>
      <w:r>
        <w:rPr>
          <w:rFonts w:hint="eastAsia" w:ascii="仿宋" w:hAnsi="仿宋" w:eastAsia="仿宋" w:cstheme="minorEastAsia"/>
          <w:sz w:val="28"/>
          <w:szCs w:val="28"/>
        </w:rPr>
        <w:t>公共厕所布局以方便群众、利于粪便运输和公共厕所卫生为原则。</w:t>
      </w:r>
      <w:r>
        <w:rPr>
          <w:rFonts w:hint="eastAsia" w:ascii="仿宋" w:hAnsi="仿宋" w:eastAsia="仿宋" w:cstheme="minorEastAsia"/>
          <w:sz w:val="28"/>
          <w:szCs w:val="28"/>
          <w:lang w:eastAsia="zh-CN"/>
        </w:rPr>
        <w:t>城</w:t>
      </w:r>
      <w:r>
        <w:rPr>
          <w:rFonts w:hint="eastAsia" w:ascii="仿宋" w:hAnsi="仿宋" w:eastAsia="仿宋" w:cstheme="minorEastAsia"/>
          <w:sz w:val="28"/>
          <w:szCs w:val="28"/>
        </w:rPr>
        <w:t>镇公厕设置密度可结合城市用地进行设置，乡镇及村庄公厕设置间距按下表进行设置。</w:t>
      </w:r>
    </w:p>
    <w:p w14:paraId="0AD313BC">
      <w:pPr>
        <w:rPr>
          <w:rFonts w:hint="eastAsia" w:ascii="仿宋" w:hAnsi="仿宋" w:eastAsia="仿宋" w:cs="仿宋"/>
          <w:color w:val="auto"/>
          <w:kern w:val="0"/>
          <w:sz w:val="24"/>
          <w:highlight w:val="none"/>
          <w:lang w:eastAsia="zh-CN"/>
        </w:rPr>
      </w:pPr>
      <w:r>
        <w:rPr>
          <w:rFonts w:hint="eastAsia" w:ascii="仿宋" w:hAnsi="仿宋" w:eastAsia="仿宋" w:cs="仿宋"/>
          <w:color w:val="auto"/>
          <w:kern w:val="0"/>
          <w:sz w:val="24"/>
          <w:highlight w:val="none"/>
          <w:lang w:eastAsia="zh-CN"/>
        </w:rPr>
        <w:br w:type="page"/>
      </w:r>
    </w:p>
    <w:p w14:paraId="5FF21965">
      <w:pPr>
        <w:spacing w:before="156" w:beforeLines="50" w:line="240" w:lineRule="auto"/>
        <w:jc w:val="center"/>
        <w:rPr>
          <w:rFonts w:hint="eastAsia" w:ascii="仿宋" w:hAnsi="仿宋" w:eastAsia="仿宋" w:cs="仿宋"/>
          <w:b w:val="0"/>
          <w:bCs/>
          <w:color w:val="auto"/>
          <w:sz w:val="24"/>
          <w:highlight w:val="none"/>
        </w:rPr>
      </w:pPr>
      <w:r>
        <w:rPr>
          <w:rFonts w:hint="eastAsia" w:ascii="仿宋" w:hAnsi="仿宋" w:eastAsia="仿宋" w:cs="仿宋"/>
          <w:b w:val="0"/>
          <w:bCs/>
          <w:color w:val="auto"/>
          <w:kern w:val="0"/>
          <w:sz w:val="24"/>
          <w:highlight w:val="none"/>
        </w:rPr>
        <w:t>公共厕所设置间距指标</w:t>
      </w:r>
    </w:p>
    <w:tbl>
      <w:tblPr>
        <w:tblStyle w:val="17"/>
        <w:tblW w:w="5000" w:type="pct"/>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864"/>
        <w:gridCol w:w="755"/>
        <w:gridCol w:w="1382"/>
        <w:gridCol w:w="2598"/>
        <w:gridCol w:w="2923"/>
      </w:tblGrid>
      <w:tr w14:paraId="6887F1F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507" w:type="pct"/>
            <w:tcBorders>
              <w:top w:val="single" w:color="auto" w:sz="12" w:space="0"/>
              <w:bottom w:val="single" w:color="auto" w:sz="4" w:space="0"/>
            </w:tcBorders>
            <w:shd w:val="clear" w:color="auto" w:fill="CCCCCC"/>
            <w:noWrap w:val="0"/>
            <w:vAlign w:val="center"/>
          </w:tcPr>
          <w:p w14:paraId="6BE8369F">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类别</w:t>
            </w:r>
          </w:p>
        </w:tc>
        <w:tc>
          <w:tcPr>
            <w:tcW w:w="1254" w:type="pct"/>
            <w:gridSpan w:val="2"/>
            <w:tcBorders>
              <w:top w:val="single" w:color="auto" w:sz="12" w:space="0"/>
              <w:bottom w:val="single" w:color="auto" w:sz="4" w:space="0"/>
            </w:tcBorders>
            <w:shd w:val="clear" w:color="auto" w:fill="CCCCCC"/>
            <w:noWrap w:val="0"/>
            <w:vAlign w:val="center"/>
          </w:tcPr>
          <w:p w14:paraId="32B0E14A">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设置位置</w:t>
            </w:r>
          </w:p>
        </w:tc>
        <w:tc>
          <w:tcPr>
            <w:tcW w:w="1524" w:type="pct"/>
            <w:tcBorders>
              <w:top w:val="single" w:color="auto" w:sz="12" w:space="0"/>
              <w:bottom w:val="single" w:color="auto" w:sz="4" w:space="0"/>
            </w:tcBorders>
            <w:shd w:val="clear" w:color="auto" w:fill="CCCCCC"/>
            <w:noWrap w:val="0"/>
            <w:vAlign w:val="center"/>
          </w:tcPr>
          <w:p w14:paraId="7D2B2BF5">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设置间距</w:t>
            </w:r>
          </w:p>
        </w:tc>
        <w:tc>
          <w:tcPr>
            <w:tcW w:w="1715" w:type="pct"/>
            <w:tcBorders>
              <w:top w:val="single" w:color="auto" w:sz="12" w:space="0"/>
              <w:bottom w:val="single" w:color="auto" w:sz="4" w:space="0"/>
            </w:tcBorders>
            <w:shd w:val="clear" w:color="auto" w:fill="CCCCCC"/>
            <w:noWrap w:val="0"/>
            <w:vAlign w:val="center"/>
          </w:tcPr>
          <w:p w14:paraId="5D9819FB">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备注</w:t>
            </w:r>
          </w:p>
        </w:tc>
      </w:tr>
      <w:tr w14:paraId="0B1CA93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507" w:type="pct"/>
            <w:vMerge w:val="restart"/>
            <w:tcBorders>
              <w:top w:val="single" w:color="auto" w:sz="4" w:space="0"/>
            </w:tcBorders>
            <w:noWrap w:val="0"/>
            <w:vAlign w:val="center"/>
          </w:tcPr>
          <w:p w14:paraId="4A33E2AA">
            <w:pPr>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城市</w:t>
            </w:r>
          </w:p>
        </w:tc>
        <w:tc>
          <w:tcPr>
            <w:tcW w:w="443" w:type="pct"/>
            <w:vMerge w:val="restart"/>
            <w:tcBorders>
              <w:top w:val="single" w:color="auto" w:sz="4" w:space="0"/>
            </w:tcBorders>
            <w:noWrap w:val="0"/>
            <w:vAlign w:val="center"/>
          </w:tcPr>
          <w:p w14:paraId="09D49048">
            <w:pPr>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城市道路</w:t>
            </w:r>
          </w:p>
        </w:tc>
        <w:tc>
          <w:tcPr>
            <w:tcW w:w="811" w:type="pct"/>
            <w:tcBorders>
              <w:top w:val="single" w:color="auto" w:sz="4" w:space="0"/>
            </w:tcBorders>
            <w:noWrap w:val="0"/>
            <w:vAlign w:val="center"/>
          </w:tcPr>
          <w:p w14:paraId="406D11E5">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商业路段</w:t>
            </w:r>
          </w:p>
        </w:tc>
        <w:tc>
          <w:tcPr>
            <w:tcW w:w="1524" w:type="pct"/>
            <w:tcBorders>
              <w:top w:val="single" w:color="auto" w:sz="4" w:space="0"/>
            </w:tcBorders>
            <w:noWrap w:val="0"/>
            <w:vAlign w:val="center"/>
          </w:tcPr>
          <w:p w14:paraId="20227C3E">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＜400m设1座</w:t>
            </w:r>
          </w:p>
        </w:tc>
        <w:tc>
          <w:tcPr>
            <w:tcW w:w="1715" w:type="pct"/>
            <w:tcBorders>
              <w:top w:val="single" w:color="auto" w:sz="4" w:space="0"/>
            </w:tcBorders>
            <w:noWrap w:val="0"/>
            <w:vAlign w:val="center"/>
          </w:tcPr>
          <w:p w14:paraId="6FDCB5A8">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步行（5km/h）3min内进入厕所</w:t>
            </w:r>
          </w:p>
        </w:tc>
      </w:tr>
      <w:tr w14:paraId="780895D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507" w:type="pct"/>
            <w:vMerge w:val="continue"/>
            <w:noWrap w:val="0"/>
            <w:vAlign w:val="center"/>
          </w:tcPr>
          <w:p w14:paraId="393F75B1">
            <w:pPr>
              <w:snapToGrid w:val="0"/>
              <w:spacing w:line="240" w:lineRule="auto"/>
              <w:jc w:val="center"/>
              <w:rPr>
                <w:rFonts w:hint="eastAsia" w:ascii="仿宋" w:hAnsi="仿宋" w:eastAsia="仿宋" w:cs="仿宋"/>
                <w:color w:val="auto"/>
                <w:kern w:val="0"/>
                <w:highlight w:val="none"/>
              </w:rPr>
            </w:pPr>
          </w:p>
        </w:tc>
        <w:tc>
          <w:tcPr>
            <w:tcW w:w="443" w:type="pct"/>
            <w:vMerge w:val="continue"/>
            <w:noWrap w:val="0"/>
            <w:vAlign w:val="center"/>
          </w:tcPr>
          <w:p w14:paraId="3D379445">
            <w:pPr>
              <w:snapToGrid w:val="0"/>
              <w:spacing w:line="240" w:lineRule="auto"/>
              <w:jc w:val="center"/>
              <w:rPr>
                <w:rFonts w:hint="eastAsia" w:ascii="仿宋" w:hAnsi="仿宋" w:eastAsia="仿宋" w:cs="仿宋"/>
                <w:color w:val="auto"/>
                <w:kern w:val="0"/>
                <w:highlight w:val="none"/>
              </w:rPr>
            </w:pPr>
          </w:p>
        </w:tc>
        <w:tc>
          <w:tcPr>
            <w:tcW w:w="811" w:type="pct"/>
            <w:noWrap w:val="0"/>
            <w:vAlign w:val="center"/>
          </w:tcPr>
          <w:p w14:paraId="0109D8FD">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生活性路段</w:t>
            </w:r>
          </w:p>
        </w:tc>
        <w:tc>
          <w:tcPr>
            <w:tcW w:w="1524" w:type="pct"/>
            <w:noWrap w:val="0"/>
            <w:vAlign w:val="center"/>
          </w:tcPr>
          <w:p w14:paraId="4ED4A63C">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400－600m设1座</w:t>
            </w:r>
          </w:p>
        </w:tc>
        <w:tc>
          <w:tcPr>
            <w:tcW w:w="1715" w:type="pct"/>
            <w:noWrap w:val="0"/>
            <w:vAlign w:val="center"/>
          </w:tcPr>
          <w:p w14:paraId="26A0A56B">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步行（5km/h）4min内进入厕所</w:t>
            </w:r>
          </w:p>
        </w:tc>
      </w:tr>
      <w:tr w14:paraId="33E4DEF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507" w:type="pct"/>
            <w:vMerge w:val="continue"/>
            <w:noWrap w:val="0"/>
            <w:vAlign w:val="center"/>
          </w:tcPr>
          <w:p w14:paraId="796F50D7">
            <w:pPr>
              <w:widowControl/>
              <w:snapToGrid w:val="0"/>
              <w:spacing w:line="240" w:lineRule="auto"/>
              <w:jc w:val="center"/>
              <w:rPr>
                <w:rFonts w:hint="eastAsia" w:ascii="仿宋" w:hAnsi="仿宋" w:eastAsia="仿宋" w:cs="仿宋"/>
                <w:color w:val="auto"/>
                <w:kern w:val="0"/>
                <w:highlight w:val="none"/>
              </w:rPr>
            </w:pPr>
          </w:p>
        </w:tc>
        <w:tc>
          <w:tcPr>
            <w:tcW w:w="443" w:type="pct"/>
            <w:vMerge w:val="continue"/>
            <w:noWrap w:val="0"/>
            <w:vAlign w:val="center"/>
          </w:tcPr>
          <w:p w14:paraId="1461336A">
            <w:pPr>
              <w:widowControl/>
              <w:snapToGrid w:val="0"/>
              <w:spacing w:line="240" w:lineRule="auto"/>
              <w:jc w:val="center"/>
              <w:rPr>
                <w:rFonts w:hint="eastAsia" w:ascii="仿宋" w:hAnsi="仿宋" w:eastAsia="仿宋" w:cs="仿宋"/>
                <w:color w:val="auto"/>
                <w:kern w:val="0"/>
                <w:highlight w:val="none"/>
              </w:rPr>
            </w:pPr>
          </w:p>
        </w:tc>
        <w:tc>
          <w:tcPr>
            <w:tcW w:w="811" w:type="pct"/>
            <w:noWrap w:val="0"/>
            <w:vAlign w:val="center"/>
          </w:tcPr>
          <w:p w14:paraId="34C24CDE">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交通性路段</w:t>
            </w:r>
          </w:p>
        </w:tc>
        <w:tc>
          <w:tcPr>
            <w:tcW w:w="1524" w:type="pct"/>
            <w:noWrap w:val="0"/>
            <w:vAlign w:val="center"/>
          </w:tcPr>
          <w:p w14:paraId="196B0947">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600－1200m设1座</w:t>
            </w:r>
          </w:p>
        </w:tc>
        <w:tc>
          <w:tcPr>
            <w:tcW w:w="1715" w:type="pct"/>
            <w:noWrap w:val="0"/>
            <w:vAlign w:val="center"/>
          </w:tcPr>
          <w:p w14:paraId="0EA92683">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宜设置在人群停留聚集处</w:t>
            </w:r>
          </w:p>
        </w:tc>
      </w:tr>
      <w:tr w14:paraId="392D3FB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507" w:type="pct"/>
            <w:vMerge w:val="continue"/>
            <w:noWrap w:val="0"/>
            <w:vAlign w:val="center"/>
          </w:tcPr>
          <w:p w14:paraId="62D2EAEB">
            <w:pPr>
              <w:widowControl/>
              <w:snapToGrid w:val="0"/>
              <w:spacing w:line="240" w:lineRule="auto"/>
              <w:jc w:val="center"/>
              <w:rPr>
                <w:rFonts w:hint="eastAsia" w:ascii="仿宋" w:hAnsi="仿宋" w:eastAsia="仿宋" w:cs="仿宋"/>
                <w:color w:val="auto"/>
                <w:kern w:val="0"/>
                <w:highlight w:val="none"/>
              </w:rPr>
            </w:pPr>
          </w:p>
        </w:tc>
        <w:tc>
          <w:tcPr>
            <w:tcW w:w="443" w:type="pct"/>
            <w:vMerge w:val="restart"/>
            <w:noWrap w:val="0"/>
            <w:vAlign w:val="center"/>
          </w:tcPr>
          <w:p w14:paraId="4119C844">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城市休憩场所</w:t>
            </w:r>
          </w:p>
        </w:tc>
        <w:tc>
          <w:tcPr>
            <w:tcW w:w="811" w:type="pct"/>
            <w:noWrap w:val="0"/>
            <w:vAlign w:val="center"/>
          </w:tcPr>
          <w:p w14:paraId="419318CF">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开放式公园（公园绿地）</w:t>
            </w:r>
          </w:p>
        </w:tc>
        <w:tc>
          <w:tcPr>
            <w:tcW w:w="1524" w:type="pct"/>
            <w:noWrap w:val="0"/>
            <w:vAlign w:val="center"/>
          </w:tcPr>
          <w:p w14:paraId="7CE51F92">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≥2hm</w:t>
            </w:r>
            <w:r>
              <w:rPr>
                <w:rFonts w:hint="eastAsia" w:ascii="仿宋" w:hAnsi="仿宋" w:eastAsia="仿宋" w:cs="仿宋"/>
                <w:color w:val="auto"/>
                <w:kern w:val="0"/>
                <w:szCs w:val="21"/>
                <w:highlight w:val="none"/>
                <w:vertAlign w:val="superscript"/>
              </w:rPr>
              <w:t>2</w:t>
            </w:r>
            <w:r>
              <w:rPr>
                <w:rFonts w:hint="eastAsia" w:ascii="仿宋" w:hAnsi="仿宋" w:eastAsia="仿宋" w:cs="仿宋"/>
                <w:color w:val="auto"/>
                <w:kern w:val="0"/>
                <w:highlight w:val="none"/>
              </w:rPr>
              <w:t>应设置</w:t>
            </w:r>
          </w:p>
        </w:tc>
        <w:tc>
          <w:tcPr>
            <w:tcW w:w="1715" w:type="pct"/>
            <w:noWrap w:val="0"/>
            <w:vAlign w:val="center"/>
          </w:tcPr>
          <w:p w14:paraId="0B1BE676">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数量应符合国家现行标准《公园设计规范》CJJ-48的相关规定</w:t>
            </w:r>
          </w:p>
        </w:tc>
      </w:tr>
      <w:tr w14:paraId="11B90BB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507" w:type="pct"/>
            <w:vMerge w:val="continue"/>
            <w:noWrap w:val="0"/>
            <w:vAlign w:val="center"/>
          </w:tcPr>
          <w:p w14:paraId="0D3550B8">
            <w:pPr>
              <w:widowControl/>
              <w:snapToGrid w:val="0"/>
              <w:spacing w:line="240" w:lineRule="auto"/>
              <w:jc w:val="center"/>
              <w:rPr>
                <w:rFonts w:hint="eastAsia" w:ascii="仿宋" w:hAnsi="仿宋" w:eastAsia="仿宋" w:cs="仿宋"/>
                <w:color w:val="auto"/>
                <w:kern w:val="0"/>
                <w:highlight w:val="none"/>
              </w:rPr>
            </w:pPr>
          </w:p>
        </w:tc>
        <w:tc>
          <w:tcPr>
            <w:tcW w:w="443" w:type="pct"/>
            <w:vMerge w:val="continue"/>
            <w:noWrap w:val="0"/>
            <w:vAlign w:val="center"/>
          </w:tcPr>
          <w:p w14:paraId="7EC433DB">
            <w:pPr>
              <w:widowControl/>
              <w:snapToGrid w:val="0"/>
              <w:spacing w:line="240" w:lineRule="auto"/>
              <w:jc w:val="center"/>
              <w:rPr>
                <w:rFonts w:hint="eastAsia" w:ascii="仿宋" w:hAnsi="仿宋" w:eastAsia="仿宋" w:cs="仿宋"/>
                <w:color w:val="auto"/>
                <w:kern w:val="0"/>
                <w:highlight w:val="none"/>
              </w:rPr>
            </w:pPr>
          </w:p>
        </w:tc>
        <w:tc>
          <w:tcPr>
            <w:tcW w:w="811" w:type="pct"/>
            <w:noWrap w:val="0"/>
            <w:vAlign w:val="center"/>
          </w:tcPr>
          <w:p w14:paraId="0B4242AD">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城市广场</w:t>
            </w:r>
          </w:p>
        </w:tc>
        <w:tc>
          <w:tcPr>
            <w:tcW w:w="1524" w:type="pct"/>
            <w:noWrap w:val="0"/>
            <w:vAlign w:val="center"/>
          </w:tcPr>
          <w:p w14:paraId="5E2985C2">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＜200m服务半径设1座</w:t>
            </w:r>
          </w:p>
        </w:tc>
        <w:tc>
          <w:tcPr>
            <w:tcW w:w="1715" w:type="pct"/>
            <w:noWrap w:val="0"/>
            <w:vAlign w:val="center"/>
          </w:tcPr>
          <w:p w14:paraId="3C0B3D25">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城市广场至少应设置1座公共厕所，厕位数应满足广场平时人流量需求；最大流量时可设置活动式公共厕所应急</w:t>
            </w:r>
          </w:p>
        </w:tc>
      </w:tr>
      <w:tr w14:paraId="6DB447D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507" w:type="pct"/>
            <w:vMerge w:val="continue"/>
            <w:noWrap w:val="0"/>
            <w:vAlign w:val="center"/>
          </w:tcPr>
          <w:p w14:paraId="7A0EAFE4">
            <w:pPr>
              <w:widowControl/>
              <w:snapToGrid w:val="0"/>
              <w:spacing w:line="240" w:lineRule="auto"/>
              <w:jc w:val="center"/>
              <w:rPr>
                <w:rFonts w:hint="eastAsia" w:ascii="仿宋" w:hAnsi="仿宋" w:eastAsia="仿宋" w:cs="仿宋"/>
                <w:color w:val="auto"/>
                <w:kern w:val="0"/>
                <w:highlight w:val="none"/>
              </w:rPr>
            </w:pPr>
          </w:p>
        </w:tc>
        <w:tc>
          <w:tcPr>
            <w:tcW w:w="443" w:type="pct"/>
            <w:vMerge w:val="continue"/>
            <w:noWrap w:val="0"/>
            <w:vAlign w:val="center"/>
          </w:tcPr>
          <w:p w14:paraId="35DC3CE6">
            <w:pPr>
              <w:widowControl/>
              <w:snapToGrid w:val="0"/>
              <w:spacing w:line="240" w:lineRule="auto"/>
              <w:jc w:val="center"/>
              <w:rPr>
                <w:rFonts w:hint="eastAsia" w:ascii="仿宋" w:hAnsi="仿宋" w:eastAsia="仿宋" w:cs="仿宋"/>
                <w:color w:val="auto"/>
                <w:kern w:val="0"/>
                <w:highlight w:val="none"/>
              </w:rPr>
            </w:pPr>
          </w:p>
        </w:tc>
        <w:tc>
          <w:tcPr>
            <w:tcW w:w="811" w:type="pct"/>
            <w:noWrap w:val="0"/>
            <w:vAlign w:val="center"/>
          </w:tcPr>
          <w:p w14:paraId="7F348BD1">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其他</w:t>
            </w:r>
          </w:p>
          <w:p w14:paraId="1444362B">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休憩场所</w:t>
            </w:r>
          </w:p>
        </w:tc>
        <w:tc>
          <w:tcPr>
            <w:tcW w:w="1524" w:type="pct"/>
            <w:noWrap w:val="0"/>
            <w:vAlign w:val="center"/>
          </w:tcPr>
          <w:p w14:paraId="1CCB0467">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600－800m服务半径设1座</w:t>
            </w:r>
          </w:p>
        </w:tc>
        <w:tc>
          <w:tcPr>
            <w:tcW w:w="1715" w:type="pct"/>
            <w:noWrap w:val="0"/>
            <w:vAlign w:val="center"/>
          </w:tcPr>
          <w:p w14:paraId="08E42525">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主要是旅游景区等</w:t>
            </w:r>
          </w:p>
        </w:tc>
      </w:tr>
      <w:tr w14:paraId="3F7B8DF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507" w:type="pct"/>
            <w:vMerge w:val="restart"/>
            <w:noWrap w:val="0"/>
            <w:vAlign w:val="center"/>
          </w:tcPr>
          <w:p w14:paraId="2D726212">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镇（乡）</w:t>
            </w:r>
          </w:p>
        </w:tc>
        <w:tc>
          <w:tcPr>
            <w:tcW w:w="1254" w:type="pct"/>
            <w:gridSpan w:val="2"/>
            <w:noWrap w:val="0"/>
            <w:vAlign w:val="center"/>
          </w:tcPr>
          <w:p w14:paraId="7ECB9CEB">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建成区</w:t>
            </w:r>
          </w:p>
        </w:tc>
        <w:tc>
          <w:tcPr>
            <w:tcW w:w="1524" w:type="pct"/>
            <w:noWrap w:val="0"/>
            <w:vAlign w:val="center"/>
          </w:tcPr>
          <w:p w14:paraId="57F23F1C">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400－500m设1座</w:t>
            </w:r>
          </w:p>
        </w:tc>
        <w:tc>
          <w:tcPr>
            <w:tcW w:w="1715" w:type="pct"/>
            <w:noWrap w:val="0"/>
            <w:vAlign w:val="center"/>
          </w:tcPr>
          <w:p w14:paraId="2654241B">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可参照城市相关规定</w:t>
            </w:r>
          </w:p>
        </w:tc>
      </w:tr>
      <w:tr w14:paraId="512C135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507" w:type="pct"/>
            <w:vMerge w:val="continue"/>
            <w:noWrap w:val="0"/>
            <w:vAlign w:val="center"/>
          </w:tcPr>
          <w:p w14:paraId="030E1037">
            <w:pPr>
              <w:widowControl/>
              <w:snapToGrid w:val="0"/>
              <w:spacing w:line="240" w:lineRule="auto"/>
              <w:jc w:val="center"/>
              <w:rPr>
                <w:rFonts w:hint="eastAsia" w:ascii="仿宋" w:hAnsi="仿宋" w:eastAsia="仿宋" w:cs="仿宋"/>
                <w:color w:val="auto"/>
                <w:kern w:val="0"/>
                <w:highlight w:val="none"/>
              </w:rPr>
            </w:pPr>
          </w:p>
        </w:tc>
        <w:tc>
          <w:tcPr>
            <w:tcW w:w="1254" w:type="pct"/>
            <w:gridSpan w:val="2"/>
            <w:noWrap w:val="0"/>
            <w:vAlign w:val="center"/>
          </w:tcPr>
          <w:p w14:paraId="6DDFCDDF">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有公共活动区的村庄</w:t>
            </w:r>
          </w:p>
        </w:tc>
        <w:tc>
          <w:tcPr>
            <w:tcW w:w="1524" w:type="pct"/>
            <w:noWrap w:val="0"/>
            <w:vAlign w:val="center"/>
          </w:tcPr>
          <w:p w14:paraId="5828494F">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每个村庄设1座</w:t>
            </w:r>
          </w:p>
        </w:tc>
        <w:tc>
          <w:tcPr>
            <w:tcW w:w="1715" w:type="pct"/>
            <w:noWrap w:val="0"/>
            <w:vAlign w:val="center"/>
          </w:tcPr>
          <w:p w14:paraId="67B35241">
            <w:pPr>
              <w:widowControl/>
              <w:snapToGrid w:val="0"/>
              <w:spacing w:line="240" w:lineRule="auto"/>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村庄内应合理布局公共厕所，1500人以下规模的村庄，宜设置1—2座，1500人以上规模的村庄，每增加1000人增设一座。</w:t>
            </w:r>
          </w:p>
        </w:tc>
      </w:tr>
      <w:tr w14:paraId="3A5F470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5000" w:type="pct"/>
            <w:gridSpan w:val="5"/>
            <w:noWrap w:val="0"/>
            <w:vAlign w:val="top"/>
          </w:tcPr>
          <w:p w14:paraId="421DE011">
            <w:pPr>
              <w:widowControl/>
              <w:snapToGrid w:val="0"/>
              <w:spacing w:line="240" w:lineRule="auto"/>
              <w:rPr>
                <w:rFonts w:hint="eastAsia" w:ascii="仿宋" w:hAnsi="仿宋" w:eastAsia="仿宋" w:cs="仿宋"/>
                <w:color w:val="auto"/>
                <w:highlight w:val="none"/>
              </w:rPr>
            </w:pPr>
            <w:r>
              <w:rPr>
                <w:rFonts w:hint="eastAsia" w:ascii="仿宋" w:hAnsi="仿宋" w:eastAsia="仿宋" w:cs="仿宋"/>
                <w:color w:val="auto"/>
                <w:kern w:val="0"/>
                <w:highlight w:val="none"/>
              </w:rPr>
              <w:t>注：1、公共厕所沿城镇道路设置的，</w:t>
            </w:r>
            <w:r>
              <w:rPr>
                <w:rFonts w:hint="eastAsia" w:ascii="仿宋" w:hAnsi="仿宋" w:eastAsia="仿宋" w:cs="仿宋"/>
                <w:color w:val="auto"/>
                <w:highlight w:val="none"/>
              </w:rPr>
              <w:t>应根据道路性质选择公共厕所设置密度：</w:t>
            </w:r>
          </w:p>
          <w:p w14:paraId="0B71EAE2">
            <w:pPr>
              <w:widowControl/>
              <w:numPr>
                <w:ilvl w:val="0"/>
                <w:numId w:val="4"/>
              </w:numPr>
              <w:snapToGrid w:val="0"/>
              <w:spacing w:line="240" w:lineRule="auto"/>
              <w:rPr>
                <w:rFonts w:hint="eastAsia" w:ascii="仿宋" w:hAnsi="仿宋" w:eastAsia="仿宋" w:cs="仿宋"/>
                <w:color w:val="auto"/>
                <w:highlight w:val="none"/>
              </w:rPr>
            </w:pPr>
            <w:r>
              <w:rPr>
                <w:rFonts w:hint="eastAsia" w:ascii="仿宋" w:hAnsi="仿宋" w:eastAsia="仿宋" w:cs="仿宋"/>
                <w:color w:val="auto"/>
                <w:highlight w:val="none"/>
              </w:rPr>
              <w:t>商业性路段：沿街的商业型建筑物占街道上建筑物总量的50％以上；</w:t>
            </w:r>
          </w:p>
          <w:p w14:paraId="2C658B4F">
            <w:pPr>
              <w:widowControl/>
              <w:numPr>
                <w:ilvl w:val="0"/>
                <w:numId w:val="4"/>
              </w:numPr>
              <w:snapToGrid w:val="0"/>
              <w:spacing w:line="240" w:lineRule="auto"/>
              <w:rPr>
                <w:rFonts w:hint="eastAsia" w:ascii="仿宋" w:hAnsi="仿宋" w:eastAsia="仿宋" w:cs="仿宋"/>
                <w:color w:val="auto"/>
                <w:highlight w:val="none"/>
              </w:rPr>
            </w:pPr>
            <w:r>
              <w:rPr>
                <w:rFonts w:hint="eastAsia" w:ascii="仿宋" w:hAnsi="仿宋" w:eastAsia="仿宋" w:cs="仿宋"/>
                <w:color w:val="auto"/>
                <w:highlight w:val="none"/>
              </w:rPr>
              <w:t>生活性道路：沿街的商业型建筑物占街道上建筑物总量的15％～50％；</w:t>
            </w:r>
          </w:p>
          <w:p w14:paraId="0CFD8026">
            <w:pPr>
              <w:widowControl/>
              <w:numPr>
                <w:ilvl w:val="0"/>
                <w:numId w:val="4"/>
              </w:numPr>
              <w:snapToGrid w:val="0"/>
              <w:spacing w:line="240" w:lineRule="auto"/>
              <w:rPr>
                <w:rFonts w:hint="eastAsia" w:ascii="仿宋" w:hAnsi="仿宋" w:eastAsia="仿宋" w:cs="仿宋"/>
                <w:color w:val="auto"/>
                <w:highlight w:val="none"/>
              </w:rPr>
            </w:pPr>
            <w:r>
              <w:rPr>
                <w:rFonts w:hint="eastAsia" w:ascii="仿宋" w:hAnsi="仿宋" w:eastAsia="仿宋" w:cs="仿宋"/>
                <w:color w:val="auto"/>
                <w:highlight w:val="none"/>
              </w:rPr>
              <w:t>交通性道路：沿街商业型建筑物在15％以下。</w:t>
            </w:r>
          </w:p>
          <w:p w14:paraId="01A26F9B">
            <w:pPr>
              <w:widowControl/>
              <w:snapToGrid w:val="0"/>
              <w:spacing w:line="240" w:lineRule="auto"/>
              <w:ind w:firstLine="420" w:firstLineChars="200"/>
              <w:rPr>
                <w:rFonts w:hint="eastAsia" w:ascii="仿宋" w:hAnsi="仿宋" w:eastAsia="仿宋" w:cs="仿宋"/>
                <w:color w:val="auto"/>
                <w:kern w:val="0"/>
                <w:highlight w:val="none"/>
              </w:rPr>
            </w:pPr>
            <w:r>
              <w:rPr>
                <w:rFonts w:hint="eastAsia" w:ascii="仿宋" w:hAnsi="仿宋" w:eastAsia="仿宋" w:cs="仿宋"/>
                <w:color w:val="auto"/>
                <w:highlight w:val="none"/>
              </w:rPr>
              <w:t>2、路边公共厕所宜与加油站、停车场等设施合建。</w:t>
            </w:r>
          </w:p>
        </w:tc>
      </w:tr>
    </w:tbl>
    <w:p w14:paraId="63D506DA">
      <w:pPr>
        <w:spacing w:after="0" w:line="480" w:lineRule="auto"/>
        <w:ind w:firstLine="560" w:firstLineChars="200"/>
        <w:rPr>
          <w:rFonts w:hint="eastAsia" w:ascii="仿宋" w:hAnsi="仿宋" w:eastAsia="仿宋" w:cstheme="minorEastAsia"/>
          <w:sz w:val="28"/>
          <w:szCs w:val="28"/>
        </w:rPr>
      </w:pPr>
      <w:r>
        <w:rPr>
          <w:rFonts w:hint="eastAsia" w:ascii="仿宋" w:hAnsi="仿宋" w:eastAsia="仿宋" w:cstheme="minorEastAsia"/>
          <w:sz w:val="28"/>
          <w:szCs w:val="28"/>
        </w:rPr>
        <w:t>（二）垃圾收集点</w:t>
      </w:r>
    </w:p>
    <w:p w14:paraId="0341C720">
      <w:pPr>
        <w:spacing w:after="0" w:line="480" w:lineRule="auto"/>
        <w:ind w:firstLine="560" w:firstLineChars="200"/>
        <w:rPr>
          <w:rFonts w:hint="eastAsia" w:ascii="仿宋" w:hAnsi="仿宋" w:eastAsia="仿宋" w:cstheme="minorEastAsia"/>
          <w:sz w:val="28"/>
          <w:szCs w:val="28"/>
        </w:rPr>
      </w:pPr>
      <w:r>
        <w:rPr>
          <w:rFonts w:hint="eastAsia" w:ascii="仿宋" w:hAnsi="仿宋" w:eastAsia="仿宋" w:cstheme="minorEastAsia"/>
          <w:sz w:val="28"/>
          <w:szCs w:val="28"/>
        </w:rPr>
        <w:t>生活垃圾收集点一般设在居住区内或其他用地内，要满足其必要的交通运输条件；当设置在路边时应满足城镇及村庄景观环境要求，城市垃圾收集点的服务半径不宜超过70m，镇（乡）建成区垃圾收集点的服务半径不宜超过100m，村庄垃圾收集点的服务半径不宜超过200m。垃圾收集点的设置应以便于生活垃圾的收集，一般考虑居民就近使用。</w:t>
      </w:r>
    </w:p>
    <w:p w14:paraId="4B2EB7BD">
      <w:pPr>
        <w:spacing w:after="0" w:line="480" w:lineRule="auto"/>
        <w:ind w:firstLine="560" w:firstLineChars="200"/>
        <w:rPr>
          <w:rFonts w:hint="eastAsia" w:ascii="仿宋" w:hAnsi="仿宋" w:eastAsia="仿宋" w:cstheme="minorEastAsia"/>
          <w:sz w:val="28"/>
          <w:szCs w:val="28"/>
        </w:rPr>
      </w:pPr>
      <w:r>
        <w:rPr>
          <w:rFonts w:hint="eastAsia" w:ascii="仿宋" w:hAnsi="仿宋" w:eastAsia="仿宋" w:cstheme="minorEastAsia"/>
          <w:sz w:val="28"/>
          <w:szCs w:val="28"/>
        </w:rPr>
        <w:t>（三）垃圾收集站</w:t>
      </w:r>
    </w:p>
    <w:p w14:paraId="02F813DF">
      <w:pPr>
        <w:spacing w:after="0" w:line="480" w:lineRule="auto"/>
        <w:ind w:firstLine="560" w:firstLineChars="200"/>
        <w:rPr>
          <w:rFonts w:hint="eastAsia" w:ascii="仿宋" w:hAnsi="仿宋" w:eastAsia="仿宋" w:cstheme="minorEastAsia"/>
          <w:sz w:val="28"/>
          <w:szCs w:val="28"/>
        </w:rPr>
      </w:pPr>
      <w:r>
        <w:rPr>
          <w:rFonts w:hint="eastAsia" w:ascii="仿宋" w:hAnsi="仿宋" w:eastAsia="仿宋" w:cstheme="minorEastAsia"/>
          <w:sz w:val="28"/>
          <w:szCs w:val="28"/>
        </w:rPr>
        <w:t>垃圾收集站的功能是将小型垃圾收集运输车分散收集到的垃圾集中，并借助机械设备将垃圾压实、转装到大型垃圾运输车上。</w:t>
      </w:r>
    </w:p>
    <w:p w14:paraId="7DF0F47F">
      <w:pPr>
        <w:spacing w:after="0" w:line="480" w:lineRule="auto"/>
        <w:ind w:firstLine="560" w:firstLineChars="200"/>
        <w:rPr>
          <w:rFonts w:hint="eastAsia" w:ascii="仿宋" w:hAnsi="仿宋" w:eastAsia="仿宋" w:cstheme="minorEastAsia"/>
          <w:sz w:val="28"/>
          <w:szCs w:val="28"/>
        </w:rPr>
      </w:pPr>
      <w:r>
        <w:rPr>
          <w:rFonts w:hint="eastAsia" w:ascii="仿宋" w:hAnsi="仿宋" w:eastAsia="仿宋" w:cstheme="minorEastAsia"/>
          <w:sz w:val="28"/>
          <w:szCs w:val="28"/>
        </w:rPr>
        <w:t>考虑到乡镇经济及实际等情况，规划原则上对于一般乡镇不再进行垃圾收集站设置，而是设置集垃圾收集和转运功能的垃圾转运站进行垃圾收集和中转功能，有条件的如重点乡镇也可进行垃圾收集站设置。</w:t>
      </w:r>
    </w:p>
    <w:p w14:paraId="375B0F1C">
      <w:pPr>
        <w:spacing w:after="0" w:line="480" w:lineRule="auto"/>
        <w:ind w:firstLine="560" w:firstLineChars="200"/>
        <w:rPr>
          <w:rFonts w:hint="eastAsia" w:ascii="仿宋" w:hAnsi="仿宋" w:eastAsia="仿宋" w:cstheme="minorEastAsia"/>
          <w:sz w:val="28"/>
          <w:szCs w:val="28"/>
        </w:rPr>
      </w:pPr>
      <w:r>
        <w:rPr>
          <w:rFonts w:hint="eastAsia" w:ascii="仿宋" w:hAnsi="仿宋" w:eastAsia="仿宋" w:cstheme="minorEastAsia"/>
          <w:sz w:val="28"/>
          <w:szCs w:val="28"/>
        </w:rPr>
        <w:t>（四）垃圾转运站</w:t>
      </w:r>
    </w:p>
    <w:p w14:paraId="131B47B3">
      <w:pPr>
        <w:spacing w:after="0" w:line="480" w:lineRule="auto"/>
        <w:ind w:firstLine="560" w:firstLineChars="200"/>
        <w:rPr>
          <w:rFonts w:hint="eastAsia" w:ascii="仿宋" w:hAnsi="仿宋" w:eastAsia="仿宋" w:cstheme="minorEastAsia"/>
          <w:sz w:val="28"/>
          <w:szCs w:val="28"/>
        </w:rPr>
      </w:pPr>
      <w:r>
        <w:rPr>
          <w:rFonts w:hint="eastAsia" w:ascii="仿宋" w:hAnsi="仿宋" w:eastAsia="仿宋" w:cstheme="minorEastAsia"/>
          <w:sz w:val="28"/>
          <w:szCs w:val="28"/>
        </w:rPr>
        <w:t>当垃圾运输距离超过经济运距且运输量较大时，宜设置垃圾转运站。垃圾转运站的设置应符合下列规定：</w:t>
      </w:r>
    </w:p>
    <w:p w14:paraId="26C38AFB">
      <w:pPr>
        <w:spacing w:after="0" w:line="480" w:lineRule="auto"/>
        <w:ind w:firstLine="560" w:firstLineChars="200"/>
        <w:rPr>
          <w:rFonts w:hint="eastAsia" w:ascii="仿宋" w:hAnsi="仿宋" w:eastAsia="仿宋" w:cstheme="minorEastAsia"/>
          <w:sz w:val="28"/>
          <w:szCs w:val="28"/>
        </w:rPr>
      </w:pPr>
      <w:r>
        <w:rPr>
          <w:rFonts w:hint="eastAsia" w:ascii="仿宋" w:hAnsi="仿宋" w:eastAsia="仿宋" w:cstheme="minorEastAsia"/>
          <w:sz w:val="28"/>
          <w:szCs w:val="28"/>
        </w:rPr>
        <w:t>1、服务范围内垃圾运输平均距离超过10km，宜设置垃圾转运站；平均距离超过20km时，宜设置大、中型转运站。</w:t>
      </w:r>
    </w:p>
    <w:p w14:paraId="6243E769">
      <w:pPr>
        <w:spacing w:after="0" w:line="480" w:lineRule="auto"/>
        <w:ind w:firstLine="560" w:firstLineChars="200"/>
        <w:rPr>
          <w:rFonts w:hint="eastAsia" w:ascii="仿宋" w:hAnsi="仿宋" w:eastAsia="仿宋" w:cstheme="minorEastAsia"/>
          <w:sz w:val="28"/>
          <w:szCs w:val="28"/>
        </w:rPr>
      </w:pPr>
      <w:r>
        <w:rPr>
          <w:rFonts w:hint="eastAsia" w:ascii="仿宋" w:hAnsi="仿宋" w:eastAsia="仿宋" w:cstheme="minorEastAsia"/>
          <w:sz w:val="28"/>
          <w:szCs w:val="28"/>
        </w:rPr>
        <w:t>2、镇（乡）宜设置转运站。</w:t>
      </w:r>
    </w:p>
    <w:p w14:paraId="3B32DF31">
      <w:pPr>
        <w:spacing w:after="0" w:line="480" w:lineRule="auto"/>
        <w:ind w:firstLine="560" w:firstLineChars="200"/>
        <w:rPr>
          <w:rFonts w:hint="eastAsia" w:ascii="仿宋" w:hAnsi="仿宋" w:eastAsia="仿宋" w:cstheme="minorEastAsia"/>
          <w:sz w:val="28"/>
          <w:szCs w:val="28"/>
        </w:rPr>
      </w:pPr>
      <w:r>
        <w:rPr>
          <w:rFonts w:hint="eastAsia" w:ascii="仿宋" w:hAnsi="仿宋" w:eastAsia="仿宋" w:cstheme="minorEastAsia"/>
          <w:sz w:val="28"/>
          <w:szCs w:val="28"/>
        </w:rPr>
        <w:t>3、采用小型转运站转运的城镇区域宜按每2km</w:t>
      </w:r>
      <w:r>
        <w:rPr>
          <w:rFonts w:hint="eastAsia" w:ascii="仿宋" w:hAnsi="仿宋" w:eastAsia="仿宋" w:cstheme="minorEastAsia"/>
          <w:sz w:val="28"/>
          <w:szCs w:val="28"/>
          <w:vertAlign w:val="superscript"/>
        </w:rPr>
        <w:t>2</w:t>
      </w:r>
      <w:r>
        <w:rPr>
          <w:rFonts w:hint="eastAsia" w:ascii="仿宋" w:hAnsi="仿宋" w:eastAsia="仿宋" w:cstheme="minorEastAsia"/>
          <w:sz w:val="28"/>
          <w:szCs w:val="28"/>
        </w:rPr>
        <w:t>～3km</w:t>
      </w:r>
      <w:r>
        <w:rPr>
          <w:rFonts w:hint="eastAsia" w:ascii="仿宋" w:hAnsi="仿宋" w:eastAsia="仿宋" w:cstheme="minorEastAsia"/>
          <w:sz w:val="28"/>
          <w:szCs w:val="28"/>
          <w:vertAlign w:val="superscript"/>
        </w:rPr>
        <w:t>2</w:t>
      </w:r>
      <w:r>
        <w:rPr>
          <w:rFonts w:hint="eastAsia" w:ascii="仿宋" w:hAnsi="仿宋" w:eastAsia="仿宋" w:cstheme="minorEastAsia"/>
          <w:sz w:val="28"/>
          <w:szCs w:val="28"/>
        </w:rPr>
        <w:t>设置一座小型转运站。</w:t>
      </w:r>
    </w:p>
    <w:p w14:paraId="1F326258">
      <w:pPr>
        <w:spacing w:after="0" w:line="480" w:lineRule="auto"/>
        <w:ind w:firstLine="560" w:firstLineChars="200"/>
        <w:rPr>
          <w:rFonts w:hint="eastAsia" w:ascii="仿宋" w:hAnsi="仿宋" w:eastAsia="仿宋" w:cstheme="minorEastAsia"/>
          <w:sz w:val="28"/>
          <w:szCs w:val="28"/>
        </w:rPr>
      </w:pPr>
      <w:r>
        <w:rPr>
          <w:rFonts w:hint="eastAsia" w:ascii="仿宋" w:hAnsi="仿宋" w:eastAsia="仿宋" w:cstheme="minorEastAsia"/>
          <w:sz w:val="28"/>
          <w:szCs w:val="28"/>
        </w:rPr>
        <w:t>4、垃圾转运站的用地指标应根据日转运量确定，具体内容详见中心城区相关部分内容。</w:t>
      </w:r>
    </w:p>
    <w:p w14:paraId="11C45475">
      <w:pPr>
        <w:spacing w:after="0" w:line="480" w:lineRule="auto"/>
        <w:ind w:firstLine="560" w:firstLineChars="200"/>
        <w:rPr>
          <w:rFonts w:hint="eastAsia" w:ascii="仿宋" w:hAnsi="仿宋" w:eastAsia="仿宋" w:cstheme="minorEastAsia"/>
          <w:sz w:val="28"/>
          <w:szCs w:val="28"/>
        </w:rPr>
      </w:pPr>
      <w:r>
        <w:rPr>
          <w:rFonts w:hint="eastAsia" w:ascii="仿宋" w:hAnsi="仿宋" w:eastAsia="仿宋" w:cstheme="minorEastAsia"/>
          <w:sz w:val="28"/>
          <w:szCs w:val="28"/>
        </w:rPr>
        <w:t>至规划期末，县域每个乡镇设置一个中小型垃圾转运站，负责各自乡镇的垃圾转运工作。</w:t>
      </w:r>
    </w:p>
    <w:p w14:paraId="5CBC690F">
      <w:pPr>
        <w:spacing w:after="0" w:line="480" w:lineRule="auto"/>
        <w:ind w:firstLine="560" w:firstLineChars="200"/>
        <w:rPr>
          <w:rFonts w:hint="eastAsia" w:ascii="仿宋" w:hAnsi="仿宋" w:eastAsia="仿宋" w:cstheme="minorEastAsia"/>
          <w:sz w:val="28"/>
          <w:szCs w:val="28"/>
          <w:lang w:eastAsia="zh-CN"/>
        </w:rPr>
      </w:pPr>
      <w:r>
        <w:rPr>
          <w:rFonts w:hint="eastAsia" w:ascii="仿宋" w:hAnsi="仿宋" w:eastAsia="仿宋" w:cstheme="minorEastAsia"/>
          <w:sz w:val="28"/>
          <w:szCs w:val="28"/>
          <w:lang w:eastAsia="zh-CN"/>
        </w:rPr>
        <w:t>规划期末县域形成“村收集、镇（乡）转运、县处理”的生活垃圾处理体系。</w:t>
      </w:r>
    </w:p>
    <w:p w14:paraId="3A55C229">
      <w:pPr>
        <w:pStyle w:val="29"/>
        <w:numPr>
          <w:ilvl w:val="0"/>
          <w:numId w:val="3"/>
        </w:numPr>
        <w:jc w:val="left"/>
        <w:rPr>
          <w:rFonts w:ascii="仿宋" w:hAnsi="仿宋" w:eastAsia="仿宋" w:cstheme="minorEastAsia"/>
          <w:szCs w:val="28"/>
        </w:rPr>
      </w:pPr>
      <w:bookmarkStart w:id="7" w:name="_Toc22163"/>
      <w:r>
        <w:rPr>
          <w:rFonts w:hint="eastAsia" w:ascii="仿宋" w:hAnsi="仿宋" w:eastAsia="仿宋" w:cstheme="minorEastAsia"/>
          <w:szCs w:val="28"/>
          <w:lang w:eastAsia="zh-CN"/>
        </w:rPr>
        <w:t>中心城区环卫设施</w:t>
      </w:r>
      <w:r>
        <w:rPr>
          <w:rFonts w:hint="eastAsia" w:ascii="仿宋" w:hAnsi="仿宋" w:eastAsia="仿宋" w:cstheme="minorEastAsia"/>
          <w:szCs w:val="28"/>
        </w:rPr>
        <w:t>规划</w:t>
      </w:r>
      <w:bookmarkEnd w:id="7"/>
    </w:p>
    <w:p w14:paraId="529B84AC">
      <w:pPr>
        <w:spacing w:after="0" w:line="480" w:lineRule="auto"/>
        <w:ind w:firstLine="560" w:firstLineChars="200"/>
        <w:rPr>
          <w:rFonts w:hint="eastAsia" w:ascii="仿宋" w:hAnsi="仿宋" w:eastAsia="仿宋" w:cstheme="minorEastAsia"/>
          <w:sz w:val="28"/>
          <w:szCs w:val="28"/>
          <w:lang w:eastAsia="zh-CN"/>
        </w:rPr>
      </w:pPr>
      <w:r>
        <w:rPr>
          <w:rFonts w:hint="eastAsia" w:ascii="仿宋" w:hAnsi="仿宋" w:eastAsia="仿宋" w:cstheme="minorEastAsia"/>
          <w:sz w:val="28"/>
          <w:szCs w:val="28"/>
          <w:lang w:eastAsia="zh-CN"/>
        </w:rPr>
        <w:t>（一）垃圾收集站</w:t>
      </w:r>
    </w:p>
    <w:p w14:paraId="737761FB">
      <w:pPr>
        <w:spacing w:after="0" w:line="480" w:lineRule="auto"/>
        <w:ind w:firstLine="560" w:firstLineChars="200"/>
        <w:rPr>
          <w:rFonts w:hint="eastAsia" w:ascii="仿宋" w:hAnsi="仿宋" w:eastAsia="仿宋" w:cstheme="minorEastAsia"/>
          <w:sz w:val="28"/>
          <w:szCs w:val="28"/>
          <w:lang w:eastAsia="zh-CN"/>
        </w:rPr>
      </w:pPr>
      <w:r>
        <w:rPr>
          <w:rFonts w:hint="eastAsia" w:ascii="仿宋" w:hAnsi="仿宋" w:eastAsia="仿宋" w:cstheme="minorEastAsia"/>
          <w:sz w:val="28"/>
          <w:szCs w:val="28"/>
          <w:lang w:val="en-US" w:eastAsia="zh-CN"/>
        </w:rPr>
        <w:t>1、</w:t>
      </w:r>
      <w:r>
        <w:rPr>
          <w:rFonts w:hint="eastAsia" w:ascii="仿宋" w:hAnsi="仿宋" w:eastAsia="仿宋" w:cstheme="minorEastAsia"/>
          <w:sz w:val="28"/>
          <w:szCs w:val="28"/>
          <w:lang w:eastAsia="zh-CN"/>
        </w:rPr>
        <w:t>垃圾收集站的设置应符合以下规定：</w:t>
      </w:r>
    </w:p>
    <w:p w14:paraId="3738992B">
      <w:pPr>
        <w:keepNext w:val="0"/>
        <w:keepLines w:val="0"/>
        <w:pageBreakBefore w:val="0"/>
        <w:widowControl w:val="0"/>
        <w:numPr>
          <w:ilvl w:val="0"/>
          <w:numId w:val="5"/>
        </w:numPr>
        <w:kinsoku/>
        <w:wordWrap/>
        <w:overflowPunct/>
        <w:topLinePunct w:val="0"/>
        <w:autoSpaceDE/>
        <w:autoSpaceDN/>
        <w:bidi w:val="0"/>
        <w:adjustRightInd/>
        <w:snapToGrid/>
        <w:spacing w:after="0" w:line="480" w:lineRule="auto"/>
        <w:ind w:left="559" w:leftChars="266" w:firstLine="280" w:firstLineChars="100"/>
        <w:textAlignment w:val="auto"/>
        <w:rPr>
          <w:rFonts w:hint="eastAsia" w:ascii="仿宋" w:hAnsi="仿宋" w:eastAsia="仿宋" w:cstheme="minorEastAsia"/>
          <w:sz w:val="28"/>
          <w:szCs w:val="28"/>
          <w:lang w:eastAsia="zh-CN"/>
        </w:rPr>
      </w:pPr>
      <w:r>
        <w:rPr>
          <w:rFonts w:hint="eastAsia" w:ascii="仿宋" w:hAnsi="仿宋" w:eastAsia="仿宋" w:cstheme="minorEastAsia"/>
          <w:sz w:val="28"/>
          <w:szCs w:val="28"/>
          <w:lang w:eastAsia="zh-CN"/>
        </w:rPr>
        <w:t>封闭的居住小区内，宜设置收集站。</w:t>
      </w:r>
    </w:p>
    <w:p w14:paraId="3CC91BAF">
      <w:pPr>
        <w:keepNext w:val="0"/>
        <w:keepLines w:val="0"/>
        <w:pageBreakBefore w:val="0"/>
        <w:widowControl w:val="0"/>
        <w:numPr>
          <w:ilvl w:val="0"/>
          <w:numId w:val="5"/>
        </w:numPr>
        <w:kinsoku/>
        <w:wordWrap/>
        <w:overflowPunct/>
        <w:topLinePunct w:val="0"/>
        <w:autoSpaceDE/>
        <w:autoSpaceDN/>
        <w:bidi w:val="0"/>
        <w:adjustRightInd/>
        <w:snapToGrid/>
        <w:spacing w:after="0" w:line="480" w:lineRule="auto"/>
        <w:ind w:left="559" w:leftChars="266" w:firstLine="280" w:firstLineChars="100"/>
        <w:textAlignment w:val="auto"/>
        <w:rPr>
          <w:rFonts w:hint="eastAsia" w:ascii="仿宋" w:hAnsi="仿宋" w:eastAsia="仿宋" w:cstheme="minorEastAsia"/>
          <w:sz w:val="28"/>
          <w:szCs w:val="28"/>
          <w:lang w:eastAsia="zh-CN"/>
        </w:rPr>
      </w:pPr>
      <w:r>
        <w:rPr>
          <w:rFonts w:hint="eastAsia" w:ascii="仿宋" w:hAnsi="仿宋" w:eastAsia="仿宋" w:cstheme="minorEastAsia"/>
          <w:sz w:val="28"/>
          <w:szCs w:val="28"/>
          <w:lang w:eastAsia="zh-CN"/>
        </w:rPr>
        <w:t>居住小区或村庄超过5000人时，应设置收集站。</w:t>
      </w:r>
    </w:p>
    <w:p w14:paraId="36028090">
      <w:pPr>
        <w:keepNext w:val="0"/>
        <w:keepLines w:val="0"/>
        <w:pageBreakBefore w:val="0"/>
        <w:widowControl w:val="0"/>
        <w:numPr>
          <w:ilvl w:val="0"/>
          <w:numId w:val="5"/>
        </w:numPr>
        <w:kinsoku/>
        <w:wordWrap/>
        <w:overflowPunct/>
        <w:topLinePunct w:val="0"/>
        <w:autoSpaceDE/>
        <w:autoSpaceDN/>
        <w:bidi w:val="0"/>
        <w:adjustRightInd/>
        <w:snapToGrid/>
        <w:spacing w:after="0" w:line="480" w:lineRule="auto"/>
        <w:ind w:left="559" w:leftChars="266" w:firstLine="280" w:firstLineChars="100"/>
        <w:textAlignment w:val="auto"/>
        <w:rPr>
          <w:rFonts w:hint="eastAsia" w:ascii="仿宋" w:hAnsi="仿宋" w:eastAsia="仿宋" w:cstheme="minorEastAsia"/>
          <w:sz w:val="28"/>
          <w:szCs w:val="28"/>
          <w:lang w:eastAsia="zh-CN"/>
        </w:rPr>
      </w:pPr>
      <w:r>
        <w:rPr>
          <w:rFonts w:hint="eastAsia" w:ascii="仿宋" w:hAnsi="仿宋" w:eastAsia="仿宋" w:cstheme="minorEastAsia"/>
          <w:sz w:val="28"/>
          <w:szCs w:val="28"/>
          <w:lang w:eastAsia="zh-CN"/>
        </w:rPr>
        <w:t>居住小区少于5000人时，可与相邻区域联合设置收集站。</w:t>
      </w:r>
    </w:p>
    <w:p w14:paraId="19EDE256">
      <w:pPr>
        <w:keepNext w:val="0"/>
        <w:keepLines w:val="0"/>
        <w:pageBreakBefore w:val="0"/>
        <w:widowControl w:val="0"/>
        <w:numPr>
          <w:ilvl w:val="0"/>
          <w:numId w:val="5"/>
        </w:numPr>
        <w:kinsoku/>
        <w:wordWrap/>
        <w:overflowPunct/>
        <w:topLinePunct w:val="0"/>
        <w:autoSpaceDE/>
        <w:autoSpaceDN/>
        <w:bidi w:val="0"/>
        <w:adjustRightInd/>
        <w:snapToGrid/>
        <w:spacing w:after="0" w:line="480" w:lineRule="auto"/>
        <w:ind w:left="559" w:leftChars="266" w:firstLine="280" w:firstLineChars="100"/>
        <w:textAlignment w:val="auto"/>
        <w:rPr>
          <w:rFonts w:hint="eastAsia" w:ascii="仿宋" w:hAnsi="仿宋" w:eastAsia="仿宋" w:cstheme="minorEastAsia"/>
          <w:sz w:val="28"/>
          <w:szCs w:val="28"/>
          <w:lang w:eastAsia="zh-CN"/>
        </w:rPr>
      </w:pPr>
      <w:r>
        <w:rPr>
          <w:rFonts w:hint="eastAsia" w:ascii="仿宋" w:hAnsi="仿宋" w:eastAsia="仿宋" w:cstheme="minorEastAsia"/>
          <w:sz w:val="28"/>
          <w:szCs w:val="28"/>
          <w:lang w:eastAsia="zh-CN"/>
        </w:rPr>
        <w:t>镇（乡）建成区垃圾日产量超过4t/d时，宜设置收集站。</w:t>
      </w:r>
    </w:p>
    <w:p w14:paraId="4EC2B874">
      <w:pPr>
        <w:spacing w:after="0" w:line="480" w:lineRule="auto"/>
        <w:ind w:firstLine="560" w:firstLineChars="200"/>
        <w:rPr>
          <w:rFonts w:hint="eastAsia" w:ascii="仿宋" w:hAnsi="仿宋" w:eastAsia="仿宋" w:cstheme="minorEastAsia"/>
          <w:sz w:val="28"/>
          <w:szCs w:val="28"/>
          <w:lang w:eastAsia="zh-CN"/>
        </w:rPr>
      </w:pPr>
      <w:r>
        <w:rPr>
          <w:rFonts w:hint="eastAsia" w:ascii="仿宋" w:hAnsi="仿宋" w:eastAsia="仿宋" w:cstheme="minorEastAsia"/>
          <w:sz w:val="28"/>
          <w:szCs w:val="28"/>
          <w:lang w:val="en-US" w:eastAsia="zh-CN"/>
        </w:rPr>
        <w:t>2、</w:t>
      </w:r>
      <w:r>
        <w:rPr>
          <w:rFonts w:hint="eastAsia" w:ascii="仿宋" w:hAnsi="仿宋" w:eastAsia="仿宋" w:cstheme="minorEastAsia"/>
          <w:sz w:val="28"/>
          <w:szCs w:val="28"/>
          <w:lang w:eastAsia="zh-CN"/>
        </w:rPr>
        <w:t>收集站的服务半径应符合下列规定：</w:t>
      </w:r>
    </w:p>
    <w:p w14:paraId="3B4297D5">
      <w:pPr>
        <w:keepNext w:val="0"/>
        <w:keepLines w:val="0"/>
        <w:pageBreakBefore w:val="0"/>
        <w:widowControl w:val="0"/>
        <w:numPr>
          <w:ilvl w:val="0"/>
          <w:numId w:val="5"/>
        </w:numPr>
        <w:kinsoku/>
        <w:wordWrap/>
        <w:overflowPunct/>
        <w:topLinePunct w:val="0"/>
        <w:autoSpaceDE/>
        <w:autoSpaceDN/>
        <w:bidi w:val="0"/>
        <w:adjustRightInd/>
        <w:snapToGrid/>
        <w:spacing w:after="0" w:line="480" w:lineRule="auto"/>
        <w:ind w:left="559" w:leftChars="266" w:firstLine="280" w:firstLineChars="100"/>
        <w:textAlignment w:val="auto"/>
        <w:rPr>
          <w:rFonts w:hint="eastAsia" w:ascii="仿宋" w:hAnsi="仿宋" w:eastAsia="仿宋" w:cstheme="minorEastAsia"/>
          <w:sz w:val="28"/>
          <w:szCs w:val="28"/>
          <w:lang w:eastAsia="zh-CN"/>
        </w:rPr>
      </w:pPr>
      <w:r>
        <w:rPr>
          <w:rFonts w:hint="eastAsia" w:ascii="仿宋" w:hAnsi="仿宋" w:eastAsia="仿宋" w:cstheme="minorEastAsia"/>
          <w:sz w:val="28"/>
          <w:szCs w:val="28"/>
          <w:lang w:eastAsia="zh-CN"/>
        </w:rPr>
        <w:t>1、采用人力收集，服务半径宜为</w:t>
      </w:r>
      <w:r>
        <w:rPr>
          <w:rFonts w:hint="eastAsia" w:ascii="仿宋" w:hAnsi="仿宋" w:eastAsia="仿宋" w:cstheme="minorEastAsia"/>
          <w:sz w:val="28"/>
          <w:szCs w:val="28"/>
          <w:lang w:val="en-US" w:eastAsia="zh-CN"/>
        </w:rPr>
        <w:t>0.4</w:t>
      </w:r>
      <w:r>
        <w:rPr>
          <w:rFonts w:hint="default" w:ascii="仿宋" w:hAnsi="仿宋" w:eastAsia="仿宋" w:cstheme="minorEastAsia"/>
          <w:sz w:val="28"/>
          <w:szCs w:val="28"/>
          <w:lang w:eastAsia="zh-CN"/>
        </w:rPr>
        <w:t>km</w:t>
      </w:r>
      <w:r>
        <w:rPr>
          <w:rFonts w:hint="eastAsia" w:ascii="仿宋" w:hAnsi="仿宋" w:eastAsia="仿宋" w:cstheme="minorEastAsia"/>
          <w:sz w:val="28"/>
          <w:szCs w:val="28"/>
          <w:lang w:eastAsia="zh-CN"/>
        </w:rPr>
        <w:t>以内，最大不宜超过1km。</w:t>
      </w:r>
    </w:p>
    <w:p w14:paraId="32C6C4DE">
      <w:pPr>
        <w:keepNext w:val="0"/>
        <w:keepLines w:val="0"/>
        <w:pageBreakBefore w:val="0"/>
        <w:widowControl w:val="0"/>
        <w:numPr>
          <w:ilvl w:val="0"/>
          <w:numId w:val="5"/>
        </w:numPr>
        <w:kinsoku/>
        <w:wordWrap/>
        <w:overflowPunct/>
        <w:topLinePunct w:val="0"/>
        <w:autoSpaceDE/>
        <w:autoSpaceDN/>
        <w:bidi w:val="0"/>
        <w:adjustRightInd/>
        <w:snapToGrid/>
        <w:spacing w:after="0" w:line="480" w:lineRule="auto"/>
        <w:ind w:left="559" w:leftChars="266" w:firstLine="280" w:firstLineChars="100"/>
        <w:textAlignment w:val="auto"/>
        <w:rPr>
          <w:rFonts w:hint="eastAsia" w:ascii="仿宋" w:hAnsi="仿宋" w:eastAsia="仿宋" w:cstheme="minorEastAsia"/>
          <w:sz w:val="28"/>
          <w:szCs w:val="28"/>
          <w:lang w:eastAsia="zh-CN"/>
        </w:rPr>
      </w:pPr>
      <w:r>
        <w:rPr>
          <w:rFonts w:hint="eastAsia" w:ascii="仿宋" w:hAnsi="仿宋" w:eastAsia="仿宋" w:cstheme="minorEastAsia"/>
          <w:sz w:val="28"/>
          <w:szCs w:val="28"/>
          <w:lang w:eastAsia="zh-CN"/>
        </w:rPr>
        <w:t>2、采用小型机动车收集，服务半径不宜超过2km。</w:t>
      </w:r>
    </w:p>
    <w:p w14:paraId="4743B31D">
      <w:pPr>
        <w:spacing w:after="0" w:line="480" w:lineRule="auto"/>
        <w:ind w:firstLine="560" w:firstLineChars="200"/>
        <w:rPr>
          <w:rFonts w:hint="eastAsia" w:ascii="仿宋" w:hAnsi="仿宋" w:eastAsia="仿宋" w:cstheme="minorEastAsia"/>
          <w:sz w:val="28"/>
          <w:szCs w:val="28"/>
          <w:lang w:eastAsia="zh-CN"/>
        </w:rPr>
      </w:pPr>
      <w:r>
        <w:rPr>
          <w:rFonts w:hint="eastAsia" w:ascii="仿宋" w:hAnsi="仿宋" w:eastAsia="仿宋" w:cstheme="minorEastAsia"/>
          <w:sz w:val="28"/>
          <w:szCs w:val="28"/>
          <w:lang w:val="en-US" w:eastAsia="zh-CN"/>
        </w:rPr>
        <w:t>3、</w:t>
      </w:r>
      <w:r>
        <w:rPr>
          <w:rFonts w:hint="eastAsia" w:ascii="仿宋" w:hAnsi="仿宋" w:eastAsia="仿宋" w:cstheme="minorEastAsia"/>
          <w:sz w:val="28"/>
          <w:szCs w:val="28"/>
          <w:lang w:eastAsia="zh-CN"/>
        </w:rPr>
        <w:t>收集站规模</w:t>
      </w:r>
    </w:p>
    <w:p w14:paraId="56B3B1CF">
      <w:pPr>
        <w:keepNext w:val="0"/>
        <w:keepLines w:val="0"/>
        <w:pageBreakBefore w:val="0"/>
        <w:widowControl w:val="0"/>
        <w:numPr>
          <w:ilvl w:val="0"/>
          <w:numId w:val="5"/>
        </w:numPr>
        <w:kinsoku/>
        <w:wordWrap/>
        <w:overflowPunct/>
        <w:topLinePunct w:val="0"/>
        <w:autoSpaceDE/>
        <w:autoSpaceDN/>
        <w:bidi w:val="0"/>
        <w:adjustRightInd/>
        <w:snapToGrid/>
        <w:spacing w:after="0" w:line="480" w:lineRule="auto"/>
        <w:ind w:left="559" w:leftChars="266" w:firstLine="280" w:firstLineChars="100"/>
        <w:textAlignment w:val="auto"/>
        <w:rPr>
          <w:rFonts w:hint="eastAsia" w:ascii="仿宋" w:hAnsi="仿宋" w:eastAsia="仿宋" w:cstheme="minorEastAsia"/>
          <w:sz w:val="28"/>
          <w:szCs w:val="28"/>
          <w:lang w:eastAsia="zh-CN"/>
        </w:rPr>
      </w:pPr>
      <w:r>
        <w:rPr>
          <w:rFonts w:hint="eastAsia" w:ascii="仿宋" w:hAnsi="仿宋" w:eastAsia="仿宋" w:cstheme="minorEastAsia"/>
          <w:sz w:val="28"/>
          <w:szCs w:val="28"/>
          <w:lang w:eastAsia="zh-CN"/>
        </w:rPr>
        <w:t>收集站的设计规模应考虑远期发展的需要，设计收集能力不宜大于30t/d。</w:t>
      </w:r>
    </w:p>
    <w:p w14:paraId="50A9696D">
      <w:pPr>
        <w:keepNext w:val="0"/>
        <w:keepLines w:val="0"/>
        <w:pageBreakBefore w:val="0"/>
        <w:widowControl w:val="0"/>
        <w:numPr>
          <w:ilvl w:val="0"/>
          <w:numId w:val="5"/>
        </w:numPr>
        <w:kinsoku/>
        <w:wordWrap/>
        <w:overflowPunct/>
        <w:topLinePunct w:val="0"/>
        <w:autoSpaceDE/>
        <w:autoSpaceDN/>
        <w:bidi w:val="0"/>
        <w:adjustRightInd/>
        <w:snapToGrid/>
        <w:spacing w:after="0" w:line="480" w:lineRule="auto"/>
        <w:ind w:left="559" w:leftChars="266" w:firstLine="280" w:firstLineChars="100"/>
        <w:textAlignment w:val="auto"/>
        <w:rPr>
          <w:rFonts w:hint="eastAsia" w:ascii="仿宋" w:hAnsi="仿宋" w:eastAsia="仿宋" w:cstheme="minorEastAsia"/>
          <w:sz w:val="28"/>
          <w:szCs w:val="28"/>
          <w:lang w:eastAsia="zh-CN"/>
        </w:rPr>
      </w:pPr>
      <w:r>
        <w:rPr>
          <w:rFonts w:hint="eastAsia" w:ascii="仿宋" w:hAnsi="仿宋" w:eastAsia="仿宋" w:cstheme="minorEastAsia"/>
          <w:sz w:val="28"/>
          <w:szCs w:val="28"/>
          <w:lang w:eastAsia="zh-CN"/>
        </w:rPr>
        <w:t>设计规模和作业能力应满足其服务区域内生活垃圾“日产日清”的要求，采用分类收集的收集站，应满足其分类收运和简单分拣、储存的要求。</w:t>
      </w:r>
    </w:p>
    <w:p w14:paraId="408D7FF4">
      <w:pPr>
        <w:rPr>
          <w:rFonts w:hint="eastAsia" w:ascii="仿宋" w:hAnsi="仿宋" w:eastAsia="仿宋" w:cstheme="minorEastAsia"/>
          <w:sz w:val="28"/>
          <w:szCs w:val="28"/>
          <w:lang w:eastAsia="zh-CN"/>
        </w:rPr>
      </w:pPr>
      <w:r>
        <w:rPr>
          <w:rFonts w:hint="eastAsia" w:ascii="仿宋" w:hAnsi="仿宋" w:eastAsia="仿宋" w:cstheme="minorEastAsia"/>
          <w:sz w:val="28"/>
          <w:szCs w:val="28"/>
          <w:lang w:eastAsia="zh-CN"/>
        </w:rPr>
        <w:br w:type="page"/>
      </w:r>
    </w:p>
    <w:p w14:paraId="438F0E15">
      <w:pPr>
        <w:spacing w:after="0" w:line="480" w:lineRule="auto"/>
        <w:ind w:firstLine="2800" w:firstLineChars="1000"/>
        <w:rPr>
          <w:rFonts w:hint="eastAsia" w:ascii="仿宋" w:hAnsi="仿宋" w:eastAsia="仿宋" w:cstheme="minorEastAsia"/>
          <w:sz w:val="28"/>
          <w:szCs w:val="28"/>
          <w:lang w:eastAsia="zh-CN"/>
        </w:rPr>
      </w:pPr>
      <w:r>
        <w:rPr>
          <w:rFonts w:hint="eastAsia" w:ascii="仿宋" w:hAnsi="仿宋" w:eastAsia="仿宋" w:cstheme="minorEastAsia"/>
          <w:sz w:val="28"/>
          <w:szCs w:val="28"/>
          <w:lang w:eastAsia="zh-CN"/>
        </w:rPr>
        <w:t>垃圾收集站用地指标</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77"/>
        <w:gridCol w:w="2014"/>
        <w:gridCol w:w="2191"/>
        <w:gridCol w:w="2440"/>
      </w:tblGrid>
      <w:tr w14:paraId="1A3DB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70" w:type="dxa"/>
            <w:shd w:val="clear" w:color="auto" w:fill="CCCCCC"/>
            <w:noWrap w:val="0"/>
            <w:vAlign w:val="center"/>
          </w:tcPr>
          <w:p w14:paraId="5E64D218">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仿宋" w:hAnsi="仿宋" w:eastAsia="仿宋" w:cstheme="minorEastAsia"/>
                <w:sz w:val="21"/>
                <w:szCs w:val="21"/>
                <w:lang w:eastAsia="zh-CN"/>
              </w:rPr>
            </w:pPr>
            <w:r>
              <w:rPr>
                <w:rFonts w:hint="eastAsia" w:ascii="仿宋" w:hAnsi="仿宋" w:eastAsia="仿宋" w:cstheme="minorEastAsia"/>
                <w:sz w:val="21"/>
                <w:szCs w:val="21"/>
                <w:lang w:eastAsia="zh-CN"/>
              </w:rPr>
              <w:t>规模（t/d）</w:t>
            </w:r>
          </w:p>
        </w:tc>
        <w:tc>
          <w:tcPr>
            <w:tcW w:w="2142" w:type="dxa"/>
            <w:shd w:val="clear" w:color="auto" w:fill="CCCCCC"/>
            <w:noWrap w:val="0"/>
            <w:vAlign w:val="center"/>
          </w:tcPr>
          <w:p w14:paraId="7498C276">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仿宋" w:hAnsi="仿宋" w:eastAsia="仿宋" w:cstheme="minorEastAsia"/>
                <w:sz w:val="21"/>
                <w:szCs w:val="21"/>
                <w:lang w:eastAsia="zh-CN"/>
              </w:rPr>
            </w:pPr>
            <w:r>
              <w:rPr>
                <w:rFonts w:hint="eastAsia" w:ascii="仿宋" w:hAnsi="仿宋" w:eastAsia="仿宋" w:cstheme="minorEastAsia"/>
                <w:sz w:val="21"/>
                <w:szCs w:val="21"/>
                <w:lang w:eastAsia="zh-CN"/>
              </w:rPr>
              <w:t>占地面积（m）</w:t>
            </w:r>
          </w:p>
        </w:tc>
        <w:tc>
          <w:tcPr>
            <w:tcW w:w="2337" w:type="dxa"/>
            <w:shd w:val="clear" w:color="auto" w:fill="CCCCCC"/>
            <w:noWrap w:val="0"/>
            <w:vAlign w:val="center"/>
          </w:tcPr>
          <w:p w14:paraId="70A68F97">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仿宋" w:hAnsi="仿宋" w:eastAsia="仿宋" w:cstheme="minorEastAsia"/>
                <w:sz w:val="21"/>
                <w:szCs w:val="21"/>
                <w:lang w:eastAsia="zh-CN"/>
              </w:rPr>
            </w:pPr>
            <w:r>
              <w:rPr>
                <w:rFonts w:hint="eastAsia" w:ascii="仿宋" w:hAnsi="仿宋" w:eastAsia="仿宋" w:cstheme="minorEastAsia"/>
                <w:sz w:val="21"/>
                <w:szCs w:val="21"/>
                <w:lang w:eastAsia="zh-CN"/>
              </w:rPr>
              <w:t>与相邻建筑间隔（m）</w:t>
            </w:r>
          </w:p>
        </w:tc>
        <w:tc>
          <w:tcPr>
            <w:tcW w:w="2611" w:type="dxa"/>
            <w:shd w:val="clear" w:color="auto" w:fill="CCCCCC"/>
            <w:noWrap w:val="0"/>
            <w:vAlign w:val="center"/>
          </w:tcPr>
          <w:p w14:paraId="191AF101">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仿宋" w:hAnsi="仿宋" w:eastAsia="仿宋" w:cstheme="minorEastAsia"/>
                <w:sz w:val="21"/>
                <w:szCs w:val="21"/>
                <w:lang w:eastAsia="zh-CN"/>
              </w:rPr>
            </w:pPr>
            <w:r>
              <w:rPr>
                <w:rFonts w:hint="eastAsia" w:ascii="仿宋" w:hAnsi="仿宋" w:eastAsia="仿宋" w:cstheme="minorEastAsia"/>
                <w:sz w:val="21"/>
                <w:szCs w:val="21"/>
                <w:lang w:eastAsia="zh-CN"/>
              </w:rPr>
              <w:t>绿化隔离带宽度（m）</w:t>
            </w:r>
          </w:p>
        </w:tc>
      </w:tr>
      <w:tr w14:paraId="455B3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70" w:type="dxa"/>
            <w:noWrap w:val="0"/>
            <w:vAlign w:val="center"/>
          </w:tcPr>
          <w:p w14:paraId="7B8751DE">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仿宋" w:hAnsi="仿宋" w:eastAsia="仿宋" w:cstheme="minorEastAsia"/>
                <w:sz w:val="21"/>
                <w:szCs w:val="21"/>
                <w:lang w:eastAsia="zh-CN"/>
              </w:rPr>
            </w:pPr>
            <w:r>
              <w:rPr>
                <w:rFonts w:hint="eastAsia" w:ascii="仿宋" w:hAnsi="仿宋" w:eastAsia="仿宋" w:cstheme="minorEastAsia"/>
                <w:sz w:val="21"/>
                <w:szCs w:val="21"/>
                <w:lang w:eastAsia="zh-CN"/>
              </w:rPr>
              <w:t>20～30</w:t>
            </w:r>
          </w:p>
        </w:tc>
        <w:tc>
          <w:tcPr>
            <w:tcW w:w="2142" w:type="dxa"/>
            <w:noWrap w:val="0"/>
            <w:vAlign w:val="center"/>
          </w:tcPr>
          <w:p w14:paraId="5FCD8C73">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仿宋" w:hAnsi="仿宋" w:eastAsia="仿宋" w:cstheme="minorEastAsia"/>
                <w:sz w:val="21"/>
                <w:szCs w:val="21"/>
                <w:lang w:eastAsia="zh-CN"/>
              </w:rPr>
            </w:pPr>
            <w:r>
              <w:rPr>
                <w:rFonts w:hint="eastAsia" w:ascii="仿宋" w:hAnsi="仿宋" w:eastAsia="仿宋" w:cstheme="minorEastAsia"/>
                <w:sz w:val="21"/>
                <w:szCs w:val="21"/>
                <w:lang w:eastAsia="zh-CN"/>
              </w:rPr>
              <w:t>300～400</w:t>
            </w:r>
          </w:p>
        </w:tc>
        <w:tc>
          <w:tcPr>
            <w:tcW w:w="2337" w:type="dxa"/>
            <w:noWrap w:val="0"/>
            <w:vAlign w:val="center"/>
          </w:tcPr>
          <w:p w14:paraId="0EB61080">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仿宋" w:hAnsi="仿宋" w:eastAsia="仿宋" w:cstheme="minorEastAsia"/>
                <w:sz w:val="21"/>
                <w:szCs w:val="21"/>
                <w:lang w:eastAsia="zh-CN"/>
              </w:rPr>
            </w:pPr>
            <w:r>
              <w:rPr>
                <w:rFonts w:hint="eastAsia" w:ascii="仿宋" w:hAnsi="仿宋" w:eastAsia="仿宋" w:cstheme="minorEastAsia"/>
                <w:sz w:val="21"/>
                <w:szCs w:val="21"/>
                <w:lang w:eastAsia="zh-CN"/>
              </w:rPr>
              <w:t>≥10</w:t>
            </w:r>
          </w:p>
        </w:tc>
        <w:tc>
          <w:tcPr>
            <w:tcW w:w="2611" w:type="dxa"/>
            <w:noWrap w:val="0"/>
            <w:vAlign w:val="center"/>
          </w:tcPr>
          <w:p w14:paraId="7CE73BC1">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仿宋" w:hAnsi="仿宋" w:eastAsia="仿宋" w:cstheme="minorEastAsia"/>
                <w:sz w:val="21"/>
                <w:szCs w:val="21"/>
                <w:lang w:eastAsia="zh-CN"/>
              </w:rPr>
            </w:pPr>
            <w:r>
              <w:rPr>
                <w:rFonts w:hint="eastAsia" w:ascii="仿宋" w:hAnsi="仿宋" w:eastAsia="仿宋" w:cstheme="minorEastAsia"/>
                <w:sz w:val="21"/>
                <w:szCs w:val="21"/>
                <w:lang w:eastAsia="zh-CN"/>
              </w:rPr>
              <w:t>≥3</w:t>
            </w:r>
          </w:p>
        </w:tc>
      </w:tr>
      <w:tr w14:paraId="1F3DC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70" w:type="dxa"/>
            <w:noWrap w:val="0"/>
            <w:vAlign w:val="center"/>
          </w:tcPr>
          <w:p w14:paraId="423EBE92">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仿宋" w:hAnsi="仿宋" w:eastAsia="仿宋" w:cstheme="minorEastAsia"/>
                <w:sz w:val="21"/>
                <w:szCs w:val="21"/>
                <w:lang w:eastAsia="zh-CN"/>
              </w:rPr>
            </w:pPr>
            <w:r>
              <w:rPr>
                <w:rFonts w:hint="eastAsia" w:ascii="仿宋" w:hAnsi="仿宋" w:eastAsia="仿宋" w:cstheme="minorEastAsia"/>
                <w:sz w:val="21"/>
                <w:szCs w:val="21"/>
                <w:lang w:eastAsia="zh-CN"/>
              </w:rPr>
              <w:t>10～20</w:t>
            </w:r>
          </w:p>
        </w:tc>
        <w:tc>
          <w:tcPr>
            <w:tcW w:w="2142" w:type="dxa"/>
            <w:noWrap w:val="0"/>
            <w:vAlign w:val="center"/>
          </w:tcPr>
          <w:p w14:paraId="50EC5AF1">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仿宋" w:hAnsi="仿宋" w:eastAsia="仿宋" w:cstheme="minorEastAsia"/>
                <w:sz w:val="21"/>
                <w:szCs w:val="21"/>
                <w:lang w:eastAsia="zh-CN"/>
              </w:rPr>
            </w:pPr>
            <w:r>
              <w:rPr>
                <w:rFonts w:hint="eastAsia" w:ascii="仿宋" w:hAnsi="仿宋" w:eastAsia="仿宋" w:cstheme="minorEastAsia"/>
                <w:sz w:val="21"/>
                <w:szCs w:val="21"/>
                <w:lang w:eastAsia="zh-CN"/>
              </w:rPr>
              <w:t>200～300</w:t>
            </w:r>
          </w:p>
        </w:tc>
        <w:tc>
          <w:tcPr>
            <w:tcW w:w="2337" w:type="dxa"/>
            <w:noWrap w:val="0"/>
            <w:vAlign w:val="center"/>
          </w:tcPr>
          <w:p w14:paraId="242CAE51">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仿宋" w:hAnsi="仿宋" w:eastAsia="仿宋" w:cstheme="minorEastAsia"/>
                <w:sz w:val="21"/>
                <w:szCs w:val="21"/>
                <w:lang w:eastAsia="zh-CN"/>
              </w:rPr>
            </w:pPr>
            <w:r>
              <w:rPr>
                <w:rFonts w:hint="eastAsia" w:ascii="仿宋" w:hAnsi="仿宋" w:eastAsia="仿宋" w:cstheme="minorEastAsia"/>
                <w:sz w:val="21"/>
                <w:szCs w:val="21"/>
                <w:lang w:eastAsia="zh-CN"/>
              </w:rPr>
              <w:t>≥8</w:t>
            </w:r>
          </w:p>
        </w:tc>
        <w:tc>
          <w:tcPr>
            <w:tcW w:w="2611" w:type="dxa"/>
            <w:noWrap w:val="0"/>
            <w:vAlign w:val="center"/>
          </w:tcPr>
          <w:p w14:paraId="4F0AE05F">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仿宋" w:hAnsi="仿宋" w:eastAsia="仿宋" w:cstheme="minorEastAsia"/>
                <w:sz w:val="21"/>
                <w:szCs w:val="21"/>
                <w:lang w:eastAsia="zh-CN"/>
              </w:rPr>
            </w:pPr>
            <w:r>
              <w:rPr>
                <w:rFonts w:hint="eastAsia" w:ascii="仿宋" w:hAnsi="仿宋" w:eastAsia="仿宋" w:cstheme="minorEastAsia"/>
                <w:sz w:val="21"/>
                <w:szCs w:val="21"/>
                <w:lang w:eastAsia="zh-CN"/>
              </w:rPr>
              <w:t>≥2</w:t>
            </w:r>
          </w:p>
        </w:tc>
      </w:tr>
      <w:tr w14:paraId="0D4E2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70" w:type="dxa"/>
            <w:noWrap w:val="0"/>
            <w:vAlign w:val="center"/>
          </w:tcPr>
          <w:p w14:paraId="2268F703">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仿宋" w:hAnsi="仿宋" w:eastAsia="仿宋" w:cstheme="minorEastAsia"/>
                <w:sz w:val="21"/>
                <w:szCs w:val="21"/>
                <w:lang w:eastAsia="zh-CN"/>
              </w:rPr>
            </w:pPr>
            <w:r>
              <w:rPr>
                <w:rFonts w:hint="eastAsia" w:ascii="仿宋" w:hAnsi="仿宋" w:eastAsia="仿宋" w:cstheme="minorEastAsia"/>
                <w:sz w:val="21"/>
                <w:szCs w:val="21"/>
                <w:lang w:eastAsia="zh-CN"/>
              </w:rPr>
              <w:t>10以下</w:t>
            </w:r>
          </w:p>
        </w:tc>
        <w:tc>
          <w:tcPr>
            <w:tcW w:w="2142" w:type="dxa"/>
            <w:noWrap w:val="0"/>
            <w:vAlign w:val="center"/>
          </w:tcPr>
          <w:p w14:paraId="4EA73FBC">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仿宋" w:hAnsi="仿宋" w:eastAsia="仿宋" w:cstheme="minorEastAsia"/>
                <w:sz w:val="21"/>
                <w:szCs w:val="21"/>
                <w:lang w:eastAsia="zh-CN"/>
              </w:rPr>
            </w:pPr>
            <w:r>
              <w:rPr>
                <w:rFonts w:hint="eastAsia" w:ascii="仿宋" w:hAnsi="仿宋" w:eastAsia="仿宋" w:cstheme="minorEastAsia"/>
                <w:sz w:val="21"/>
                <w:szCs w:val="21"/>
                <w:lang w:eastAsia="zh-CN"/>
              </w:rPr>
              <w:t>120～200</w:t>
            </w:r>
          </w:p>
        </w:tc>
        <w:tc>
          <w:tcPr>
            <w:tcW w:w="2337" w:type="dxa"/>
            <w:noWrap w:val="0"/>
            <w:vAlign w:val="center"/>
          </w:tcPr>
          <w:p w14:paraId="29AA2573">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仿宋" w:hAnsi="仿宋" w:eastAsia="仿宋" w:cstheme="minorEastAsia"/>
                <w:sz w:val="21"/>
                <w:szCs w:val="21"/>
                <w:lang w:eastAsia="zh-CN"/>
              </w:rPr>
            </w:pPr>
            <w:r>
              <w:rPr>
                <w:rFonts w:hint="eastAsia" w:ascii="仿宋" w:hAnsi="仿宋" w:eastAsia="仿宋" w:cstheme="minorEastAsia"/>
                <w:sz w:val="21"/>
                <w:szCs w:val="21"/>
                <w:lang w:eastAsia="zh-CN"/>
              </w:rPr>
              <w:t>≥8</w:t>
            </w:r>
          </w:p>
        </w:tc>
        <w:tc>
          <w:tcPr>
            <w:tcW w:w="2611" w:type="dxa"/>
            <w:noWrap w:val="0"/>
            <w:vAlign w:val="center"/>
          </w:tcPr>
          <w:p w14:paraId="4FB37BC8">
            <w:pPr>
              <w:keepNext w:val="0"/>
              <w:keepLines w:val="0"/>
              <w:pageBreakBefore w:val="0"/>
              <w:widowControl w:val="0"/>
              <w:kinsoku/>
              <w:wordWrap/>
              <w:overflowPunct/>
              <w:topLinePunct w:val="0"/>
              <w:autoSpaceDE/>
              <w:autoSpaceDN/>
              <w:bidi w:val="0"/>
              <w:adjustRightInd/>
              <w:snapToGrid/>
              <w:spacing w:after="0" w:line="360" w:lineRule="auto"/>
              <w:ind w:firstLine="0" w:firstLineChars="0"/>
              <w:jc w:val="center"/>
              <w:textAlignment w:val="auto"/>
              <w:rPr>
                <w:rFonts w:hint="eastAsia" w:ascii="仿宋" w:hAnsi="仿宋" w:eastAsia="仿宋" w:cstheme="minorEastAsia"/>
                <w:sz w:val="21"/>
                <w:szCs w:val="21"/>
                <w:lang w:eastAsia="zh-CN"/>
              </w:rPr>
            </w:pPr>
            <w:r>
              <w:rPr>
                <w:rFonts w:hint="eastAsia" w:ascii="仿宋" w:hAnsi="仿宋" w:eastAsia="仿宋" w:cstheme="minorEastAsia"/>
                <w:sz w:val="21"/>
                <w:szCs w:val="21"/>
                <w:lang w:eastAsia="zh-CN"/>
              </w:rPr>
              <w:t>≥2</w:t>
            </w:r>
          </w:p>
        </w:tc>
      </w:tr>
    </w:tbl>
    <w:p w14:paraId="0D57EDF5">
      <w:pPr>
        <w:spacing w:after="0" w:line="480" w:lineRule="auto"/>
        <w:ind w:firstLine="560" w:firstLineChars="200"/>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考虑到乡镇经济及实际等情况，规划原则上不再对县域乡镇进行垃圾收集站设置，而是设置集垃圾收集和转运功能的垃圾转运站进行垃圾收集和中转功能，有条件的乡镇也可进行垃圾收集站设置。</w:t>
      </w:r>
    </w:p>
    <w:p w14:paraId="16E63505">
      <w:pPr>
        <w:spacing w:after="0" w:line="480" w:lineRule="auto"/>
        <w:ind w:firstLine="560" w:firstLineChars="200"/>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至2025年、2035年规划设置压缩式垃圾收集站分别为13座、31座，其中含现状垃圾收集站7座。垃圾收集站的规模应与服务区域内高峰月的垃圾量确定，每座建筑面积一般不小于80平方米。</w:t>
      </w:r>
    </w:p>
    <w:p w14:paraId="0205FF39">
      <w:pPr>
        <w:spacing w:after="0" w:line="480" w:lineRule="auto"/>
        <w:ind w:firstLine="560" w:firstLineChars="200"/>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（二）垃圾转运站</w:t>
      </w:r>
    </w:p>
    <w:p w14:paraId="5B23438B">
      <w:pPr>
        <w:spacing w:after="0" w:line="480" w:lineRule="auto"/>
        <w:ind w:firstLine="560" w:firstLineChars="200"/>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垃圾转运站的用地指标应根据日转运量确定，并应符合下表的规定。</w:t>
      </w:r>
    </w:p>
    <w:p w14:paraId="524AECB6">
      <w:pPr>
        <w:spacing w:after="0" w:line="480" w:lineRule="auto"/>
        <w:ind w:firstLine="560" w:firstLineChars="200"/>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表              垃圾转运站用地标准</w:t>
      </w:r>
    </w:p>
    <w:tbl>
      <w:tblPr>
        <w:tblStyle w:val="17"/>
        <w:tblW w:w="5000"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661"/>
        <w:gridCol w:w="735"/>
        <w:gridCol w:w="1266"/>
        <w:gridCol w:w="1476"/>
        <w:gridCol w:w="1464"/>
        <w:gridCol w:w="1453"/>
        <w:gridCol w:w="1467"/>
      </w:tblGrid>
      <w:tr w14:paraId="105C98E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819" w:type="pct"/>
            <w:gridSpan w:val="2"/>
            <w:tcBorders>
              <w:top w:val="single" w:color="auto" w:sz="12" w:space="0"/>
              <w:bottom w:val="single" w:color="auto" w:sz="4" w:space="0"/>
            </w:tcBorders>
            <w:shd w:val="clear" w:color="auto" w:fill="CCCCCC"/>
            <w:noWrap w:val="0"/>
            <w:vAlign w:val="center"/>
          </w:tcPr>
          <w:p w14:paraId="76A5E06E">
            <w:pPr>
              <w:widowControl/>
              <w:snapToGrid w:val="0"/>
              <w:spacing w:line="400" w:lineRule="exact"/>
              <w:jc w:val="center"/>
              <w:rPr>
                <w:rFonts w:hint="eastAsia" w:ascii="仿宋" w:hAnsi="仿宋" w:eastAsia="仿宋" w:cs="仿宋"/>
                <w:color w:val="auto"/>
                <w:kern w:val="0"/>
                <w:sz w:val="21"/>
                <w:szCs w:val="21"/>
                <w:highlight w:val="none"/>
              </w:rPr>
            </w:pPr>
            <w:bookmarkStart w:id="8" w:name="OLE_LINK10"/>
            <w:bookmarkStart w:id="9" w:name="OLE_LINK12"/>
            <w:r>
              <w:rPr>
                <w:rFonts w:hint="eastAsia" w:ascii="仿宋" w:hAnsi="仿宋" w:eastAsia="仿宋" w:cs="仿宋"/>
                <w:color w:val="auto"/>
                <w:kern w:val="0"/>
                <w:sz w:val="21"/>
                <w:szCs w:val="21"/>
                <w:highlight w:val="none"/>
              </w:rPr>
              <w:t>类型</w:t>
            </w:r>
          </w:p>
        </w:tc>
        <w:tc>
          <w:tcPr>
            <w:tcW w:w="742" w:type="pct"/>
            <w:tcBorders>
              <w:top w:val="single" w:color="auto" w:sz="12" w:space="0"/>
              <w:bottom w:val="single" w:color="auto" w:sz="4" w:space="0"/>
            </w:tcBorders>
            <w:shd w:val="clear" w:color="auto" w:fill="CCCCCC"/>
            <w:noWrap w:val="0"/>
            <w:vAlign w:val="center"/>
          </w:tcPr>
          <w:p w14:paraId="686E4C7D">
            <w:pPr>
              <w:keepNext w:val="0"/>
              <w:keepLines w:val="0"/>
              <w:pageBreakBefore w:val="0"/>
              <w:widowControl/>
              <w:kinsoku/>
              <w:wordWrap/>
              <w:overflowPunct/>
              <w:topLinePunct w:val="0"/>
              <w:autoSpaceDE/>
              <w:autoSpaceDN/>
              <w:bidi w:val="0"/>
              <w:adjustRightInd/>
              <w:snapToGrid w:val="0"/>
              <w:spacing w:line="320" w:lineRule="exact"/>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设计转运量</w:t>
            </w:r>
          </w:p>
          <w:p w14:paraId="41BB5779">
            <w:pPr>
              <w:keepNext w:val="0"/>
              <w:keepLines w:val="0"/>
              <w:pageBreakBefore w:val="0"/>
              <w:widowControl/>
              <w:kinsoku/>
              <w:wordWrap/>
              <w:overflowPunct/>
              <w:topLinePunct w:val="0"/>
              <w:autoSpaceDE/>
              <w:autoSpaceDN/>
              <w:bidi w:val="0"/>
              <w:adjustRightInd/>
              <w:snapToGrid w:val="0"/>
              <w:spacing w:line="320" w:lineRule="exact"/>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（t/d）</w:t>
            </w:r>
          </w:p>
        </w:tc>
        <w:tc>
          <w:tcPr>
            <w:tcW w:w="865" w:type="pct"/>
            <w:tcBorders>
              <w:top w:val="single" w:color="auto" w:sz="12" w:space="0"/>
              <w:bottom w:val="single" w:color="auto" w:sz="4" w:space="0"/>
            </w:tcBorders>
            <w:shd w:val="clear" w:color="auto" w:fill="CCCCCC"/>
            <w:noWrap w:val="0"/>
            <w:vAlign w:val="center"/>
          </w:tcPr>
          <w:p w14:paraId="50DAE99F">
            <w:pPr>
              <w:keepNext w:val="0"/>
              <w:keepLines w:val="0"/>
              <w:pageBreakBefore w:val="0"/>
              <w:widowControl/>
              <w:kinsoku/>
              <w:wordWrap/>
              <w:overflowPunct/>
              <w:topLinePunct w:val="0"/>
              <w:autoSpaceDE/>
              <w:autoSpaceDN/>
              <w:bidi w:val="0"/>
              <w:adjustRightInd/>
              <w:snapToGrid w:val="0"/>
              <w:spacing w:line="320" w:lineRule="exact"/>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用地面积</w:t>
            </w:r>
          </w:p>
          <w:p w14:paraId="4204B380">
            <w:pPr>
              <w:keepNext w:val="0"/>
              <w:keepLines w:val="0"/>
              <w:pageBreakBefore w:val="0"/>
              <w:widowControl/>
              <w:kinsoku/>
              <w:wordWrap/>
              <w:overflowPunct/>
              <w:topLinePunct w:val="0"/>
              <w:autoSpaceDE/>
              <w:autoSpaceDN/>
              <w:bidi w:val="0"/>
              <w:adjustRightInd/>
              <w:snapToGrid w:val="0"/>
              <w:spacing w:line="320" w:lineRule="exact"/>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（m</w:t>
            </w:r>
            <w:r>
              <w:rPr>
                <w:rFonts w:hint="eastAsia" w:ascii="仿宋" w:hAnsi="仿宋" w:eastAsia="仿宋" w:cs="仿宋"/>
                <w:color w:val="auto"/>
                <w:kern w:val="0"/>
                <w:sz w:val="21"/>
                <w:szCs w:val="21"/>
                <w:highlight w:val="none"/>
                <w:vertAlign w:val="superscript"/>
              </w:rPr>
              <w:t>2</w:t>
            </w:r>
            <w:r>
              <w:rPr>
                <w:rFonts w:hint="eastAsia" w:ascii="仿宋" w:hAnsi="仿宋" w:eastAsia="仿宋" w:cs="仿宋"/>
                <w:color w:val="auto"/>
                <w:kern w:val="0"/>
                <w:sz w:val="21"/>
                <w:szCs w:val="21"/>
                <w:highlight w:val="none"/>
              </w:rPr>
              <w:t>）</w:t>
            </w:r>
          </w:p>
        </w:tc>
        <w:tc>
          <w:tcPr>
            <w:tcW w:w="858" w:type="pct"/>
            <w:tcBorders>
              <w:top w:val="single" w:color="auto" w:sz="12" w:space="0"/>
              <w:bottom w:val="single" w:color="auto" w:sz="4" w:space="0"/>
            </w:tcBorders>
            <w:shd w:val="clear" w:color="auto" w:fill="CCCCCC"/>
            <w:noWrap w:val="0"/>
            <w:vAlign w:val="center"/>
          </w:tcPr>
          <w:p w14:paraId="1ADA0DD0">
            <w:pPr>
              <w:keepNext w:val="0"/>
              <w:keepLines w:val="0"/>
              <w:pageBreakBefore w:val="0"/>
              <w:widowControl/>
              <w:kinsoku/>
              <w:wordWrap/>
              <w:overflowPunct/>
              <w:topLinePunct w:val="0"/>
              <w:autoSpaceDE/>
              <w:autoSpaceDN/>
              <w:bidi w:val="0"/>
              <w:adjustRightInd/>
              <w:snapToGrid w:val="0"/>
              <w:spacing w:line="320" w:lineRule="exact"/>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与站外相邻</w:t>
            </w:r>
          </w:p>
          <w:p w14:paraId="1AA838FC">
            <w:pPr>
              <w:keepNext w:val="0"/>
              <w:keepLines w:val="0"/>
              <w:pageBreakBefore w:val="0"/>
              <w:widowControl/>
              <w:kinsoku/>
              <w:wordWrap/>
              <w:overflowPunct/>
              <w:topLinePunct w:val="0"/>
              <w:autoSpaceDE/>
              <w:autoSpaceDN/>
              <w:bidi w:val="0"/>
              <w:adjustRightInd/>
              <w:snapToGrid w:val="0"/>
              <w:spacing w:line="320" w:lineRule="exact"/>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建筑间距</w:t>
            </w:r>
          </w:p>
          <w:p w14:paraId="46C8B4B0">
            <w:pPr>
              <w:keepNext w:val="0"/>
              <w:keepLines w:val="0"/>
              <w:pageBreakBefore w:val="0"/>
              <w:widowControl/>
              <w:kinsoku/>
              <w:wordWrap/>
              <w:overflowPunct/>
              <w:topLinePunct w:val="0"/>
              <w:autoSpaceDE/>
              <w:autoSpaceDN/>
              <w:bidi w:val="0"/>
              <w:adjustRightInd/>
              <w:snapToGrid w:val="0"/>
              <w:spacing w:line="320" w:lineRule="exact"/>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(m)</w:t>
            </w:r>
          </w:p>
        </w:tc>
        <w:tc>
          <w:tcPr>
            <w:tcW w:w="852" w:type="pct"/>
            <w:tcBorders>
              <w:top w:val="single" w:color="auto" w:sz="12" w:space="0"/>
              <w:bottom w:val="single" w:color="auto" w:sz="4" w:space="0"/>
            </w:tcBorders>
            <w:shd w:val="clear" w:color="auto" w:fill="CCCCCC"/>
            <w:noWrap w:val="0"/>
            <w:vAlign w:val="center"/>
          </w:tcPr>
          <w:p w14:paraId="49FDA797">
            <w:pPr>
              <w:keepNext w:val="0"/>
              <w:keepLines w:val="0"/>
              <w:pageBreakBefore w:val="0"/>
              <w:widowControl/>
              <w:kinsoku/>
              <w:wordWrap/>
              <w:overflowPunct/>
              <w:topLinePunct w:val="0"/>
              <w:autoSpaceDE/>
              <w:autoSpaceDN/>
              <w:bidi w:val="0"/>
              <w:adjustRightInd/>
              <w:snapToGrid w:val="0"/>
              <w:spacing w:line="400" w:lineRule="exact"/>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转运作业功能区退界距离(m)</w:t>
            </w:r>
          </w:p>
        </w:tc>
        <w:tc>
          <w:tcPr>
            <w:tcW w:w="860" w:type="pct"/>
            <w:tcBorders>
              <w:top w:val="single" w:color="auto" w:sz="12" w:space="0"/>
              <w:bottom w:val="single" w:color="auto" w:sz="4" w:space="0"/>
            </w:tcBorders>
            <w:shd w:val="clear" w:color="auto" w:fill="CCCCCC"/>
            <w:noWrap w:val="0"/>
            <w:vAlign w:val="center"/>
          </w:tcPr>
          <w:p w14:paraId="7F4623D2">
            <w:pPr>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绿地率（%）</w:t>
            </w:r>
          </w:p>
        </w:tc>
      </w:tr>
      <w:tr w14:paraId="3FC9A7D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88" w:type="pct"/>
            <w:vMerge w:val="restart"/>
            <w:tcBorders>
              <w:top w:val="single" w:color="auto" w:sz="4" w:space="0"/>
            </w:tcBorders>
            <w:noWrap w:val="0"/>
            <w:vAlign w:val="center"/>
          </w:tcPr>
          <w:p w14:paraId="186CC215">
            <w:pPr>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大型</w:t>
            </w:r>
          </w:p>
        </w:tc>
        <w:tc>
          <w:tcPr>
            <w:tcW w:w="430" w:type="pct"/>
            <w:tcBorders>
              <w:top w:val="single" w:color="auto" w:sz="4" w:space="0"/>
            </w:tcBorders>
            <w:noWrap w:val="0"/>
            <w:vAlign w:val="center"/>
          </w:tcPr>
          <w:p w14:paraId="16CA1F5B">
            <w:pPr>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sz w:val="21"/>
                <w:szCs w:val="21"/>
                <w:highlight w:val="none"/>
              </w:rPr>
              <w:t>Ⅰ类</w:t>
            </w:r>
          </w:p>
        </w:tc>
        <w:tc>
          <w:tcPr>
            <w:tcW w:w="742" w:type="pct"/>
            <w:tcBorders>
              <w:top w:val="single" w:color="auto" w:sz="4" w:space="0"/>
            </w:tcBorders>
            <w:noWrap w:val="0"/>
            <w:vAlign w:val="center"/>
          </w:tcPr>
          <w:p w14:paraId="5E1DD8BB">
            <w:pPr>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1000—3000</w:t>
            </w:r>
          </w:p>
        </w:tc>
        <w:tc>
          <w:tcPr>
            <w:tcW w:w="865" w:type="pct"/>
            <w:tcBorders>
              <w:top w:val="single" w:color="auto" w:sz="4" w:space="0"/>
            </w:tcBorders>
            <w:noWrap w:val="0"/>
            <w:vAlign w:val="center"/>
          </w:tcPr>
          <w:p w14:paraId="597BFA48">
            <w:pPr>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≤20000</w:t>
            </w:r>
          </w:p>
        </w:tc>
        <w:tc>
          <w:tcPr>
            <w:tcW w:w="858" w:type="pct"/>
            <w:tcBorders>
              <w:top w:val="single" w:color="auto" w:sz="4" w:space="0"/>
            </w:tcBorders>
            <w:noWrap w:val="0"/>
            <w:vAlign w:val="center"/>
          </w:tcPr>
          <w:p w14:paraId="0A2946DB">
            <w:pPr>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≥30</w:t>
            </w:r>
          </w:p>
        </w:tc>
        <w:tc>
          <w:tcPr>
            <w:tcW w:w="852" w:type="pct"/>
            <w:tcBorders>
              <w:top w:val="single" w:color="auto" w:sz="4" w:space="0"/>
            </w:tcBorders>
            <w:noWrap w:val="0"/>
            <w:vAlign w:val="center"/>
          </w:tcPr>
          <w:p w14:paraId="32BA3A74">
            <w:pPr>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≥5</w:t>
            </w:r>
          </w:p>
        </w:tc>
        <w:tc>
          <w:tcPr>
            <w:tcW w:w="860" w:type="pct"/>
            <w:vMerge w:val="restart"/>
            <w:tcBorders>
              <w:top w:val="single" w:color="auto" w:sz="4" w:space="0"/>
            </w:tcBorders>
            <w:noWrap w:val="0"/>
            <w:vAlign w:val="center"/>
          </w:tcPr>
          <w:p w14:paraId="7DE0033B">
            <w:pPr>
              <w:pStyle w:val="9"/>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20—30</w:t>
            </w:r>
          </w:p>
        </w:tc>
      </w:tr>
      <w:tr w14:paraId="5EABFF3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88" w:type="pct"/>
            <w:vMerge w:val="continue"/>
            <w:noWrap w:val="0"/>
            <w:vAlign w:val="center"/>
          </w:tcPr>
          <w:p w14:paraId="07B49989">
            <w:pPr>
              <w:widowControl/>
              <w:snapToGrid w:val="0"/>
              <w:spacing w:line="400" w:lineRule="exact"/>
              <w:jc w:val="center"/>
              <w:rPr>
                <w:rFonts w:hint="eastAsia" w:ascii="仿宋" w:hAnsi="仿宋" w:eastAsia="仿宋" w:cs="仿宋"/>
                <w:color w:val="auto"/>
                <w:kern w:val="0"/>
                <w:sz w:val="21"/>
                <w:szCs w:val="21"/>
                <w:highlight w:val="none"/>
              </w:rPr>
            </w:pPr>
          </w:p>
        </w:tc>
        <w:tc>
          <w:tcPr>
            <w:tcW w:w="430" w:type="pct"/>
            <w:noWrap w:val="0"/>
            <w:vAlign w:val="center"/>
          </w:tcPr>
          <w:p w14:paraId="0B9EB430">
            <w:pPr>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sz w:val="21"/>
                <w:szCs w:val="21"/>
                <w:highlight w:val="none"/>
              </w:rPr>
              <w:t>Ⅱ类</w:t>
            </w:r>
          </w:p>
        </w:tc>
        <w:tc>
          <w:tcPr>
            <w:tcW w:w="742" w:type="pct"/>
            <w:noWrap w:val="0"/>
            <w:vAlign w:val="center"/>
          </w:tcPr>
          <w:p w14:paraId="1FC756C7">
            <w:pPr>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450—1000</w:t>
            </w:r>
          </w:p>
        </w:tc>
        <w:tc>
          <w:tcPr>
            <w:tcW w:w="865" w:type="pct"/>
            <w:noWrap w:val="0"/>
            <w:vAlign w:val="center"/>
          </w:tcPr>
          <w:p w14:paraId="77DF9408">
            <w:pPr>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10000—15000</w:t>
            </w:r>
          </w:p>
        </w:tc>
        <w:tc>
          <w:tcPr>
            <w:tcW w:w="858" w:type="pct"/>
            <w:noWrap w:val="0"/>
            <w:vAlign w:val="center"/>
          </w:tcPr>
          <w:p w14:paraId="1AF8C0D1">
            <w:pPr>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≥20</w:t>
            </w:r>
          </w:p>
        </w:tc>
        <w:tc>
          <w:tcPr>
            <w:tcW w:w="852" w:type="pct"/>
            <w:noWrap w:val="0"/>
            <w:vAlign w:val="center"/>
          </w:tcPr>
          <w:p w14:paraId="64A4A224">
            <w:pPr>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≥5</w:t>
            </w:r>
          </w:p>
        </w:tc>
        <w:tc>
          <w:tcPr>
            <w:tcW w:w="860" w:type="pct"/>
            <w:vMerge w:val="continue"/>
            <w:noWrap w:val="0"/>
            <w:vAlign w:val="center"/>
          </w:tcPr>
          <w:p w14:paraId="5E6CC700">
            <w:pPr>
              <w:pStyle w:val="9"/>
              <w:snapToGrid w:val="0"/>
              <w:spacing w:line="400" w:lineRule="exact"/>
              <w:jc w:val="center"/>
              <w:rPr>
                <w:rFonts w:hint="eastAsia" w:ascii="仿宋" w:hAnsi="仿宋" w:eastAsia="仿宋" w:cs="仿宋"/>
                <w:color w:val="auto"/>
                <w:kern w:val="0"/>
                <w:sz w:val="21"/>
                <w:szCs w:val="21"/>
                <w:highlight w:val="none"/>
              </w:rPr>
            </w:pPr>
          </w:p>
        </w:tc>
      </w:tr>
      <w:tr w14:paraId="01AF52F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88" w:type="pct"/>
            <w:noWrap w:val="0"/>
            <w:vAlign w:val="center"/>
          </w:tcPr>
          <w:p w14:paraId="1122762F">
            <w:pPr>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中型</w:t>
            </w:r>
          </w:p>
        </w:tc>
        <w:tc>
          <w:tcPr>
            <w:tcW w:w="430" w:type="pct"/>
            <w:noWrap w:val="0"/>
            <w:vAlign w:val="center"/>
          </w:tcPr>
          <w:p w14:paraId="7AD7FF90">
            <w:pPr>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sz w:val="21"/>
                <w:szCs w:val="21"/>
                <w:highlight w:val="none"/>
              </w:rPr>
              <w:t>Ⅲ类</w:t>
            </w:r>
          </w:p>
        </w:tc>
        <w:tc>
          <w:tcPr>
            <w:tcW w:w="742" w:type="pct"/>
            <w:noWrap w:val="0"/>
            <w:vAlign w:val="center"/>
          </w:tcPr>
          <w:p w14:paraId="29E9ADA2">
            <w:pPr>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150—450</w:t>
            </w:r>
          </w:p>
        </w:tc>
        <w:tc>
          <w:tcPr>
            <w:tcW w:w="865" w:type="pct"/>
            <w:noWrap w:val="0"/>
            <w:vAlign w:val="center"/>
          </w:tcPr>
          <w:p w14:paraId="766AF86F">
            <w:pPr>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4000—10000</w:t>
            </w:r>
          </w:p>
        </w:tc>
        <w:tc>
          <w:tcPr>
            <w:tcW w:w="858" w:type="pct"/>
            <w:noWrap w:val="0"/>
            <w:vAlign w:val="center"/>
          </w:tcPr>
          <w:p w14:paraId="4EEAA3BA">
            <w:pPr>
              <w:pStyle w:val="9"/>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≥15</w:t>
            </w:r>
          </w:p>
        </w:tc>
        <w:tc>
          <w:tcPr>
            <w:tcW w:w="852" w:type="pct"/>
            <w:noWrap w:val="0"/>
            <w:vAlign w:val="center"/>
          </w:tcPr>
          <w:p w14:paraId="5CE573A8">
            <w:pPr>
              <w:pStyle w:val="9"/>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≥5</w:t>
            </w:r>
          </w:p>
        </w:tc>
        <w:tc>
          <w:tcPr>
            <w:tcW w:w="860" w:type="pct"/>
            <w:vMerge w:val="continue"/>
            <w:noWrap w:val="0"/>
            <w:vAlign w:val="center"/>
          </w:tcPr>
          <w:p w14:paraId="546547CC">
            <w:pPr>
              <w:pStyle w:val="9"/>
              <w:widowControl/>
              <w:snapToGrid w:val="0"/>
              <w:spacing w:line="400" w:lineRule="exact"/>
              <w:jc w:val="center"/>
              <w:rPr>
                <w:rFonts w:hint="eastAsia" w:ascii="仿宋" w:hAnsi="仿宋" w:eastAsia="仿宋" w:cs="仿宋"/>
                <w:color w:val="auto"/>
                <w:kern w:val="0"/>
                <w:sz w:val="21"/>
                <w:szCs w:val="21"/>
                <w:highlight w:val="none"/>
              </w:rPr>
            </w:pPr>
          </w:p>
        </w:tc>
      </w:tr>
      <w:tr w14:paraId="03ACBAD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88" w:type="pct"/>
            <w:vMerge w:val="restart"/>
            <w:noWrap w:val="0"/>
            <w:vAlign w:val="center"/>
          </w:tcPr>
          <w:p w14:paraId="7B00A844">
            <w:pPr>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小型</w:t>
            </w:r>
          </w:p>
        </w:tc>
        <w:tc>
          <w:tcPr>
            <w:tcW w:w="430" w:type="pct"/>
            <w:noWrap w:val="0"/>
            <w:vAlign w:val="center"/>
          </w:tcPr>
          <w:p w14:paraId="1890EBA4">
            <w:pPr>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sz w:val="21"/>
                <w:szCs w:val="21"/>
                <w:highlight w:val="none"/>
              </w:rPr>
              <w:t>Ⅳ类</w:t>
            </w:r>
          </w:p>
        </w:tc>
        <w:tc>
          <w:tcPr>
            <w:tcW w:w="742" w:type="pct"/>
            <w:noWrap w:val="0"/>
            <w:vAlign w:val="center"/>
          </w:tcPr>
          <w:p w14:paraId="130566F1">
            <w:pPr>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50—150</w:t>
            </w:r>
          </w:p>
        </w:tc>
        <w:tc>
          <w:tcPr>
            <w:tcW w:w="865" w:type="pct"/>
            <w:noWrap w:val="0"/>
            <w:vAlign w:val="center"/>
          </w:tcPr>
          <w:p w14:paraId="02AB91C7">
            <w:pPr>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1000—4000</w:t>
            </w:r>
          </w:p>
        </w:tc>
        <w:tc>
          <w:tcPr>
            <w:tcW w:w="858" w:type="pct"/>
            <w:noWrap w:val="0"/>
            <w:vAlign w:val="center"/>
          </w:tcPr>
          <w:p w14:paraId="068F0136">
            <w:pPr>
              <w:pStyle w:val="9"/>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≥10</w:t>
            </w:r>
          </w:p>
        </w:tc>
        <w:tc>
          <w:tcPr>
            <w:tcW w:w="852" w:type="pct"/>
            <w:noWrap w:val="0"/>
            <w:vAlign w:val="center"/>
          </w:tcPr>
          <w:p w14:paraId="1CAF5DD5">
            <w:pPr>
              <w:pStyle w:val="9"/>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≥3</w:t>
            </w:r>
          </w:p>
        </w:tc>
        <w:tc>
          <w:tcPr>
            <w:tcW w:w="860" w:type="pct"/>
            <w:vMerge w:val="continue"/>
            <w:noWrap w:val="0"/>
            <w:vAlign w:val="center"/>
          </w:tcPr>
          <w:p w14:paraId="64366012">
            <w:pPr>
              <w:pStyle w:val="9"/>
              <w:widowControl/>
              <w:snapToGrid w:val="0"/>
              <w:spacing w:line="400" w:lineRule="exact"/>
              <w:jc w:val="center"/>
              <w:rPr>
                <w:rFonts w:hint="eastAsia" w:ascii="仿宋" w:hAnsi="仿宋" w:eastAsia="仿宋" w:cs="仿宋"/>
                <w:color w:val="auto"/>
                <w:kern w:val="0"/>
                <w:sz w:val="21"/>
                <w:szCs w:val="21"/>
                <w:highlight w:val="none"/>
              </w:rPr>
            </w:pPr>
          </w:p>
        </w:tc>
      </w:tr>
      <w:tr w14:paraId="5A68AA5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88" w:type="pct"/>
            <w:vMerge w:val="continue"/>
            <w:noWrap w:val="0"/>
            <w:vAlign w:val="center"/>
          </w:tcPr>
          <w:p w14:paraId="76E27D30">
            <w:pPr>
              <w:widowControl/>
              <w:snapToGrid w:val="0"/>
              <w:spacing w:line="400" w:lineRule="exact"/>
              <w:jc w:val="center"/>
              <w:rPr>
                <w:rFonts w:hint="eastAsia" w:ascii="仿宋" w:hAnsi="仿宋" w:eastAsia="仿宋" w:cs="仿宋"/>
                <w:color w:val="auto"/>
                <w:kern w:val="0"/>
                <w:sz w:val="21"/>
                <w:szCs w:val="21"/>
                <w:highlight w:val="none"/>
              </w:rPr>
            </w:pPr>
          </w:p>
        </w:tc>
        <w:tc>
          <w:tcPr>
            <w:tcW w:w="430" w:type="pct"/>
            <w:noWrap w:val="0"/>
            <w:vAlign w:val="center"/>
          </w:tcPr>
          <w:p w14:paraId="26C225B4">
            <w:pPr>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sz w:val="21"/>
                <w:szCs w:val="21"/>
                <w:highlight w:val="none"/>
              </w:rPr>
              <w:t>Ⅴ类</w:t>
            </w:r>
          </w:p>
        </w:tc>
        <w:tc>
          <w:tcPr>
            <w:tcW w:w="742" w:type="pct"/>
            <w:noWrap w:val="0"/>
            <w:vAlign w:val="center"/>
          </w:tcPr>
          <w:p w14:paraId="0334BF17">
            <w:pPr>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≤50</w:t>
            </w:r>
          </w:p>
        </w:tc>
        <w:tc>
          <w:tcPr>
            <w:tcW w:w="865" w:type="pct"/>
            <w:noWrap w:val="0"/>
            <w:vAlign w:val="center"/>
          </w:tcPr>
          <w:p w14:paraId="12898E9F">
            <w:pPr>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800—1000</w:t>
            </w:r>
          </w:p>
        </w:tc>
        <w:tc>
          <w:tcPr>
            <w:tcW w:w="858" w:type="pct"/>
            <w:noWrap w:val="0"/>
            <w:vAlign w:val="center"/>
          </w:tcPr>
          <w:p w14:paraId="55077F31">
            <w:pPr>
              <w:pStyle w:val="9"/>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≥8</w:t>
            </w:r>
          </w:p>
        </w:tc>
        <w:tc>
          <w:tcPr>
            <w:tcW w:w="852" w:type="pct"/>
            <w:noWrap w:val="0"/>
            <w:vAlign w:val="center"/>
          </w:tcPr>
          <w:p w14:paraId="2C428036">
            <w:pPr>
              <w:pStyle w:val="9"/>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w:t>
            </w:r>
          </w:p>
        </w:tc>
        <w:tc>
          <w:tcPr>
            <w:tcW w:w="860" w:type="pct"/>
            <w:noWrap w:val="0"/>
            <w:vAlign w:val="center"/>
          </w:tcPr>
          <w:p w14:paraId="4E6E01E0">
            <w:pPr>
              <w:pStyle w:val="9"/>
              <w:widowControl/>
              <w:snapToGrid w:val="0"/>
              <w:spacing w:line="400" w:lineRule="exact"/>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w:t>
            </w:r>
          </w:p>
        </w:tc>
      </w:tr>
      <w:bookmarkEnd w:id="8"/>
      <w:bookmarkEnd w:id="9"/>
    </w:tbl>
    <w:p w14:paraId="0EBC1A4B">
      <w:pPr>
        <w:spacing w:after="0" w:line="480" w:lineRule="auto"/>
        <w:ind w:firstLine="560" w:firstLineChars="200"/>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至2025年、2035年，中心城区规划设置中小型垃圾转运站分别为1座、4座。</w:t>
      </w:r>
    </w:p>
    <w:p w14:paraId="1E150029">
      <w:pPr>
        <w:spacing w:after="0" w:line="480" w:lineRule="auto"/>
        <w:ind w:firstLine="560" w:firstLineChars="200"/>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（三）垃圾焚烧发电处理厂</w:t>
      </w:r>
    </w:p>
    <w:p w14:paraId="5EB818D5">
      <w:pPr>
        <w:spacing w:after="0" w:line="480" w:lineRule="auto"/>
        <w:ind w:firstLine="560" w:firstLineChars="200"/>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规划保留现状石家庄生物质焚烧发电厂，位于城区南侧张段固镇齐洽村东侧，为2021年3月投入使用，占地面积8.67公顷，处理规模为1600吨/天，设计使用年限30年。</w:t>
      </w:r>
    </w:p>
    <w:p w14:paraId="5CAC4464">
      <w:pPr>
        <w:spacing w:after="0" w:line="480" w:lineRule="auto"/>
        <w:ind w:firstLine="560" w:firstLineChars="200"/>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（四）其他垃圾处理厂</w:t>
      </w:r>
    </w:p>
    <w:p w14:paraId="35A24FD3">
      <w:pPr>
        <w:spacing w:after="0" w:line="480" w:lineRule="auto"/>
        <w:ind w:firstLine="560" w:firstLineChars="200"/>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1、餐厨垃圾处理厂</w:t>
      </w:r>
    </w:p>
    <w:p w14:paraId="7BE4EA18">
      <w:pPr>
        <w:spacing w:after="0" w:line="480" w:lineRule="auto"/>
        <w:ind w:firstLine="560" w:firstLineChars="200"/>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规划在现状垃圾填埋厂封场处理后设置餐厨垃圾处理厂，满足餐厨垃圾处理需求，餐厨垃圾优先考虑回收再利用，如养殖等用途。</w:t>
      </w:r>
    </w:p>
    <w:p w14:paraId="06D32E6C">
      <w:pPr>
        <w:spacing w:after="0" w:line="480" w:lineRule="auto"/>
        <w:ind w:firstLine="560" w:firstLineChars="200"/>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2、建筑垃圾处理厂</w:t>
      </w:r>
    </w:p>
    <w:p w14:paraId="6953C81D">
      <w:pPr>
        <w:spacing w:after="0" w:line="480" w:lineRule="auto"/>
        <w:ind w:firstLine="560" w:firstLineChars="200"/>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考虑到无极县建筑垃圾量不多等情况，规划对建筑垃圾优先进行回收再利用，如路基回填、渗水砖等建材使用等，做到资源的最大化。回收利用后多余建筑垃圾可运往城北建筑垃圾处理厂处理。</w:t>
      </w:r>
    </w:p>
    <w:p w14:paraId="0DC6FDCD">
      <w:pPr>
        <w:spacing w:after="0" w:line="480" w:lineRule="auto"/>
        <w:ind w:firstLine="560" w:firstLineChars="200"/>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3、粪便垃圾处理厂</w:t>
      </w:r>
    </w:p>
    <w:p w14:paraId="1A50BCE1">
      <w:pPr>
        <w:spacing w:after="0" w:line="480" w:lineRule="auto"/>
        <w:ind w:firstLine="560" w:firstLineChars="200"/>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规划在污水处理厂内设置粪便处理厂，远期有条件时可运作堆肥，制作肥料等做到资源的最大化。</w:t>
      </w:r>
    </w:p>
    <w:p w14:paraId="236EE16E">
      <w:pPr>
        <w:spacing w:after="0" w:line="480" w:lineRule="auto"/>
        <w:ind w:firstLine="560" w:firstLineChars="200"/>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4、特种垃圾处理厂</w:t>
      </w:r>
    </w:p>
    <w:p w14:paraId="078BC89B">
      <w:pPr>
        <w:spacing w:after="0" w:line="480" w:lineRule="auto"/>
        <w:ind w:firstLine="560" w:firstLineChars="200"/>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城区特种垃圾处理继续由现状具有医疗垃圾处理资质的企业进行处理，对无极县全域甚至周边区域特种垃圾进行集中处理，做到资源的最大化。</w:t>
      </w:r>
    </w:p>
    <w:p w14:paraId="08E477AB">
      <w:pPr>
        <w:keepNext w:val="0"/>
        <w:keepLines w:val="0"/>
        <w:pageBreakBefore w:val="0"/>
        <w:widowControl w:val="0"/>
        <w:kinsoku/>
        <w:wordWrap/>
        <w:overflowPunct/>
        <w:topLinePunct w:val="0"/>
        <w:autoSpaceDE/>
        <w:autoSpaceDN/>
        <w:bidi w:val="0"/>
        <w:adjustRightInd/>
        <w:snapToGrid/>
        <w:spacing w:after="0" w:line="480" w:lineRule="auto"/>
        <w:ind w:firstLine="560" w:firstLineChars="200"/>
        <w:textAlignment w:val="auto"/>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（五）中心城区其他环卫设施</w:t>
      </w:r>
    </w:p>
    <w:p w14:paraId="657E02EF">
      <w:pPr>
        <w:keepNext w:val="0"/>
        <w:keepLines w:val="0"/>
        <w:pageBreakBefore w:val="0"/>
        <w:widowControl w:val="0"/>
        <w:kinsoku/>
        <w:wordWrap/>
        <w:overflowPunct/>
        <w:topLinePunct w:val="0"/>
        <w:autoSpaceDE/>
        <w:autoSpaceDN/>
        <w:bidi w:val="0"/>
        <w:adjustRightInd/>
        <w:snapToGrid/>
        <w:spacing w:after="0" w:line="480" w:lineRule="auto"/>
        <w:ind w:firstLine="560" w:firstLineChars="200"/>
        <w:textAlignment w:val="auto"/>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1、公共厕所</w:t>
      </w:r>
    </w:p>
    <w:p w14:paraId="63F9874E">
      <w:pPr>
        <w:keepNext w:val="0"/>
        <w:keepLines w:val="0"/>
        <w:pageBreakBefore w:val="0"/>
        <w:widowControl w:val="0"/>
        <w:kinsoku/>
        <w:wordWrap/>
        <w:overflowPunct/>
        <w:topLinePunct w:val="0"/>
        <w:autoSpaceDE/>
        <w:autoSpaceDN/>
        <w:bidi w:val="0"/>
        <w:adjustRightInd/>
        <w:snapToGrid/>
        <w:spacing w:after="0" w:line="480" w:lineRule="auto"/>
        <w:ind w:firstLine="560" w:firstLineChars="200"/>
        <w:textAlignment w:val="auto"/>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 xml:space="preserve">              公共厕所设置密度指标</w:t>
      </w:r>
    </w:p>
    <w:tbl>
      <w:tblPr>
        <w:tblStyle w:val="17"/>
        <w:tblW w:w="5000"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1659"/>
        <w:gridCol w:w="1098"/>
        <w:gridCol w:w="1021"/>
        <w:gridCol w:w="1309"/>
        <w:gridCol w:w="3435"/>
      </w:tblGrid>
      <w:tr w14:paraId="2D2BFFE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973" w:type="pct"/>
            <w:tcBorders>
              <w:top w:val="single" w:color="auto" w:sz="12" w:space="0"/>
              <w:bottom w:val="single" w:color="auto" w:sz="4" w:space="0"/>
            </w:tcBorders>
            <w:shd w:val="clear" w:color="auto" w:fill="CCCCCC"/>
            <w:noWrap w:val="0"/>
            <w:vAlign w:val="center"/>
          </w:tcPr>
          <w:p w14:paraId="25011FB3">
            <w:pPr>
              <w:widowControl/>
              <w:snapToGrid w:val="0"/>
              <w:spacing w:line="360" w:lineRule="exact"/>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城市用地类别</w:t>
            </w:r>
          </w:p>
        </w:tc>
        <w:tc>
          <w:tcPr>
            <w:tcW w:w="644" w:type="pct"/>
            <w:tcBorders>
              <w:top w:val="single" w:color="auto" w:sz="12" w:space="0"/>
              <w:bottom w:val="single" w:color="auto" w:sz="4" w:space="0"/>
            </w:tcBorders>
            <w:shd w:val="clear" w:color="auto" w:fill="CCCCCC"/>
            <w:noWrap w:val="0"/>
            <w:vAlign w:val="center"/>
          </w:tcPr>
          <w:p w14:paraId="2B0C2B65">
            <w:pPr>
              <w:widowControl/>
              <w:snapToGrid w:val="0"/>
              <w:spacing w:line="360" w:lineRule="exact"/>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设置密度</w:t>
            </w:r>
          </w:p>
          <w:p w14:paraId="0567DB30">
            <w:pPr>
              <w:widowControl/>
              <w:snapToGrid w:val="0"/>
              <w:spacing w:line="360" w:lineRule="exact"/>
              <w:jc w:val="center"/>
              <w:rPr>
                <w:rFonts w:hint="eastAsia" w:ascii="仿宋" w:hAnsi="仿宋" w:eastAsia="仿宋" w:cs="仿宋"/>
                <w:color w:val="auto"/>
                <w:kern w:val="0"/>
                <w:sz w:val="18"/>
                <w:szCs w:val="18"/>
                <w:highlight w:val="none"/>
              </w:rPr>
            </w:pPr>
            <w:r>
              <w:rPr>
                <w:rFonts w:hint="eastAsia" w:ascii="仿宋" w:hAnsi="仿宋" w:eastAsia="仿宋" w:cs="仿宋"/>
                <w:color w:val="auto"/>
                <w:kern w:val="0"/>
                <w:sz w:val="18"/>
                <w:szCs w:val="18"/>
                <w:highlight w:val="none"/>
              </w:rPr>
              <w:t>（座/k</w:t>
            </w:r>
            <w:r>
              <w:rPr>
                <w:rFonts w:hint="eastAsia" w:ascii="仿宋" w:hAnsi="仿宋" w:eastAsia="仿宋" w:cs="仿宋"/>
                <w:color w:val="auto"/>
                <w:sz w:val="18"/>
                <w:szCs w:val="18"/>
                <w:highlight w:val="none"/>
              </w:rPr>
              <w:t>m</w:t>
            </w:r>
            <w:r>
              <w:rPr>
                <w:rFonts w:hint="eastAsia" w:ascii="仿宋" w:hAnsi="仿宋" w:eastAsia="仿宋" w:cs="仿宋"/>
                <w:color w:val="auto"/>
                <w:sz w:val="18"/>
                <w:szCs w:val="18"/>
                <w:highlight w:val="none"/>
                <w:vertAlign w:val="superscript"/>
              </w:rPr>
              <w:t>2</w:t>
            </w:r>
            <w:r>
              <w:rPr>
                <w:rFonts w:hint="eastAsia" w:ascii="仿宋" w:hAnsi="仿宋" w:eastAsia="仿宋" w:cs="仿宋"/>
                <w:color w:val="auto"/>
                <w:kern w:val="0"/>
                <w:sz w:val="18"/>
                <w:szCs w:val="18"/>
                <w:highlight w:val="none"/>
              </w:rPr>
              <w:t>）</w:t>
            </w:r>
          </w:p>
        </w:tc>
        <w:tc>
          <w:tcPr>
            <w:tcW w:w="599" w:type="pct"/>
            <w:tcBorders>
              <w:top w:val="single" w:color="auto" w:sz="12" w:space="0"/>
              <w:bottom w:val="single" w:color="auto" w:sz="4" w:space="0"/>
            </w:tcBorders>
            <w:shd w:val="clear" w:color="auto" w:fill="CCCCCC"/>
            <w:noWrap w:val="0"/>
            <w:vAlign w:val="center"/>
          </w:tcPr>
          <w:p w14:paraId="00F62885">
            <w:pPr>
              <w:widowControl/>
              <w:snapToGrid w:val="0"/>
              <w:spacing w:line="360" w:lineRule="exact"/>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建筑面积</w:t>
            </w:r>
            <w:r>
              <w:rPr>
                <w:rFonts w:hint="eastAsia" w:ascii="仿宋" w:hAnsi="仿宋" w:eastAsia="仿宋" w:cs="仿宋"/>
                <w:color w:val="auto"/>
                <w:kern w:val="0"/>
                <w:sz w:val="18"/>
                <w:szCs w:val="18"/>
                <w:highlight w:val="none"/>
              </w:rPr>
              <w:t>（</w:t>
            </w:r>
            <w:r>
              <w:rPr>
                <w:rFonts w:hint="eastAsia" w:ascii="仿宋" w:hAnsi="仿宋" w:eastAsia="仿宋" w:cs="仿宋"/>
                <w:color w:val="auto"/>
                <w:sz w:val="18"/>
                <w:szCs w:val="18"/>
                <w:highlight w:val="none"/>
              </w:rPr>
              <w:t>m</w:t>
            </w:r>
            <w:r>
              <w:rPr>
                <w:rFonts w:hint="eastAsia" w:ascii="仿宋" w:hAnsi="仿宋" w:eastAsia="仿宋" w:cs="仿宋"/>
                <w:color w:val="auto"/>
                <w:sz w:val="18"/>
                <w:szCs w:val="18"/>
                <w:highlight w:val="none"/>
                <w:vertAlign w:val="superscript"/>
              </w:rPr>
              <w:t>2</w:t>
            </w:r>
            <w:r>
              <w:rPr>
                <w:rFonts w:hint="eastAsia" w:ascii="仿宋" w:hAnsi="仿宋" w:eastAsia="仿宋" w:cs="仿宋"/>
                <w:color w:val="auto"/>
                <w:kern w:val="0"/>
                <w:sz w:val="18"/>
                <w:szCs w:val="18"/>
                <w:highlight w:val="none"/>
              </w:rPr>
              <w:t>/座）</w:t>
            </w:r>
          </w:p>
        </w:tc>
        <w:tc>
          <w:tcPr>
            <w:tcW w:w="768" w:type="pct"/>
            <w:tcBorders>
              <w:top w:val="single" w:color="auto" w:sz="12" w:space="0"/>
              <w:bottom w:val="single" w:color="auto" w:sz="4" w:space="0"/>
            </w:tcBorders>
            <w:shd w:val="clear" w:color="auto" w:fill="CCCCCC"/>
            <w:noWrap w:val="0"/>
            <w:vAlign w:val="center"/>
          </w:tcPr>
          <w:p w14:paraId="74797DBF">
            <w:pPr>
              <w:widowControl/>
              <w:snapToGrid w:val="0"/>
              <w:spacing w:line="360" w:lineRule="exact"/>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独立式公厕用地面积</w:t>
            </w:r>
            <w:r>
              <w:rPr>
                <w:rFonts w:hint="eastAsia" w:ascii="仿宋" w:hAnsi="仿宋" w:eastAsia="仿宋" w:cs="仿宋"/>
                <w:color w:val="auto"/>
                <w:kern w:val="0"/>
                <w:sz w:val="18"/>
                <w:szCs w:val="18"/>
                <w:highlight w:val="none"/>
              </w:rPr>
              <w:t>（</w:t>
            </w:r>
            <w:r>
              <w:rPr>
                <w:rFonts w:hint="eastAsia" w:ascii="仿宋" w:hAnsi="仿宋" w:eastAsia="仿宋" w:cs="仿宋"/>
                <w:color w:val="auto"/>
                <w:sz w:val="18"/>
                <w:szCs w:val="18"/>
                <w:highlight w:val="none"/>
              </w:rPr>
              <w:t>m</w:t>
            </w:r>
            <w:r>
              <w:rPr>
                <w:rFonts w:hint="eastAsia" w:ascii="仿宋" w:hAnsi="仿宋" w:eastAsia="仿宋" w:cs="仿宋"/>
                <w:color w:val="auto"/>
                <w:sz w:val="18"/>
                <w:szCs w:val="18"/>
                <w:highlight w:val="none"/>
                <w:vertAlign w:val="superscript"/>
              </w:rPr>
              <w:t>2</w:t>
            </w:r>
            <w:r>
              <w:rPr>
                <w:rFonts w:hint="eastAsia" w:ascii="仿宋" w:hAnsi="仿宋" w:eastAsia="仿宋" w:cs="仿宋"/>
                <w:color w:val="auto"/>
                <w:kern w:val="0"/>
                <w:sz w:val="18"/>
                <w:szCs w:val="18"/>
                <w:highlight w:val="none"/>
              </w:rPr>
              <w:t>/座）</w:t>
            </w:r>
          </w:p>
        </w:tc>
        <w:tc>
          <w:tcPr>
            <w:tcW w:w="2015" w:type="pct"/>
            <w:tcBorders>
              <w:top w:val="single" w:color="auto" w:sz="12" w:space="0"/>
              <w:bottom w:val="single" w:color="auto" w:sz="4" w:space="0"/>
            </w:tcBorders>
            <w:shd w:val="clear" w:color="auto" w:fill="CCCCCC"/>
            <w:noWrap w:val="0"/>
            <w:vAlign w:val="center"/>
          </w:tcPr>
          <w:p w14:paraId="44C5490A">
            <w:pPr>
              <w:widowControl/>
              <w:snapToGrid w:val="0"/>
              <w:spacing w:line="360" w:lineRule="exact"/>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备注</w:t>
            </w:r>
          </w:p>
        </w:tc>
      </w:tr>
      <w:tr w14:paraId="3371ABF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973" w:type="pct"/>
            <w:tcBorders>
              <w:top w:val="single" w:color="auto" w:sz="4" w:space="0"/>
            </w:tcBorders>
            <w:noWrap w:val="0"/>
            <w:vAlign w:val="center"/>
          </w:tcPr>
          <w:p w14:paraId="30032B30">
            <w:pPr>
              <w:widowControl/>
              <w:snapToGrid w:val="0"/>
              <w:spacing w:line="360" w:lineRule="exact"/>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居住用地</w:t>
            </w:r>
          </w:p>
        </w:tc>
        <w:tc>
          <w:tcPr>
            <w:tcW w:w="644" w:type="pct"/>
            <w:tcBorders>
              <w:top w:val="single" w:color="auto" w:sz="4" w:space="0"/>
            </w:tcBorders>
            <w:noWrap w:val="0"/>
            <w:vAlign w:val="center"/>
          </w:tcPr>
          <w:p w14:paraId="51F11054">
            <w:pPr>
              <w:widowControl/>
              <w:snapToGrid w:val="0"/>
              <w:spacing w:line="360" w:lineRule="exact"/>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3－5</w:t>
            </w:r>
          </w:p>
        </w:tc>
        <w:tc>
          <w:tcPr>
            <w:tcW w:w="599" w:type="pct"/>
            <w:tcBorders>
              <w:top w:val="single" w:color="auto" w:sz="4" w:space="0"/>
            </w:tcBorders>
            <w:noWrap w:val="0"/>
            <w:vAlign w:val="center"/>
          </w:tcPr>
          <w:p w14:paraId="1D2883AE">
            <w:pPr>
              <w:widowControl/>
              <w:snapToGrid w:val="0"/>
              <w:spacing w:line="360" w:lineRule="exact"/>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30-80</w:t>
            </w:r>
          </w:p>
        </w:tc>
        <w:tc>
          <w:tcPr>
            <w:tcW w:w="768" w:type="pct"/>
            <w:tcBorders>
              <w:top w:val="single" w:color="auto" w:sz="4" w:space="0"/>
            </w:tcBorders>
            <w:noWrap w:val="0"/>
            <w:vAlign w:val="center"/>
          </w:tcPr>
          <w:p w14:paraId="1A31CBEF">
            <w:pPr>
              <w:widowControl/>
              <w:snapToGrid w:val="0"/>
              <w:spacing w:line="360" w:lineRule="exact"/>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60-120</w:t>
            </w:r>
          </w:p>
        </w:tc>
        <w:tc>
          <w:tcPr>
            <w:tcW w:w="2015" w:type="pct"/>
            <w:tcBorders>
              <w:top w:val="single" w:color="auto" w:sz="4" w:space="0"/>
            </w:tcBorders>
            <w:noWrap w:val="0"/>
            <w:vAlign w:val="center"/>
          </w:tcPr>
          <w:p w14:paraId="45F50515">
            <w:pPr>
              <w:widowControl/>
              <w:snapToGrid w:val="0"/>
              <w:spacing w:line="360" w:lineRule="exact"/>
              <w:rPr>
                <w:rFonts w:hint="eastAsia" w:ascii="仿宋" w:hAnsi="仿宋" w:eastAsia="仿宋" w:cs="仿宋"/>
                <w:color w:val="auto"/>
                <w:kern w:val="0"/>
                <w:highlight w:val="none"/>
              </w:rPr>
            </w:pPr>
            <w:r>
              <w:rPr>
                <w:rFonts w:hint="eastAsia" w:ascii="仿宋" w:hAnsi="仿宋" w:eastAsia="仿宋" w:cs="仿宋"/>
                <w:color w:val="auto"/>
                <w:kern w:val="0"/>
                <w:highlight w:val="none"/>
              </w:rPr>
              <w:t>旧城区宜取密度的高限，新区宜取密度的中、低限</w:t>
            </w:r>
          </w:p>
        </w:tc>
      </w:tr>
      <w:tr w14:paraId="4FF4483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973" w:type="pct"/>
            <w:noWrap w:val="0"/>
            <w:vAlign w:val="center"/>
          </w:tcPr>
          <w:p w14:paraId="0C3A4CFC">
            <w:pPr>
              <w:widowControl/>
              <w:snapToGrid w:val="0"/>
              <w:spacing w:line="400" w:lineRule="exact"/>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公共管理与公共服务用地、商业服务业设施用地、道路与交通设施用地</w:t>
            </w:r>
          </w:p>
        </w:tc>
        <w:tc>
          <w:tcPr>
            <w:tcW w:w="644" w:type="pct"/>
            <w:noWrap w:val="0"/>
            <w:vAlign w:val="center"/>
          </w:tcPr>
          <w:p w14:paraId="1B057B35">
            <w:pPr>
              <w:widowControl/>
              <w:snapToGrid w:val="0"/>
              <w:spacing w:line="400" w:lineRule="exact"/>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4－11</w:t>
            </w:r>
          </w:p>
        </w:tc>
        <w:tc>
          <w:tcPr>
            <w:tcW w:w="599" w:type="pct"/>
            <w:noWrap w:val="0"/>
            <w:vAlign w:val="center"/>
          </w:tcPr>
          <w:p w14:paraId="0660A22F">
            <w:pPr>
              <w:widowControl/>
              <w:snapToGrid w:val="0"/>
              <w:spacing w:line="400" w:lineRule="exact"/>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50-120</w:t>
            </w:r>
          </w:p>
        </w:tc>
        <w:tc>
          <w:tcPr>
            <w:tcW w:w="768" w:type="pct"/>
            <w:noWrap w:val="0"/>
            <w:vAlign w:val="center"/>
          </w:tcPr>
          <w:p w14:paraId="2E6D3F9D">
            <w:pPr>
              <w:widowControl/>
              <w:snapToGrid w:val="0"/>
              <w:spacing w:line="400" w:lineRule="exact"/>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80-170</w:t>
            </w:r>
          </w:p>
        </w:tc>
        <w:tc>
          <w:tcPr>
            <w:tcW w:w="2015" w:type="pct"/>
            <w:noWrap w:val="0"/>
            <w:vAlign w:val="center"/>
          </w:tcPr>
          <w:p w14:paraId="02F6D0E9">
            <w:pPr>
              <w:keepNext w:val="0"/>
              <w:keepLines w:val="0"/>
              <w:pageBreakBefore w:val="0"/>
              <w:widowControl/>
              <w:kinsoku/>
              <w:wordWrap/>
              <w:overflowPunct/>
              <w:topLinePunct w:val="0"/>
              <w:autoSpaceDE/>
              <w:autoSpaceDN/>
              <w:bidi w:val="0"/>
              <w:adjustRightInd/>
              <w:snapToGrid w:val="0"/>
              <w:spacing w:line="320" w:lineRule="exact"/>
              <w:textAlignment w:val="auto"/>
              <w:rPr>
                <w:rFonts w:hint="eastAsia" w:ascii="仿宋" w:hAnsi="仿宋" w:eastAsia="仿宋" w:cs="仿宋"/>
                <w:color w:val="auto"/>
                <w:kern w:val="0"/>
                <w:highlight w:val="none"/>
              </w:rPr>
            </w:pPr>
            <w:r>
              <w:rPr>
                <w:rFonts w:hint="eastAsia" w:ascii="仿宋" w:hAnsi="仿宋" w:eastAsia="仿宋" w:cs="仿宋"/>
                <w:color w:val="auto"/>
                <w:kern w:val="0"/>
                <w:highlight w:val="none"/>
              </w:rPr>
              <w:t>公共管理与公共服务用地中的文化设施用地、体育用地、医疗卫生用地，以及商业服务业设施用地中的商业设施用地、娱乐康体用地等人流较大的区域取密度指标的高限；其他人流稀疏区域宜取低限</w:t>
            </w:r>
          </w:p>
        </w:tc>
      </w:tr>
      <w:tr w14:paraId="4AD7912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973" w:type="pct"/>
            <w:noWrap w:val="0"/>
            <w:vAlign w:val="center"/>
          </w:tcPr>
          <w:p w14:paraId="1723705C">
            <w:pPr>
              <w:widowControl/>
              <w:snapToGrid w:val="0"/>
              <w:spacing w:line="360" w:lineRule="exact"/>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绿地与广场用地</w:t>
            </w:r>
          </w:p>
        </w:tc>
        <w:tc>
          <w:tcPr>
            <w:tcW w:w="644" w:type="pct"/>
            <w:noWrap w:val="0"/>
            <w:vAlign w:val="center"/>
          </w:tcPr>
          <w:p w14:paraId="47A829B7">
            <w:pPr>
              <w:widowControl/>
              <w:snapToGrid w:val="0"/>
              <w:spacing w:line="360" w:lineRule="exact"/>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5—6</w:t>
            </w:r>
          </w:p>
        </w:tc>
        <w:tc>
          <w:tcPr>
            <w:tcW w:w="599" w:type="pct"/>
            <w:noWrap w:val="0"/>
            <w:vAlign w:val="center"/>
          </w:tcPr>
          <w:p w14:paraId="7EEC0C66">
            <w:pPr>
              <w:widowControl/>
              <w:snapToGrid w:val="0"/>
              <w:spacing w:line="360" w:lineRule="exact"/>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50-120</w:t>
            </w:r>
          </w:p>
        </w:tc>
        <w:tc>
          <w:tcPr>
            <w:tcW w:w="768" w:type="pct"/>
            <w:noWrap w:val="0"/>
            <w:vAlign w:val="center"/>
          </w:tcPr>
          <w:p w14:paraId="436A8F5E">
            <w:pPr>
              <w:widowControl/>
              <w:snapToGrid w:val="0"/>
              <w:spacing w:line="360" w:lineRule="exact"/>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80-170</w:t>
            </w:r>
          </w:p>
        </w:tc>
        <w:tc>
          <w:tcPr>
            <w:tcW w:w="2015" w:type="pct"/>
            <w:noWrap w:val="0"/>
            <w:vAlign w:val="center"/>
          </w:tcPr>
          <w:p w14:paraId="64533077">
            <w:pPr>
              <w:keepNext w:val="0"/>
              <w:keepLines w:val="0"/>
              <w:pageBreakBefore w:val="0"/>
              <w:widowControl/>
              <w:kinsoku/>
              <w:wordWrap/>
              <w:overflowPunct/>
              <w:topLinePunct w:val="0"/>
              <w:autoSpaceDE/>
              <w:autoSpaceDN/>
              <w:bidi w:val="0"/>
              <w:adjustRightInd/>
              <w:snapToGrid w:val="0"/>
              <w:spacing w:line="320" w:lineRule="exact"/>
              <w:textAlignment w:val="auto"/>
              <w:rPr>
                <w:rFonts w:hint="eastAsia" w:ascii="仿宋" w:hAnsi="仿宋" w:eastAsia="仿宋" w:cs="仿宋"/>
                <w:color w:val="auto"/>
                <w:kern w:val="0"/>
                <w:highlight w:val="none"/>
              </w:rPr>
            </w:pPr>
            <w:r>
              <w:rPr>
                <w:rFonts w:hint="eastAsia" w:ascii="仿宋" w:hAnsi="仿宋" w:eastAsia="仿宋" w:cs="仿宋"/>
                <w:color w:val="auto"/>
                <w:kern w:val="0"/>
                <w:highlight w:val="none"/>
              </w:rPr>
              <w:t>绿地中的公园绿地、广场用地的公共厕所设置应以当地公共设施的布局情况而定</w:t>
            </w:r>
          </w:p>
        </w:tc>
      </w:tr>
      <w:tr w14:paraId="5654A2E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973" w:type="pct"/>
            <w:noWrap w:val="0"/>
            <w:vAlign w:val="center"/>
          </w:tcPr>
          <w:p w14:paraId="0C37E871">
            <w:pPr>
              <w:widowControl/>
              <w:snapToGrid w:val="0"/>
              <w:spacing w:line="360" w:lineRule="exact"/>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工业用地、</w:t>
            </w:r>
          </w:p>
          <w:p w14:paraId="790BBD85">
            <w:pPr>
              <w:widowControl/>
              <w:snapToGrid w:val="0"/>
              <w:spacing w:line="360" w:lineRule="exact"/>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仓储用地、</w:t>
            </w:r>
          </w:p>
          <w:p w14:paraId="725C2BD2">
            <w:pPr>
              <w:widowControl/>
              <w:snapToGrid w:val="0"/>
              <w:spacing w:line="360" w:lineRule="exact"/>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公用设施用地</w:t>
            </w:r>
          </w:p>
        </w:tc>
        <w:tc>
          <w:tcPr>
            <w:tcW w:w="644" w:type="pct"/>
            <w:noWrap w:val="0"/>
            <w:vAlign w:val="center"/>
          </w:tcPr>
          <w:p w14:paraId="066FD290">
            <w:pPr>
              <w:widowControl/>
              <w:snapToGrid w:val="0"/>
              <w:spacing w:line="360" w:lineRule="exact"/>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1－2</w:t>
            </w:r>
          </w:p>
        </w:tc>
        <w:tc>
          <w:tcPr>
            <w:tcW w:w="599" w:type="pct"/>
            <w:noWrap w:val="0"/>
            <w:vAlign w:val="center"/>
          </w:tcPr>
          <w:p w14:paraId="51190F75">
            <w:pPr>
              <w:widowControl/>
              <w:snapToGrid w:val="0"/>
              <w:spacing w:line="360" w:lineRule="exact"/>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30-60</w:t>
            </w:r>
          </w:p>
        </w:tc>
        <w:tc>
          <w:tcPr>
            <w:tcW w:w="768" w:type="pct"/>
            <w:noWrap w:val="0"/>
            <w:vAlign w:val="center"/>
          </w:tcPr>
          <w:p w14:paraId="39CEA6F0">
            <w:pPr>
              <w:widowControl/>
              <w:snapToGrid w:val="0"/>
              <w:spacing w:line="360" w:lineRule="exact"/>
              <w:jc w:val="center"/>
              <w:rPr>
                <w:rFonts w:hint="eastAsia" w:ascii="仿宋" w:hAnsi="仿宋" w:eastAsia="仿宋" w:cs="仿宋"/>
                <w:color w:val="auto"/>
                <w:kern w:val="0"/>
                <w:highlight w:val="none"/>
              </w:rPr>
            </w:pPr>
            <w:r>
              <w:rPr>
                <w:rFonts w:hint="eastAsia" w:ascii="仿宋" w:hAnsi="仿宋" w:eastAsia="仿宋" w:cs="仿宋"/>
                <w:color w:val="auto"/>
                <w:kern w:val="0"/>
                <w:highlight w:val="none"/>
              </w:rPr>
              <w:t>60-100</w:t>
            </w:r>
          </w:p>
        </w:tc>
        <w:tc>
          <w:tcPr>
            <w:tcW w:w="2015" w:type="pct"/>
            <w:noWrap w:val="0"/>
            <w:vAlign w:val="center"/>
          </w:tcPr>
          <w:p w14:paraId="0C73DA9F">
            <w:pPr>
              <w:widowControl/>
              <w:snapToGrid w:val="0"/>
              <w:spacing w:line="360" w:lineRule="exact"/>
              <w:jc w:val="center"/>
              <w:rPr>
                <w:rFonts w:hint="eastAsia" w:ascii="仿宋" w:hAnsi="仿宋" w:eastAsia="仿宋" w:cs="仿宋"/>
                <w:color w:val="auto"/>
                <w:kern w:val="0"/>
                <w:highlight w:val="none"/>
              </w:rPr>
            </w:pPr>
          </w:p>
        </w:tc>
      </w:tr>
    </w:tbl>
    <w:p w14:paraId="174958D4">
      <w:pPr>
        <w:keepNext w:val="0"/>
        <w:keepLines w:val="0"/>
        <w:pageBreakBefore w:val="0"/>
        <w:widowControl w:val="0"/>
        <w:kinsoku/>
        <w:wordWrap/>
        <w:overflowPunct/>
        <w:topLinePunct w:val="0"/>
        <w:autoSpaceDE/>
        <w:autoSpaceDN/>
        <w:bidi w:val="0"/>
        <w:adjustRightInd/>
        <w:snapToGrid/>
        <w:spacing w:after="0" w:line="480" w:lineRule="auto"/>
        <w:ind w:firstLine="560" w:firstLineChars="200"/>
        <w:textAlignment w:val="auto"/>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至2035年，公共厕所共设置86座，平均设置密度为5.97座/km</w:t>
      </w:r>
      <w:r>
        <w:rPr>
          <w:rFonts w:hint="eastAsia" w:ascii="仿宋" w:hAnsi="仿宋" w:eastAsia="仿宋" w:cstheme="minorEastAsia"/>
          <w:sz w:val="28"/>
          <w:szCs w:val="28"/>
          <w:vertAlign w:val="superscript"/>
          <w:lang w:val="en-US" w:eastAsia="zh-CN"/>
        </w:rPr>
        <w:t>2</w:t>
      </w:r>
      <w:r>
        <w:rPr>
          <w:rFonts w:hint="eastAsia" w:ascii="仿宋" w:hAnsi="仿宋" w:eastAsia="仿宋" w:cstheme="minorEastAsia"/>
          <w:sz w:val="28"/>
          <w:szCs w:val="28"/>
          <w:lang w:val="en-US" w:eastAsia="zh-CN"/>
        </w:rPr>
        <w:t>。</w:t>
      </w:r>
    </w:p>
    <w:p w14:paraId="6DEE390F">
      <w:pPr>
        <w:keepNext w:val="0"/>
        <w:keepLines w:val="0"/>
        <w:pageBreakBefore w:val="0"/>
        <w:widowControl w:val="0"/>
        <w:kinsoku/>
        <w:wordWrap/>
        <w:overflowPunct/>
        <w:topLinePunct w:val="0"/>
        <w:autoSpaceDE/>
        <w:autoSpaceDN/>
        <w:bidi w:val="0"/>
        <w:adjustRightInd/>
        <w:snapToGrid/>
        <w:spacing w:after="0" w:line="480" w:lineRule="auto"/>
        <w:ind w:firstLine="560" w:firstLineChars="200"/>
        <w:textAlignment w:val="auto"/>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2、环卫工人作息场所规划</w:t>
      </w:r>
    </w:p>
    <w:p w14:paraId="44B6C548">
      <w:pPr>
        <w:keepNext w:val="0"/>
        <w:keepLines w:val="0"/>
        <w:pageBreakBefore w:val="0"/>
        <w:widowControl w:val="0"/>
        <w:kinsoku/>
        <w:wordWrap/>
        <w:overflowPunct/>
        <w:topLinePunct w:val="0"/>
        <w:autoSpaceDE/>
        <w:autoSpaceDN/>
        <w:bidi w:val="0"/>
        <w:adjustRightInd/>
        <w:snapToGrid/>
        <w:spacing w:after="0" w:line="480" w:lineRule="auto"/>
        <w:ind w:firstLine="560" w:firstLineChars="200"/>
        <w:textAlignment w:val="auto"/>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作息场所的面积和设置数量，一般以作业区域的大小和环卫清扫保洁工人的数量计算。</w:t>
      </w:r>
    </w:p>
    <w:p w14:paraId="543473B8">
      <w:pPr>
        <w:keepNext w:val="0"/>
        <w:keepLines w:val="0"/>
        <w:pageBreakBefore w:val="0"/>
        <w:widowControl w:val="0"/>
        <w:kinsoku/>
        <w:wordWrap/>
        <w:overflowPunct/>
        <w:topLinePunct w:val="0"/>
        <w:autoSpaceDE/>
        <w:autoSpaceDN/>
        <w:bidi w:val="0"/>
        <w:adjustRightInd/>
        <w:snapToGrid/>
        <w:spacing w:after="0" w:line="480" w:lineRule="auto"/>
        <w:ind w:firstLine="560" w:firstLineChars="200"/>
        <w:textAlignment w:val="auto"/>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 xml:space="preserve">               环卫清扫保洁工人作息场所设置指标</w:t>
      </w:r>
    </w:p>
    <w:tbl>
      <w:tblPr>
        <w:tblStyle w:val="17"/>
        <w:tblW w:w="0" w:type="auto"/>
        <w:tblInd w:w="108"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270"/>
        <w:gridCol w:w="4550"/>
      </w:tblGrid>
      <w:tr w14:paraId="4F7EB0E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4270" w:type="dxa"/>
            <w:tcBorders>
              <w:top w:val="single" w:color="auto" w:sz="12" w:space="0"/>
              <w:bottom w:val="single" w:color="auto" w:sz="4" w:space="0"/>
            </w:tcBorders>
            <w:shd w:val="clear" w:color="auto" w:fill="CCCCCC"/>
            <w:noWrap w:val="0"/>
            <w:vAlign w:val="top"/>
          </w:tcPr>
          <w:p w14:paraId="0943FD49">
            <w:pPr>
              <w:pStyle w:val="15"/>
              <w:spacing w:before="0" w:beforeAutospacing="0" w:after="0" w:afterAutospacing="0" w:line="52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作息场所（座/km）</w:t>
            </w:r>
          </w:p>
        </w:tc>
        <w:tc>
          <w:tcPr>
            <w:tcW w:w="4550" w:type="dxa"/>
            <w:tcBorders>
              <w:top w:val="single" w:color="auto" w:sz="12" w:space="0"/>
              <w:bottom w:val="single" w:color="auto" w:sz="4" w:space="0"/>
            </w:tcBorders>
            <w:shd w:val="clear" w:color="auto" w:fill="CCCCCC"/>
            <w:noWrap w:val="0"/>
            <w:vAlign w:val="top"/>
          </w:tcPr>
          <w:p w14:paraId="06F8DA07">
            <w:pPr>
              <w:pStyle w:val="15"/>
              <w:spacing w:before="0" w:beforeAutospacing="0" w:after="0" w:afterAutospacing="0" w:line="52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建筑面积（m</w:t>
            </w:r>
            <w:r>
              <w:rPr>
                <w:rFonts w:hint="eastAsia" w:ascii="仿宋" w:hAnsi="仿宋" w:eastAsia="仿宋" w:cs="仿宋"/>
                <w:color w:val="auto"/>
                <w:sz w:val="21"/>
                <w:szCs w:val="21"/>
                <w:highlight w:val="none"/>
                <w:vertAlign w:val="superscript"/>
              </w:rPr>
              <w:t>2</w:t>
            </w:r>
            <w:r>
              <w:rPr>
                <w:rFonts w:hint="eastAsia" w:ascii="仿宋" w:hAnsi="仿宋" w:eastAsia="仿宋" w:cs="仿宋"/>
                <w:color w:val="auto"/>
                <w:sz w:val="21"/>
                <w:szCs w:val="21"/>
                <w:highlight w:val="none"/>
              </w:rPr>
              <w:t>）</w:t>
            </w:r>
          </w:p>
        </w:tc>
      </w:tr>
      <w:tr w14:paraId="4262DFA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4270" w:type="dxa"/>
            <w:tcBorders>
              <w:top w:val="single" w:color="auto" w:sz="4" w:space="0"/>
            </w:tcBorders>
            <w:noWrap w:val="0"/>
            <w:vAlign w:val="top"/>
          </w:tcPr>
          <w:p w14:paraId="3D171EB1">
            <w:pPr>
              <w:pStyle w:val="15"/>
              <w:spacing w:before="0" w:beforeAutospacing="0" w:after="0" w:afterAutospacing="0" w:line="52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个/0.3－1.2</w:t>
            </w:r>
          </w:p>
        </w:tc>
        <w:tc>
          <w:tcPr>
            <w:tcW w:w="4550" w:type="dxa"/>
            <w:tcBorders>
              <w:top w:val="single" w:color="auto" w:sz="4" w:space="0"/>
            </w:tcBorders>
            <w:noWrap w:val="0"/>
            <w:vAlign w:val="top"/>
          </w:tcPr>
          <w:p w14:paraId="27105D5A">
            <w:pPr>
              <w:pStyle w:val="15"/>
              <w:spacing w:before="0" w:beforeAutospacing="0" w:after="0" w:afterAutospacing="0" w:line="52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20－150</w:t>
            </w:r>
          </w:p>
        </w:tc>
      </w:tr>
      <w:tr w14:paraId="529AE78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8820" w:type="dxa"/>
            <w:gridSpan w:val="2"/>
            <w:noWrap w:val="0"/>
            <w:vAlign w:val="top"/>
          </w:tcPr>
          <w:p w14:paraId="3D381FF6">
            <w:pPr>
              <w:pStyle w:val="15"/>
              <w:spacing w:before="0" w:beforeAutospacing="0" w:after="0" w:afterAutospacing="0" w:line="360" w:lineRule="exact"/>
              <w:jc w:val="both"/>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注：1、表中km系指环卫工人的清扫保洁服务半径。</w:t>
            </w:r>
          </w:p>
          <w:p w14:paraId="52BEB80D">
            <w:pPr>
              <w:pStyle w:val="15"/>
              <w:spacing w:before="0" w:beforeAutospacing="0" w:after="0" w:afterAutospacing="0" w:line="360" w:lineRule="exact"/>
              <w:jc w:val="both"/>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2、商业区、重要公共设施、重要交通客运设施等人口密度大的区域取上限，工业仓储区等人口密度小的区域取下限。</w:t>
            </w:r>
          </w:p>
        </w:tc>
      </w:tr>
    </w:tbl>
    <w:p w14:paraId="27181401">
      <w:pPr>
        <w:keepNext w:val="0"/>
        <w:keepLines w:val="0"/>
        <w:pageBreakBefore w:val="0"/>
        <w:widowControl w:val="0"/>
        <w:kinsoku/>
        <w:wordWrap/>
        <w:overflowPunct/>
        <w:topLinePunct w:val="0"/>
        <w:autoSpaceDE/>
        <w:autoSpaceDN/>
        <w:bidi w:val="0"/>
        <w:adjustRightInd/>
        <w:snapToGrid/>
        <w:spacing w:after="0" w:line="560" w:lineRule="exact"/>
        <w:ind w:left="0" w:leftChars="0" w:firstLine="560" w:firstLineChars="200"/>
        <w:textAlignment w:val="auto"/>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按城市人口2人/千人的指标配置环卫专业队伍，则需环卫专业人员至少为240人、280人。其中现状环卫专业人员有194人，需增设部分环卫专业人员，满足近期需求。</w:t>
      </w:r>
    </w:p>
    <w:p w14:paraId="52C92A19">
      <w:pPr>
        <w:keepNext w:val="0"/>
        <w:keepLines w:val="0"/>
        <w:pageBreakBefore w:val="0"/>
        <w:widowControl w:val="0"/>
        <w:kinsoku/>
        <w:wordWrap/>
        <w:overflowPunct/>
        <w:topLinePunct w:val="0"/>
        <w:autoSpaceDE/>
        <w:autoSpaceDN/>
        <w:bidi w:val="0"/>
        <w:adjustRightInd/>
        <w:snapToGrid/>
        <w:spacing w:after="0" w:line="560" w:lineRule="exact"/>
        <w:ind w:left="0" w:leftChars="0" w:firstLine="560" w:firstLineChars="200"/>
        <w:textAlignment w:val="auto"/>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目前，中心城区近年新建环卫工人作息场所14处，大部分和公厕合建。2035年，城区环卫工人作息场所应达到40个，每处占地20—60m</w:t>
      </w:r>
      <w:r>
        <w:rPr>
          <w:rFonts w:hint="eastAsia" w:ascii="仿宋" w:hAnsi="仿宋" w:eastAsia="仿宋" w:cstheme="minorEastAsia"/>
          <w:sz w:val="28"/>
          <w:szCs w:val="28"/>
          <w:vertAlign w:val="superscript"/>
          <w:lang w:val="en-US" w:eastAsia="zh-CN"/>
        </w:rPr>
        <w:t>2</w:t>
      </w:r>
      <w:r>
        <w:rPr>
          <w:rFonts w:hint="eastAsia" w:ascii="仿宋" w:hAnsi="仿宋" w:eastAsia="仿宋" w:cstheme="minorEastAsia"/>
          <w:sz w:val="28"/>
          <w:szCs w:val="28"/>
          <w:lang w:val="en-US" w:eastAsia="zh-CN"/>
        </w:rPr>
        <w:t>，以供工人休息、更衣、淋浴和停放小型车辆和工具。</w:t>
      </w:r>
    </w:p>
    <w:p w14:paraId="03E89FAC">
      <w:pPr>
        <w:keepNext w:val="0"/>
        <w:keepLines w:val="0"/>
        <w:pageBreakBefore w:val="0"/>
        <w:widowControl w:val="0"/>
        <w:kinsoku/>
        <w:wordWrap/>
        <w:overflowPunct/>
        <w:topLinePunct w:val="0"/>
        <w:autoSpaceDE/>
        <w:autoSpaceDN/>
        <w:bidi w:val="0"/>
        <w:adjustRightInd/>
        <w:snapToGrid/>
        <w:spacing w:after="0" w:line="480" w:lineRule="auto"/>
        <w:ind w:left="0" w:leftChars="0" w:firstLine="560" w:firstLineChars="200"/>
        <w:textAlignment w:val="auto"/>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3、环卫车辆停车场、维修厂</w:t>
      </w:r>
    </w:p>
    <w:p w14:paraId="496B8732">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环卫专用车辆按2.5辆/万人计，近期需30辆，远期需35辆；共需专用停车场0.45hm</w:t>
      </w:r>
      <w:r>
        <w:rPr>
          <w:rFonts w:hint="eastAsia" w:ascii="仿宋" w:hAnsi="仿宋" w:eastAsia="仿宋" w:cstheme="minorEastAsia"/>
          <w:sz w:val="28"/>
          <w:szCs w:val="28"/>
          <w:vertAlign w:val="superscript"/>
          <w:lang w:val="en-US" w:eastAsia="zh-CN"/>
        </w:rPr>
        <w:t>2</w:t>
      </w:r>
      <w:r>
        <w:rPr>
          <w:rFonts w:hint="eastAsia" w:ascii="仿宋" w:hAnsi="仿宋" w:eastAsia="仿宋" w:cstheme="minorEastAsia"/>
          <w:sz w:val="28"/>
          <w:szCs w:val="28"/>
          <w:lang w:val="en-US" w:eastAsia="zh-CN"/>
        </w:rPr>
        <w:t>、0.53hm</w:t>
      </w:r>
      <w:r>
        <w:rPr>
          <w:rFonts w:hint="eastAsia" w:ascii="仿宋" w:hAnsi="仿宋" w:eastAsia="仿宋" w:cstheme="minorEastAsia"/>
          <w:sz w:val="28"/>
          <w:szCs w:val="28"/>
          <w:vertAlign w:val="superscript"/>
          <w:lang w:val="en-US" w:eastAsia="zh-CN"/>
        </w:rPr>
        <w:t>2</w:t>
      </w:r>
      <w:r>
        <w:rPr>
          <w:rFonts w:hint="eastAsia" w:ascii="仿宋" w:hAnsi="仿宋" w:eastAsia="仿宋" w:cstheme="minorEastAsia"/>
          <w:sz w:val="28"/>
          <w:szCs w:val="28"/>
          <w:lang w:val="en-US" w:eastAsia="zh-CN"/>
        </w:rPr>
        <w:t>。规划将环卫停车场与维修厂同建，位于城区主要出入口附近处，设置1座环卫车辆停放场。</w:t>
      </w:r>
    </w:p>
    <w:p w14:paraId="0C24FDBC">
      <w:pPr>
        <w:keepNext w:val="0"/>
        <w:keepLines w:val="0"/>
        <w:pageBreakBefore w:val="0"/>
        <w:widowControl w:val="0"/>
        <w:kinsoku/>
        <w:wordWrap/>
        <w:overflowPunct/>
        <w:topLinePunct w:val="0"/>
        <w:autoSpaceDE/>
        <w:autoSpaceDN/>
        <w:bidi w:val="0"/>
        <w:adjustRightInd/>
        <w:snapToGrid/>
        <w:spacing w:after="0" w:line="480" w:lineRule="auto"/>
        <w:ind w:left="0" w:leftChars="0" w:firstLine="560" w:firstLineChars="200"/>
        <w:textAlignment w:val="auto"/>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4、洒水车供水器</w:t>
      </w:r>
    </w:p>
    <w:p w14:paraId="1C89E0B3">
      <w:pPr>
        <w:keepNext w:val="0"/>
        <w:keepLines w:val="0"/>
        <w:pageBreakBefore w:val="0"/>
        <w:widowControl w:val="0"/>
        <w:kinsoku/>
        <w:wordWrap/>
        <w:overflowPunct/>
        <w:topLinePunct w:val="0"/>
        <w:autoSpaceDE/>
        <w:autoSpaceDN/>
        <w:bidi w:val="0"/>
        <w:adjustRightInd/>
        <w:snapToGrid/>
        <w:spacing w:after="0" w:line="560" w:lineRule="exact"/>
        <w:ind w:left="0" w:leftChars="0" w:firstLine="560" w:firstLineChars="200"/>
        <w:textAlignment w:val="auto"/>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供水器可与城市消火栓共用，也可单独设置；洒水水源优先利用城市污水处理厂处理后的中水。</w:t>
      </w:r>
    </w:p>
    <w:p w14:paraId="75456D8E">
      <w:pPr>
        <w:keepNext w:val="0"/>
        <w:keepLines w:val="0"/>
        <w:pageBreakBefore w:val="0"/>
        <w:widowControl w:val="0"/>
        <w:kinsoku/>
        <w:wordWrap/>
        <w:overflowPunct/>
        <w:topLinePunct w:val="0"/>
        <w:autoSpaceDE/>
        <w:autoSpaceDN/>
        <w:bidi w:val="0"/>
        <w:adjustRightInd/>
        <w:snapToGrid/>
        <w:spacing w:after="0" w:line="560" w:lineRule="exact"/>
        <w:ind w:left="0" w:leftChars="0" w:firstLine="560" w:firstLineChars="200"/>
        <w:textAlignment w:val="auto"/>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洒水车辆供水器沿城市次干道路和支路上设置。城区洒水车辆供水器：2035年规划设置13个。</w:t>
      </w:r>
    </w:p>
    <w:p w14:paraId="4583CAD7">
      <w:pPr>
        <w:pStyle w:val="29"/>
        <w:numPr>
          <w:ilvl w:val="0"/>
          <w:numId w:val="3"/>
        </w:numPr>
        <w:jc w:val="left"/>
        <w:rPr>
          <w:rFonts w:ascii="仿宋" w:hAnsi="仿宋" w:eastAsia="仿宋" w:cstheme="minorEastAsia"/>
          <w:szCs w:val="28"/>
        </w:rPr>
      </w:pPr>
      <w:r>
        <w:rPr>
          <w:rFonts w:hint="eastAsia" w:ascii="仿宋" w:hAnsi="仿宋" w:eastAsia="仿宋" w:cstheme="minorEastAsia"/>
          <w:szCs w:val="28"/>
          <w:lang w:eastAsia="zh-CN"/>
        </w:rPr>
        <w:t>中心城区环卫设施管控</w:t>
      </w:r>
    </w:p>
    <w:p w14:paraId="431D09AD">
      <w:pPr>
        <w:keepNext w:val="0"/>
        <w:keepLines w:val="0"/>
        <w:pageBreakBefore w:val="0"/>
        <w:widowControl w:val="0"/>
        <w:kinsoku/>
        <w:wordWrap/>
        <w:overflowPunct/>
        <w:topLinePunct w:val="0"/>
        <w:autoSpaceDE/>
        <w:autoSpaceDN/>
        <w:bidi w:val="0"/>
        <w:adjustRightInd/>
        <w:snapToGrid/>
        <w:spacing w:after="0" w:line="560" w:lineRule="exact"/>
        <w:ind w:left="0" w:leftChars="0" w:firstLine="560" w:firstLineChars="200"/>
        <w:textAlignment w:val="auto"/>
        <w:rPr>
          <w:rFonts w:hint="eastAsia" w:ascii="仿宋" w:hAnsi="仿宋" w:eastAsia="仿宋" w:cstheme="minorEastAsia"/>
          <w:sz w:val="28"/>
          <w:szCs w:val="28"/>
          <w:lang w:val="en-US" w:eastAsia="zh-CN"/>
        </w:rPr>
      </w:pPr>
      <w:r>
        <w:rPr>
          <w:rFonts w:hint="eastAsia" w:ascii="仿宋" w:hAnsi="仿宋" w:eastAsia="仿宋" w:cstheme="minorEastAsia"/>
          <w:sz w:val="28"/>
          <w:szCs w:val="28"/>
          <w:lang w:val="en-US" w:eastAsia="zh-CN"/>
        </w:rPr>
        <w:t>考虑到中心城区环卫设置用地规模和数量，规划将新建、改建垃圾中转站、垃圾处理设施进行虚线控制；其他环卫设施如垃圾收集站、公厕、环卫供人休息站、供水器等设施进行点位控制，以便在城市建设过程中进行弹性管控和科学管理，为建设环卫设施齐全的现代城市提供有力依据。</w:t>
      </w:r>
    </w:p>
    <w:p w14:paraId="046B5608">
      <w:pPr>
        <w:pStyle w:val="24"/>
        <w:rPr>
          <w:rFonts w:hint="eastAsia" w:ascii="仿宋" w:hAnsi="仿宋" w:eastAsia="仿宋" w:cstheme="minorEastAsia"/>
          <w:sz w:val="28"/>
          <w:szCs w:val="28"/>
        </w:rPr>
      </w:pPr>
    </w:p>
    <w:p w14:paraId="2397656E">
      <w:pPr>
        <w:pStyle w:val="24"/>
        <w:rPr>
          <w:rFonts w:hint="eastAsia" w:ascii="仿宋" w:hAnsi="仿宋" w:eastAsia="仿宋" w:cstheme="minorEastAsia"/>
          <w:sz w:val="28"/>
          <w:szCs w:val="28"/>
        </w:rPr>
      </w:pPr>
    </w:p>
    <w:p w14:paraId="7942B0C8">
      <w:pPr>
        <w:rPr>
          <w:rFonts w:hint="eastAsia"/>
          <w:lang w:eastAsia="zh-CN"/>
        </w:rPr>
      </w:pPr>
      <w:r>
        <w:rPr>
          <w:rFonts w:hint="eastAsia"/>
          <w:lang w:eastAsia="zh-CN"/>
        </w:rPr>
        <w:drawing>
          <wp:inline distT="0" distB="0" distL="114300" distR="114300">
            <wp:extent cx="5264150" cy="3721100"/>
            <wp:effectExtent l="0" t="0" r="12700" b="12700"/>
            <wp:docPr id="2" name="图片 2" descr="04 县域环卫设施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04 县域环卫设施规划图"/>
                    <pic:cNvPicPr>
                      <a:picLocks noChangeAspect="1"/>
                    </pic:cNvPicPr>
                  </pic:nvPicPr>
                  <pic:blipFill>
                    <a:blip r:embed="rId7"/>
                    <a:stretch>
                      <a:fillRect/>
                    </a:stretch>
                  </pic:blipFill>
                  <pic:spPr>
                    <a:xfrm>
                      <a:off x="0" y="0"/>
                      <a:ext cx="5264150" cy="3721100"/>
                    </a:xfrm>
                    <a:prstGeom prst="rect">
                      <a:avLst/>
                    </a:prstGeom>
                  </pic:spPr>
                </pic:pic>
              </a:graphicData>
            </a:graphic>
          </wp:inline>
        </w:drawing>
      </w:r>
    </w:p>
    <w:p w14:paraId="00CC0272">
      <w:pPr>
        <w:rPr>
          <w:rFonts w:hint="eastAsia"/>
          <w:lang w:eastAsia="zh-CN"/>
        </w:rPr>
      </w:pPr>
    </w:p>
    <w:p w14:paraId="5A097BF3">
      <w:pPr>
        <w:rPr>
          <w:rFonts w:hint="eastAsia"/>
          <w:lang w:eastAsia="zh-CN"/>
        </w:rPr>
      </w:pPr>
      <w:r>
        <w:rPr>
          <w:rFonts w:hint="eastAsia"/>
          <w:lang w:eastAsia="zh-CN"/>
        </w:rPr>
        <w:drawing>
          <wp:inline distT="0" distB="0" distL="114300" distR="114300">
            <wp:extent cx="5264785" cy="3721735"/>
            <wp:effectExtent l="0" t="0" r="12065" b="12065"/>
            <wp:docPr id="4" name="图片 4" descr="06 中心城区公厕设置规划图(xin Model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06 中心城区公厕设置规划图(xin Model (1)"/>
                    <pic:cNvPicPr>
                      <a:picLocks noChangeAspect="1"/>
                    </pic:cNvPicPr>
                  </pic:nvPicPr>
                  <pic:blipFill>
                    <a:blip r:embed="rId8"/>
                    <a:stretch>
                      <a:fillRect/>
                    </a:stretch>
                  </pic:blipFill>
                  <pic:spPr>
                    <a:xfrm>
                      <a:off x="0" y="0"/>
                      <a:ext cx="5264785" cy="3721735"/>
                    </a:xfrm>
                    <a:prstGeom prst="rect">
                      <a:avLst/>
                    </a:prstGeom>
                  </pic:spPr>
                </pic:pic>
              </a:graphicData>
            </a:graphic>
          </wp:inline>
        </w:drawing>
      </w:r>
    </w:p>
    <w:p w14:paraId="623BC9D5">
      <w:pPr>
        <w:rPr>
          <w:rFonts w:hint="eastAsia"/>
          <w:lang w:eastAsia="zh-CN"/>
        </w:rPr>
      </w:pPr>
      <w:r>
        <w:rPr>
          <w:rFonts w:hint="eastAsia"/>
          <w:lang w:eastAsia="zh-CN"/>
        </w:rPr>
        <w:drawing>
          <wp:inline distT="0" distB="0" distL="114300" distR="114300">
            <wp:extent cx="5264785" cy="3721735"/>
            <wp:effectExtent l="0" t="0" r="12065" b="12065"/>
            <wp:docPr id="5" name="图片 5" descr="07 中心城区环卫工程规划图 Model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07 中心城区环卫工程规划图 Model (1)"/>
                    <pic:cNvPicPr>
                      <a:picLocks noChangeAspect="1"/>
                    </pic:cNvPicPr>
                  </pic:nvPicPr>
                  <pic:blipFill>
                    <a:blip r:embed="rId9"/>
                    <a:stretch>
                      <a:fillRect/>
                    </a:stretch>
                  </pic:blipFill>
                  <pic:spPr>
                    <a:xfrm>
                      <a:off x="0" y="0"/>
                      <a:ext cx="5264785" cy="3721735"/>
                    </a:xfrm>
                    <a:prstGeom prst="rect">
                      <a:avLst/>
                    </a:prstGeom>
                  </pic:spPr>
                </pic:pic>
              </a:graphicData>
            </a:graphic>
          </wp:inline>
        </w:drawing>
      </w:r>
    </w:p>
    <w:p w14:paraId="219FD2A5">
      <w:pPr>
        <w:rPr>
          <w:rFonts w:hint="eastAsia"/>
          <w:lang w:eastAsia="zh-CN"/>
        </w:rPr>
      </w:pPr>
    </w:p>
    <w:p w14:paraId="18EEE14D">
      <w:pPr>
        <w:rPr>
          <w:rFonts w:hint="eastAsia"/>
          <w:lang w:eastAsia="zh-CN"/>
        </w:rPr>
      </w:pPr>
      <w:r>
        <w:rPr>
          <w:rFonts w:hint="eastAsia"/>
          <w:lang w:eastAsia="zh-CN"/>
        </w:rPr>
        <w:drawing>
          <wp:inline distT="0" distB="0" distL="114300" distR="114300">
            <wp:extent cx="5264785" cy="3721735"/>
            <wp:effectExtent l="0" t="0" r="12065" b="12065"/>
            <wp:docPr id="6" name="图片 6" descr="08 其他环卫设施规划图 Model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08 其他环卫设施规划图 Model (1)"/>
                    <pic:cNvPicPr>
                      <a:picLocks noChangeAspect="1"/>
                    </pic:cNvPicPr>
                  </pic:nvPicPr>
                  <pic:blipFill>
                    <a:blip r:embed="rId10"/>
                    <a:stretch>
                      <a:fillRect/>
                    </a:stretch>
                  </pic:blipFill>
                  <pic:spPr>
                    <a:xfrm>
                      <a:off x="0" y="0"/>
                      <a:ext cx="5264785" cy="3721735"/>
                    </a:xfrm>
                    <a:prstGeom prst="rect">
                      <a:avLst/>
                    </a:prstGeom>
                  </pic:spPr>
                </pic:pic>
              </a:graphicData>
            </a:graphic>
          </wp:inline>
        </w:drawing>
      </w:r>
    </w:p>
    <w:sectPr>
      <w:footerReference r:id="rId5" w:type="default"/>
      <w:pgSz w:w="11906" w:h="16838"/>
      <w:pgMar w:top="1440" w:right="1803" w:bottom="1440" w:left="1797" w:header="851" w:footer="992"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0EDC7">
    <w:pPr>
      <w:pStyle w:val="11"/>
    </w:pPr>
    <w:r>
      <w:pict>
        <v:shape id="_x0000_s1027" o:spid="_x0000_s1027"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path/>
          <v:fill on="f" focussize="0,0"/>
          <v:stroke on="f" weight="0.5pt" joinstyle="miter"/>
          <v:imagedata o:title=""/>
          <o:lock v:ext="edit"/>
          <v:textbox inset="0mm,0mm,0mm,0mm" style="mso-fit-shape-to-text:t;">
            <w:txbxContent>
              <w:p w14:paraId="6151DDC3">
                <w:pPr>
                  <w:pStyle w:val="11"/>
                  <w:rPr>
                    <w:sz w:val="21"/>
                    <w:szCs w:val="21"/>
                  </w:rPr>
                </w:pPr>
                <w:r>
                  <w:rPr>
                    <w:sz w:val="21"/>
                    <w:szCs w:val="21"/>
                  </w:rPr>
                  <w:fldChar w:fldCharType="begin"/>
                </w:r>
                <w:r>
                  <w:rPr>
                    <w:sz w:val="21"/>
                    <w:szCs w:val="21"/>
                  </w:rPr>
                  <w:instrText xml:space="preserve"> PAGE  \* MERGEFORMAT </w:instrText>
                </w:r>
                <w:r>
                  <w:rPr>
                    <w:sz w:val="21"/>
                    <w:szCs w:val="21"/>
                  </w:rPr>
                  <w:fldChar w:fldCharType="separate"/>
                </w:r>
                <w:r>
                  <w:rPr>
                    <w:sz w:val="21"/>
                    <w:szCs w:val="21"/>
                  </w:rPr>
                  <w:t>9</w:t>
                </w:r>
                <w:r>
                  <w:rPr>
                    <w:sz w:val="21"/>
                    <w:szCs w:val="21"/>
                  </w:rPr>
                  <w:fldChar w:fldCharType="end"/>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757A305"/>
    <w:multiLevelType w:val="singleLevel"/>
    <w:tmpl w:val="C757A305"/>
    <w:lvl w:ilvl="0" w:tentative="0">
      <w:start w:val="1"/>
      <w:numFmt w:val="chineseCounting"/>
      <w:pStyle w:val="2"/>
      <w:suff w:val="nothing"/>
      <w:lvlText w:val="第%1章 "/>
      <w:lvlJc w:val="left"/>
      <w:pPr>
        <w:tabs>
          <w:tab w:val="left" w:pos="998"/>
        </w:tabs>
        <w:ind w:left="998" w:firstLine="420"/>
      </w:pPr>
      <w:rPr>
        <w:rFonts w:hint="eastAsia" w:ascii="宋体" w:hAnsi="宋体" w:eastAsia="宋体" w:cs="宋体"/>
      </w:rPr>
    </w:lvl>
  </w:abstractNum>
  <w:abstractNum w:abstractNumId="1">
    <w:nsid w:val="EB4935F2"/>
    <w:multiLevelType w:val="singleLevel"/>
    <w:tmpl w:val="EB4935F2"/>
    <w:lvl w:ilvl="0" w:tentative="0">
      <w:start w:val="1"/>
      <w:numFmt w:val="bullet"/>
      <w:lvlText w:val=""/>
      <w:lvlJc w:val="left"/>
      <w:pPr>
        <w:ind w:left="420" w:hanging="420"/>
      </w:pPr>
      <w:rPr>
        <w:rFonts w:hint="default" w:ascii="Wingdings" w:hAnsi="Wingdings"/>
      </w:rPr>
    </w:lvl>
  </w:abstractNum>
  <w:abstractNum w:abstractNumId="2">
    <w:nsid w:val="00000010"/>
    <w:multiLevelType w:val="multilevel"/>
    <w:tmpl w:val="00000010"/>
    <w:lvl w:ilvl="0" w:tentative="0">
      <w:start w:val="1"/>
      <w:numFmt w:val="decimal"/>
      <w:pStyle w:val="4"/>
      <w:lvlText w:val="%1."/>
      <w:lvlJc w:val="left"/>
      <w:pPr>
        <w:ind w:left="420" w:hanging="420"/>
      </w:pPr>
    </w:lvl>
    <w:lvl w:ilvl="1" w:tentative="0">
      <w:start w:val="1"/>
      <w:numFmt w:val="lowerLetter"/>
      <w:lvlText w:val="%2)"/>
      <w:lvlJc w:val="left"/>
      <w:pPr>
        <w:ind w:left="682" w:hanging="420"/>
      </w:pPr>
    </w:lvl>
    <w:lvl w:ilvl="2" w:tentative="0">
      <w:start w:val="1"/>
      <w:numFmt w:val="lowerRoman"/>
      <w:lvlText w:val="%3."/>
      <w:lvlJc w:val="right"/>
      <w:pPr>
        <w:ind w:left="1102" w:hanging="420"/>
      </w:pPr>
    </w:lvl>
    <w:lvl w:ilvl="3" w:tentative="0">
      <w:start w:val="1"/>
      <w:numFmt w:val="decimal"/>
      <w:lvlText w:val="%4."/>
      <w:lvlJc w:val="left"/>
      <w:pPr>
        <w:ind w:left="1522" w:hanging="420"/>
      </w:pPr>
    </w:lvl>
    <w:lvl w:ilvl="4" w:tentative="0">
      <w:start w:val="1"/>
      <w:numFmt w:val="lowerLetter"/>
      <w:lvlText w:val="%5)"/>
      <w:lvlJc w:val="left"/>
      <w:pPr>
        <w:ind w:left="1942" w:hanging="420"/>
      </w:pPr>
    </w:lvl>
    <w:lvl w:ilvl="5" w:tentative="0">
      <w:start w:val="1"/>
      <w:numFmt w:val="lowerRoman"/>
      <w:lvlText w:val="%6."/>
      <w:lvlJc w:val="right"/>
      <w:pPr>
        <w:ind w:left="2362" w:hanging="420"/>
      </w:pPr>
    </w:lvl>
    <w:lvl w:ilvl="6" w:tentative="0">
      <w:start w:val="1"/>
      <w:numFmt w:val="decimal"/>
      <w:lvlText w:val="%7."/>
      <w:lvlJc w:val="left"/>
      <w:pPr>
        <w:ind w:left="2782" w:hanging="420"/>
      </w:pPr>
    </w:lvl>
    <w:lvl w:ilvl="7" w:tentative="0">
      <w:start w:val="1"/>
      <w:numFmt w:val="lowerLetter"/>
      <w:lvlText w:val="%8)"/>
      <w:lvlJc w:val="left"/>
      <w:pPr>
        <w:ind w:left="3202" w:hanging="420"/>
      </w:pPr>
    </w:lvl>
    <w:lvl w:ilvl="8" w:tentative="0">
      <w:start w:val="1"/>
      <w:numFmt w:val="lowerRoman"/>
      <w:lvlText w:val="%9."/>
      <w:lvlJc w:val="right"/>
      <w:pPr>
        <w:ind w:left="3622" w:hanging="420"/>
      </w:pPr>
    </w:lvl>
  </w:abstractNum>
  <w:abstractNum w:abstractNumId="3">
    <w:nsid w:val="033A74B8"/>
    <w:multiLevelType w:val="multilevel"/>
    <w:tmpl w:val="033A74B8"/>
    <w:lvl w:ilvl="0" w:tentative="0">
      <w:start w:val="1"/>
      <w:numFmt w:val="decimalEnclosedCircle"/>
      <w:lvlText w:val="%1"/>
      <w:lvlJc w:val="left"/>
      <w:pPr>
        <w:tabs>
          <w:tab w:val="left" w:pos="1005"/>
        </w:tabs>
        <w:ind w:left="1005" w:hanging="360"/>
      </w:pPr>
      <w:rPr>
        <w:rFonts w:hint="default" w:ascii="宋体" w:hAnsi="宋体" w:cs="宋体"/>
      </w:rPr>
    </w:lvl>
    <w:lvl w:ilvl="1" w:tentative="0">
      <w:start w:val="1"/>
      <w:numFmt w:val="lowerLetter"/>
      <w:lvlText w:val="%2)"/>
      <w:lvlJc w:val="left"/>
      <w:pPr>
        <w:tabs>
          <w:tab w:val="left" w:pos="1485"/>
        </w:tabs>
        <w:ind w:left="1485" w:hanging="420"/>
      </w:pPr>
    </w:lvl>
    <w:lvl w:ilvl="2" w:tentative="0">
      <w:start w:val="1"/>
      <w:numFmt w:val="lowerRoman"/>
      <w:lvlText w:val="%3."/>
      <w:lvlJc w:val="right"/>
      <w:pPr>
        <w:tabs>
          <w:tab w:val="left" w:pos="1905"/>
        </w:tabs>
        <w:ind w:left="1905" w:hanging="420"/>
      </w:pPr>
    </w:lvl>
    <w:lvl w:ilvl="3" w:tentative="0">
      <w:start w:val="1"/>
      <w:numFmt w:val="decimal"/>
      <w:lvlText w:val="%4."/>
      <w:lvlJc w:val="left"/>
      <w:pPr>
        <w:tabs>
          <w:tab w:val="left" w:pos="2325"/>
        </w:tabs>
        <w:ind w:left="2325" w:hanging="420"/>
      </w:pPr>
    </w:lvl>
    <w:lvl w:ilvl="4" w:tentative="0">
      <w:start w:val="1"/>
      <w:numFmt w:val="lowerLetter"/>
      <w:lvlText w:val="%5)"/>
      <w:lvlJc w:val="left"/>
      <w:pPr>
        <w:tabs>
          <w:tab w:val="left" w:pos="2745"/>
        </w:tabs>
        <w:ind w:left="2745" w:hanging="420"/>
      </w:pPr>
    </w:lvl>
    <w:lvl w:ilvl="5" w:tentative="0">
      <w:start w:val="1"/>
      <w:numFmt w:val="lowerRoman"/>
      <w:lvlText w:val="%6."/>
      <w:lvlJc w:val="right"/>
      <w:pPr>
        <w:tabs>
          <w:tab w:val="left" w:pos="3165"/>
        </w:tabs>
        <w:ind w:left="3165" w:hanging="420"/>
      </w:pPr>
    </w:lvl>
    <w:lvl w:ilvl="6" w:tentative="0">
      <w:start w:val="1"/>
      <w:numFmt w:val="decimal"/>
      <w:lvlText w:val="%7."/>
      <w:lvlJc w:val="left"/>
      <w:pPr>
        <w:tabs>
          <w:tab w:val="left" w:pos="3585"/>
        </w:tabs>
        <w:ind w:left="3585" w:hanging="420"/>
      </w:pPr>
    </w:lvl>
    <w:lvl w:ilvl="7" w:tentative="0">
      <w:start w:val="1"/>
      <w:numFmt w:val="lowerLetter"/>
      <w:lvlText w:val="%8)"/>
      <w:lvlJc w:val="left"/>
      <w:pPr>
        <w:tabs>
          <w:tab w:val="left" w:pos="4005"/>
        </w:tabs>
        <w:ind w:left="4005" w:hanging="420"/>
      </w:pPr>
    </w:lvl>
    <w:lvl w:ilvl="8" w:tentative="0">
      <w:start w:val="1"/>
      <w:numFmt w:val="lowerRoman"/>
      <w:lvlText w:val="%9."/>
      <w:lvlJc w:val="right"/>
      <w:pPr>
        <w:tabs>
          <w:tab w:val="left" w:pos="4425"/>
        </w:tabs>
        <w:ind w:left="4425" w:hanging="420"/>
      </w:pPr>
    </w:lvl>
  </w:abstractNum>
  <w:abstractNum w:abstractNumId="4">
    <w:nsid w:val="1E2F1ED9"/>
    <w:multiLevelType w:val="multilevel"/>
    <w:tmpl w:val="1E2F1ED9"/>
    <w:lvl w:ilvl="0" w:tentative="0">
      <w:start w:val="1"/>
      <w:numFmt w:val="chineseCountingThousand"/>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2"/>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5"/>
  <w:embedSystemFonts/>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hdrShapeDefaults>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zNmMDAxZTBjODgyYmM3MDEwYzljZDVlOTJjMjYwZTUifQ=="/>
  </w:docVars>
  <w:rsids>
    <w:rsidRoot w:val="001569B0"/>
    <w:rsid w:val="00001003"/>
    <w:rsid w:val="000013EE"/>
    <w:rsid w:val="0001700B"/>
    <w:rsid w:val="00025237"/>
    <w:rsid w:val="000471F2"/>
    <w:rsid w:val="00047CBE"/>
    <w:rsid w:val="0006268E"/>
    <w:rsid w:val="000758A0"/>
    <w:rsid w:val="0008171F"/>
    <w:rsid w:val="00084780"/>
    <w:rsid w:val="00090611"/>
    <w:rsid w:val="000A5C75"/>
    <w:rsid w:val="000B5780"/>
    <w:rsid w:val="000D3AAE"/>
    <w:rsid w:val="000D60C4"/>
    <w:rsid w:val="000F589D"/>
    <w:rsid w:val="000F774E"/>
    <w:rsid w:val="0010778B"/>
    <w:rsid w:val="00123ED3"/>
    <w:rsid w:val="00140D98"/>
    <w:rsid w:val="001553B5"/>
    <w:rsid w:val="001569B0"/>
    <w:rsid w:val="0017007D"/>
    <w:rsid w:val="001954FF"/>
    <w:rsid w:val="00195EAA"/>
    <w:rsid w:val="001A0225"/>
    <w:rsid w:val="001A288B"/>
    <w:rsid w:val="001A6F73"/>
    <w:rsid w:val="001C65D9"/>
    <w:rsid w:val="001D63DA"/>
    <w:rsid w:val="001E4825"/>
    <w:rsid w:val="001E6CBD"/>
    <w:rsid w:val="001E6E82"/>
    <w:rsid w:val="00203447"/>
    <w:rsid w:val="00236DE1"/>
    <w:rsid w:val="002420B9"/>
    <w:rsid w:val="00242F14"/>
    <w:rsid w:val="002509C5"/>
    <w:rsid w:val="00253BC8"/>
    <w:rsid w:val="00255A27"/>
    <w:rsid w:val="00263963"/>
    <w:rsid w:val="00273923"/>
    <w:rsid w:val="0027626B"/>
    <w:rsid w:val="002816A4"/>
    <w:rsid w:val="002867C4"/>
    <w:rsid w:val="002B1F35"/>
    <w:rsid w:val="002D05C5"/>
    <w:rsid w:val="002D246B"/>
    <w:rsid w:val="002D328D"/>
    <w:rsid w:val="002D6249"/>
    <w:rsid w:val="002E6115"/>
    <w:rsid w:val="002F14AF"/>
    <w:rsid w:val="003245A8"/>
    <w:rsid w:val="00332B0A"/>
    <w:rsid w:val="00332C2A"/>
    <w:rsid w:val="003360DD"/>
    <w:rsid w:val="0035520F"/>
    <w:rsid w:val="003560FC"/>
    <w:rsid w:val="00363308"/>
    <w:rsid w:val="0038348F"/>
    <w:rsid w:val="003B276D"/>
    <w:rsid w:val="003B437F"/>
    <w:rsid w:val="003C5723"/>
    <w:rsid w:val="003E1A5D"/>
    <w:rsid w:val="003E5BB0"/>
    <w:rsid w:val="003E778A"/>
    <w:rsid w:val="003F3A5E"/>
    <w:rsid w:val="003F6C9A"/>
    <w:rsid w:val="004105C6"/>
    <w:rsid w:val="00413A3A"/>
    <w:rsid w:val="00423547"/>
    <w:rsid w:val="00430884"/>
    <w:rsid w:val="00473C95"/>
    <w:rsid w:val="0047788D"/>
    <w:rsid w:val="004861A2"/>
    <w:rsid w:val="004867B2"/>
    <w:rsid w:val="004903FE"/>
    <w:rsid w:val="004968F6"/>
    <w:rsid w:val="004B03A0"/>
    <w:rsid w:val="004B04F2"/>
    <w:rsid w:val="004C0297"/>
    <w:rsid w:val="004E413B"/>
    <w:rsid w:val="004E739E"/>
    <w:rsid w:val="004E7792"/>
    <w:rsid w:val="004F38F2"/>
    <w:rsid w:val="004F4653"/>
    <w:rsid w:val="00500BFB"/>
    <w:rsid w:val="00503B0A"/>
    <w:rsid w:val="00525893"/>
    <w:rsid w:val="005328CA"/>
    <w:rsid w:val="00545508"/>
    <w:rsid w:val="00554110"/>
    <w:rsid w:val="00555B8E"/>
    <w:rsid w:val="00557A12"/>
    <w:rsid w:val="00561A81"/>
    <w:rsid w:val="00592431"/>
    <w:rsid w:val="00593B15"/>
    <w:rsid w:val="005B7F66"/>
    <w:rsid w:val="005C43C7"/>
    <w:rsid w:val="005E0F6A"/>
    <w:rsid w:val="005E1600"/>
    <w:rsid w:val="005E4E63"/>
    <w:rsid w:val="005E5FDB"/>
    <w:rsid w:val="005F0B4B"/>
    <w:rsid w:val="00600452"/>
    <w:rsid w:val="006031AF"/>
    <w:rsid w:val="006102B0"/>
    <w:rsid w:val="006119D3"/>
    <w:rsid w:val="0061703A"/>
    <w:rsid w:val="00622BB7"/>
    <w:rsid w:val="0062408B"/>
    <w:rsid w:val="0063506D"/>
    <w:rsid w:val="0063682C"/>
    <w:rsid w:val="00653E00"/>
    <w:rsid w:val="00656E87"/>
    <w:rsid w:val="00696DCD"/>
    <w:rsid w:val="006B184F"/>
    <w:rsid w:val="006B71D9"/>
    <w:rsid w:val="006D2072"/>
    <w:rsid w:val="00721DEE"/>
    <w:rsid w:val="00731BE1"/>
    <w:rsid w:val="00750DEF"/>
    <w:rsid w:val="00774FDD"/>
    <w:rsid w:val="00776089"/>
    <w:rsid w:val="00786093"/>
    <w:rsid w:val="007A1344"/>
    <w:rsid w:val="007A7CB2"/>
    <w:rsid w:val="007C2D8E"/>
    <w:rsid w:val="007C3692"/>
    <w:rsid w:val="007C4827"/>
    <w:rsid w:val="007F762F"/>
    <w:rsid w:val="00805018"/>
    <w:rsid w:val="008058B0"/>
    <w:rsid w:val="008134D6"/>
    <w:rsid w:val="00821316"/>
    <w:rsid w:val="008238D5"/>
    <w:rsid w:val="00864CAF"/>
    <w:rsid w:val="00894ECD"/>
    <w:rsid w:val="008A0EE2"/>
    <w:rsid w:val="008A192A"/>
    <w:rsid w:val="008A54AC"/>
    <w:rsid w:val="008C0793"/>
    <w:rsid w:val="008E2290"/>
    <w:rsid w:val="008E7157"/>
    <w:rsid w:val="008F5C65"/>
    <w:rsid w:val="00906B0E"/>
    <w:rsid w:val="009105DE"/>
    <w:rsid w:val="0091406F"/>
    <w:rsid w:val="00921E35"/>
    <w:rsid w:val="00922C5D"/>
    <w:rsid w:val="0093271F"/>
    <w:rsid w:val="00945767"/>
    <w:rsid w:val="0095160F"/>
    <w:rsid w:val="00954D9B"/>
    <w:rsid w:val="00970BC6"/>
    <w:rsid w:val="00973988"/>
    <w:rsid w:val="00992BAC"/>
    <w:rsid w:val="009B262F"/>
    <w:rsid w:val="009D191E"/>
    <w:rsid w:val="009D7F13"/>
    <w:rsid w:val="009F4039"/>
    <w:rsid w:val="00A01612"/>
    <w:rsid w:val="00A07AE3"/>
    <w:rsid w:val="00A26BF0"/>
    <w:rsid w:val="00A32F2D"/>
    <w:rsid w:val="00A341FE"/>
    <w:rsid w:val="00A421DF"/>
    <w:rsid w:val="00A53D83"/>
    <w:rsid w:val="00A57629"/>
    <w:rsid w:val="00A8516B"/>
    <w:rsid w:val="00AA428A"/>
    <w:rsid w:val="00AB31E6"/>
    <w:rsid w:val="00AD5DD9"/>
    <w:rsid w:val="00AE078B"/>
    <w:rsid w:val="00B021AC"/>
    <w:rsid w:val="00B02EDB"/>
    <w:rsid w:val="00B040CA"/>
    <w:rsid w:val="00B245EA"/>
    <w:rsid w:val="00B251C5"/>
    <w:rsid w:val="00B36E2D"/>
    <w:rsid w:val="00B53866"/>
    <w:rsid w:val="00B66321"/>
    <w:rsid w:val="00B66464"/>
    <w:rsid w:val="00B84C78"/>
    <w:rsid w:val="00B86577"/>
    <w:rsid w:val="00BC0A4E"/>
    <w:rsid w:val="00BC3D72"/>
    <w:rsid w:val="00BD0DCA"/>
    <w:rsid w:val="00BD6C75"/>
    <w:rsid w:val="00BE2887"/>
    <w:rsid w:val="00BE7D96"/>
    <w:rsid w:val="00BF12B6"/>
    <w:rsid w:val="00C0163C"/>
    <w:rsid w:val="00C35CBD"/>
    <w:rsid w:val="00C40E1E"/>
    <w:rsid w:val="00C41D7A"/>
    <w:rsid w:val="00C455CB"/>
    <w:rsid w:val="00C504BE"/>
    <w:rsid w:val="00C51973"/>
    <w:rsid w:val="00C70381"/>
    <w:rsid w:val="00CA1E06"/>
    <w:rsid w:val="00CA3087"/>
    <w:rsid w:val="00CB056F"/>
    <w:rsid w:val="00CB1A8F"/>
    <w:rsid w:val="00D133B9"/>
    <w:rsid w:val="00D25122"/>
    <w:rsid w:val="00D41235"/>
    <w:rsid w:val="00D51330"/>
    <w:rsid w:val="00D5331D"/>
    <w:rsid w:val="00D53808"/>
    <w:rsid w:val="00D54FAF"/>
    <w:rsid w:val="00D608E5"/>
    <w:rsid w:val="00D63F0C"/>
    <w:rsid w:val="00D75CEF"/>
    <w:rsid w:val="00D76D86"/>
    <w:rsid w:val="00D91F5A"/>
    <w:rsid w:val="00DA3CAB"/>
    <w:rsid w:val="00DA6576"/>
    <w:rsid w:val="00DC100D"/>
    <w:rsid w:val="00DC5622"/>
    <w:rsid w:val="00DC61B5"/>
    <w:rsid w:val="00DC64BE"/>
    <w:rsid w:val="00DE2691"/>
    <w:rsid w:val="00E06D25"/>
    <w:rsid w:val="00E11A3F"/>
    <w:rsid w:val="00E236CC"/>
    <w:rsid w:val="00E34BF2"/>
    <w:rsid w:val="00E475F7"/>
    <w:rsid w:val="00E52A8B"/>
    <w:rsid w:val="00E57E7E"/>
    <w:rsid w:val="00E735FA"/>
    <w:rsid w:val="00E77A23"/>
    <w:rsid w:val="00E96A47"/>
    <w:rsid w:val="00E96E4B"/>
    <w:rsid w:val="00EA54FA"/>
    <w:rsid w:val="00EC4C22"/>
    <w:rsid w:val="00ED3333"/>
    <w:rsid w:val="00EE2741"/>
    <w:rsid w:val="00EE5B69"/>
    <w:rsid w:val="00EF1A3E"/>
    <w:rsid w:val="00F11BA5"/>
    <w:rsid w:val="00F121D1"/>
    <w:rsid w:val="00F2051F"/>
    <w:rsid w:val="00F35BD8"/>
    <w:rsid w:val="00F36436"/>
    <w:rsid w:val="00F66035"/>
    <w:rsid w:val="00F70BAD"/>
    <w:rsid w:val="00F77EFA"/>
    <w:rsid w:val="00F82357"/>
    <w:rsid w:val="00F82D23"/>
    <w:rsid w:val="00F91581"/>
    <w:rsid w:val="00FA2B3C"/>
    <w:rsid w:val="00FA3EFC"/>
    <w:rsid w:val="00FB1109"/>
    <w:rsid w:val="00FB4F92"/>
    <w:rsid w:val="00FB66E5"/>
    <w:rsid w:val="00FE1AE5"/>
    <w:rsid w:val="00FE3C30"/>
    <w:rsid w:val="00FE45A4"/>
    <w:rsid w:val="014868D6"/>
    <w:rsid w:val="014B6DB6"/>
    <w:rsid w:val="014B7D31"/>
    <w:rsid w:val="0179546C"/>
    <w:rsid w:val="01D6466C"/>
    <w:rsid w:val="03BE360A"/>
    <w:rsid w:val="040C7642"/>
    <w:rsid w:val="04293CFB"/>
    <w:rsid w:val="0486156C"/>
    <w:rsid w:val="049C0C5D"/>
    <w:rsid w:val="04ED321B"/>
    <w:rsid w:val="04F5403C"/>
    <w:rsid w:val="051931EE"/>
    <w:rsid w:val="059C0ED7"/>
    <w:rsid w:val="06127A7D"/>
    <w:rsid w:val="069A2306"/>
    <w:rsid w:val="06F7056F"/>
    <w:rsid w:val="06FC5918"/>
    <w:rsid w:val="08681C10"/>
    <w:rsid w:val="08AB5379"/>
    <w:rsid w:val="08C17F84"/>
    <w:rsid w:val="08E83CAC"/>
    <w:rsid w:val="09605449"/>
    <w:rsid w:val="0A0A57FB"/>
    <w:rsid w:val="0A1724EC"/>
    <w:rsid w:val="0A394593"/>
    <w:rsid w:val="0A570314"/>
    <w:rsid w:val="0AB135FF"/>
    <w:rsid w:val="0B542216"/>
    <w:rsid w:val="0B6C2AAA"/>
    <w:rsid w:val="0B725406"/>
    <w:rsid w:val="0B8C1B18"/>
    <w:rsid w:val="0C082BF2"/>
    <w:rsid w:val="0C1C1816"/>
    <w:rsid w:val="0C47780E"/>
    <w:rsid w:val="0D660E79"/>
    <w:rsid w:val="0D911EE0"/>
    <w:rsid w:val="0ECC778E"/>
    <w:rsid w:val="0ED65CAC"/>
    <w:rsid w:val="0F1839CA"/>
    <w:rsid w:val="0F715CCF"/>
    <w:rsid w:val="0FDD1F1C"/>
    <w:rsid w:val="10177124"/>
    <w:rsid w:val="1025597B"/>
    <w:rsid w:val="105F2674"/>
    <w:rsid w:val="10790FE5"/>
    <w:rsid w:val="107A2A82"/>
    <w:rsid w:val="10817182"/>
    <w:rsid w:val="10C34D56"/>
    <w:rsid w:val="113072D7"/>
    <w:rsid w:val="11815416"/>
    <w:rsid w:val="119231F9"/>
    <w:rsid w:val="11D9617B"/>
    <w:rsid w:val="11DC1DA7"/>
    <w:rsid w:val="127A08CF"/>
    <w:rsid w:val="131925DE"/>
    <w:rsid w:val="13581385"/>
    <w:rsid w:val="138E444B"/>
    <w:rsid w:val="13DE29B0"/>
    <w:rsid w:val="14A775EA"/>
    <w:rsid w:val="14D94773"/>
    <w:rsid w:val="15586EC4"/>
    <w:rsid w:val="156008E3"/>
    <w:rsid w:val="16010BA7"/>
    <w:rsid w:val="16310DCE"/>
    <w:rsid w:val="16322E04"/>
    <w:rsid w:val="16362534"/>
    <w:rsid w:val="170571B0"/>
    <w:rsid w:val="17355AE1"/>
    <w:rsid w:val="178F4070"/>
    <w:rsid w:val="17C70888"/>
    <w:rsid w:val="18555389"/>
    <w:rsid w:val="18645815"/>
    <w:rsid w:val="18693A81"/>
    <w:rsid w:val="19485BB8"/>
    <w:rsid w:val="19FB42AB"/>
    <w:rsid w:val="1A257B29"/>
    <w:rsid w:val="1A2E515C"/>
    <w:rsid w:val="1A6F0BB7"/>
    <w:rsid w:val="1A974D27"/>
    <w:rsid w:val="1A9A7650"/>
    <w:rsid w:val="1B404651"/>
    <w:rsid w:val="1B8D7D37"/>
    <w:rsid w:val="1BEA5747"/>
    <w:rsid w:val="1BF65EFA"/>
    <w:rsid w:val="1C343C9E"/>
    <w:rsid w:val="1CBC2DA9"/>
    <w:rsid w:val="1CEC2B3E"/>
    <w:rsid w:val="1D0B655C"/>
    <w:rsid w:val="1D2C4692"/>
    <w:rsid w:val="1D734A0C"/>
    <w:rsid w:val="1DFB5F54"/>
    <w:rsid w:val="1E4F4610"/>
    <w:rsid w:val="1E6A01BF"/>
    <w:rsid w:val="1E707ECB"/>
    <w:rsid w:val="2020618A"/>
    <w:rsid w:val="202A06D6"/>
    <w:rsid w:val="20E35871"/>
    <w:rsid w:val="21567046"/>
    <w:rsid w:val="217B4CED"/>
    <w:rsid w:val="21972AA0"/>
    <w:rsid w:val="22334283"/>
    <w:rsid w:val="2288247A"/>
    <w:rsid w:val="22AC45A6"/>
    <w:rsid w:val="23DF51AB"/>
    <w:rsid w:val="248655AA"/>
    <w:rsid w:val="24C3687B"/>
    <w:rsid w:val="24FF52FB"/>
    <w:rsid w:val="255C4264"/>
    <w:rsid w:val="259124D5"/>
    <w:rsid w:val="25D00ACE"/>
    <w:rsid w:val="25F211C5"/>
    <w:rsid w:val="2629095F"/>
    <w:rsid w:val="276252F3"/>
    <w:rsid w:val="279D2F43"/>
    <w:rsid w:val="28492D10"/>
    <w:rsid w:val="28A76D6D"/>
    <w:rsid w:val="28AB1AFF"/>
    <w:rsid w:val="28B12803"/>
    <w:rsid w:val="28E62EF9"/>
    <w:rsid w:val="292044B0"/>
    <w:rsid w:val="29DA269C"/>
    <w:rsid w:val="29F033EF"/>
    <w:rsid w:val="2A8B3997"/>
    <w:rsid w:val="2BCE6231"/>
    <w:rsid w:val="2BF308C4"/>
    <w:rsid w:val="2D58341B"/>
    <w:rsid w:val="2D915768"/>
    <w:rsid w:val="2D946079"/>
    <w:rsid w:val="2E086395"/>
    <w:rsid w:val="2E776CB2"/>
    <w:rsid w:val="2E9948C0"/>
    <w:rsid w:val="2F2F7506"/>
    <w:rsid w:val="2FAA0CF1"/>
    <w:rsid w:val="30286057"/>
    <w:rsid w:val="30372C8D"/>
    <w:rsid w:val="307F31A4"/>
    <w:rsid w:val="30A316A4"/>
    <w:rsid w:val="30A532D8"/>
    <w:rsid w:val="30D7536C"/>
    <w:rsid w:val="30F1439C"/>
    <w:rsid w:val="31244B45"/>
    <w:rsid w:val="31AF717C"/>
    <w:rsid w:val="31B45C6F"/>
    <w:rsid w:val="32024E86"/>
    <w:rsid w:val="323D35C1"/>
    <w:rsid w:val="325D52DC"/>
    <w:rsid w:val="32A52895"/>
    <w:rsid w:val="32AC3044"/>
    <w:rsid w:val="33204932"/>
    <w:rsid w:val="33341FEE"/>
    <w:rsid w:val="33972172"/>
    <w:rsid w:val="33D27588"/>
    <w:rsid w:val="33D51255"/>
    <w:rsid w:val="33D80194"/>
    <w:rsid w:val="33F50CB2"/>
    <w:rsid w:val="33FD4FA4"/>
    <w:rsid w:val="3488745B"/>
    <w:rsid w:val="34A87D82"/>
    <w:rsid w:val="34E6283D"/>
    <w:rsid w:val="35333637"/>
    <w:rsid w:val="3552463B"/>
    <w:rsid w:val="35660FCE"/>
    <w:rsid w:val="35A874EB"/>
    <w:rsid w:val="35C00B5B"/>
    <w:rsid w:val="35CD1307"/>
    <w:rsid w:val="35EC2D31"/>
    <w:rsid w:val="36364D84"/>
    <w:rsid w:val="363B0FB3"/>
    <w:rsid w:val="36CF1B3C"/>
    <w:rsid w:val="374161FE"/>
    <w:rsid w:val="37AD1E67"/>
    <w:rsid w:val="381A5FF7"/>
    <w:rsid w:val="389C45AA"/>
    <w:rsid w:val="399D1665"/>
    <w:rsid w:val="3A305611"/>
    <w:rsid w:val="3B025B2A"/>
    <w:rsid w:val="3B666687"/>
    <w:rsid w:val="3B681C0B"/>
    <w:rsid w:val="3B7631B2"/>
    <w:rsid w:val="3B8F2A54"/>
    <w:rsid w:val="3BA91A83"/>
    <w:rsid w:val="3BCA70A5"/>
    <w:rsid w:val="3C1772DF"/>
    <w:rsid w:val="3C1C686F"/>
    <w:rsid w:val="3C355B42"/>
    <w:rsid w:val="3C7F7CBD"/>
    <w:rsid w:val="3C981355"/>
    <w:rsid w:val="3CA04AFF"/>
    <w:rsid w:val="3CD41364"/>
    <w:rsid w:val="3DA61997"/>
    <w:rsid w:val="3DFF6BF7"/>
    <w:rsid w:val="3E1371BB"/>
    <w:rsid w:val="3E16521B"/>
    <w:rsid w:val="3E57542F"/>
    <w:rsid w:val="3ECC63B9"/>
    <w:rsid w:val="3F19736B"/>
    <w:rsid w:val="3F1E6E6D"/>
    <w:rsid w:val="3F632CDC"/>
    <w:rsid w:val="40071D65"/>
    <w:rsid w:val="400E22FB"/>
    <w:rsid w:val="401C4AEF"/>
    <w:rsid w:val="40424CAC"/>
    <w:rsid w:val="40B62FDA"/>
    <w:rsid w:val="40CB6D8B"/>
    <w:rsid w:val="40DF463B"/>
    <w:rsid w:val="413E130B"/>
    <w:rsid w:val="41675BD4"/>
    <w:rsid w:val="41870188"/>
    <w:rsid w:val="41BE0726"/>
    <w:rsid w:val="420A3106"/>
    <w:rsid w:val="42142DCB"/>
    <w:rsid w:val="423C0E97"/>
    <w:rsid w:val="42D8691F"/>
    <w:rsid w:val="42EB3C66"/>
    <w:rsid w:val="439B2A45"/>
    <w:rsid w:val="441F0ECD"/>
    <w:rsid w:val="444A2328"/>
    <w:rsid w:val="449E5491"/>
    <w:rsid w:val="44BE3998"/>
    <w:rsid w:val="44C4421D"/>
    <w:rsid w:val="45475813"/>
    <w:rsid w:val="45CD7002"/>
    <w:rsid w:val="461F7CE2"/>
    <w:rsid w:val="46345196"/>
    <w:rsid w:val="47160A32"/>
    <w:rsid w:val="477552AD"/>
    <w:rsid w:val="48217291"/>
    <w:rsid w:val="48280819"/>
    <w:rsid w:val="484B7264"/>
    <w:rsid w:val="49200EFF"/>
    <w:rsid w:val="49821651"/>
    <w:rsid w:val="4A024309"/>
    <w:rsid w:val="4A5538CD"/>
    <w:rsid w:val="4A873D23"/>
    <w:rsid w:val="4B1A06F3"/>
    <w:rsid w:val="4B2A6B83"/>
    <w:rsid w:val="4BE17463"/>
    <w:rsid w:val="4C064DA0"/>
    <w:rsid w:val="4C2839D8"/>
    <w:rsid w:val="4C3C35D2"/>
    <w:rsid w:val="4C5A3058"/>
    <w:rsid w:val="4CEE62DB"/>
    <w:rsid w:val="4D183853"/>
    <w:rsid w:val="4D3D554A"/>
    <w:rsid w:val="4D99525E"/>
    <w:rsid w:val="4DB44FC5"/>
    <w:rsid w:val="4DEC7B28"/>
    <w:rsid w:val="4E542C6C"/>
    <w:rsid w:val="4E622728"/>
    <w:rsid w:val="4E727211"/>
    <w:rsid w:val="4E8F6626"/>
    <w:rsid w:val="4EF163FE"/>
    <w:rsid w:val="4F6E3703"/>
    <w:rsid w:val="50451A40"/>
    <w:rsid w:val="50BD2394"/>
    <w:rsid w:val="50D22F08"/>
    <w:rsid w:val="51C70EA9"/>
    <w:rsid w:val="51F17946"/>
    <w:rsid w:val="51F660E8"/>
    <w:rsid w:val="520239B2"/>
    <w:rsid w:val="527549CA"/>
    <w:rsid w:val="52B11A81"/>
    <w:rsid w:val="530103EA"/>
    <w:rsid w:val="53414504"/>
    <w:rsid w:val="53BD0D81"/>
    <w:rsid w:val="54765AEE"/>
    <w:rsid w:val="54967D01"/>
    <w:rsid w:val="5499740F"/>
    <w:rsid w:val="55246C59"/>
    <w:rsid w:val="55886798"/>
    <w:rsid w:val="559D7335"/>
    <w:rsid w:val="56C97A64"/>
    <w:rsid w:val="56ED3294"/>
    <w:rsid w:val="575834C9"/>
    <w:rsid w:val="575907F5"/>
    <w:rsid w:val="57A108B0"/>
    <w:rsid w:val="57BD1EB9"/>
    <w:rsid w:val="57CC0FC7"/>
    <w:rsid w:val="588400F4"/>
    <w:rsid w:val="58A331DB"/>
    <w:rsid w:val="593C2292"/>
    <w:rsid w:val="59B00907"/>
    <w:rsid w:val="5A1531CD"/>
    <w:rsid w:val="5A2E7499"/>
    <w:rsid w:val="5A964398"/>
    <w:rsid w:val="5AA35CD6"/>
    <w:rsid w:val="5ADB3764"/>
    <w:rsid w:val="5B773733"/>
    <w:rsid w:val="5C397D83"/>
    <w:rsid w:val="5C5D08A2"/>
    <w:rsid w:val="5C7D3A52"/>
    <w:rsid w:val="5D805C4A"/>
    <w:rsid w:val="5D941F5F"/>
    <w:rsid w:val="5DB9374A"/>
    <w:rsid w:val="5DF77510"/>
    <w:rsid w:val="5E20759F"/>
    <w:rsid w:val="5E244E0E"/>
    <w:rsid w:val="5F0F2A1C"/>
    <w:rsid w:val="5F95080E"/>
    <w:rsid w:val="60375808"/>
    <w:rsid w:val="60497ED3"/>
    <w:rsid w:val="608245CC"/>
    <w:rsid w:val="60DF5334"/>
    <w:rsid w:val="617869AC"/>
    <w:rsid w:val="61AD0EDE"/>
    <w:rsid w:val="61BA75DA"/>
    <w:rsid w:val="61C251E9"/>
    <w:rsid w:val="637A67E0"/>
    <w:rsid w:val="63A62985"/>
    <w:rsid w:val="63F407AD"/>
    <w:rsid w:val="640C6827"/>
    <w:rsid w:val="6483791E"/>
    <w:rsid w:val="649858D2"/>
    <w:rsid w:val="64A801B6"/>
    <w:rsid w:val="65950F58"/>
    <w:rsid w:val="65C7345A"/>
    <w:rsid w:val="65CE3C00"/>
    <w:rsid w:val="66094DDC"/>
    <w:rsid w:val="66AD4244"/>
    <w:rsid w:val="671822BE"/>
    <w:rsid w:val="67FE551B"/>
    <w:rsid w:val="681B0213"/>
    <w:rsid w:val="683664BA"/>
    <w:rsid w:val="685A6F8E"/>
    <w:rsid w:val="689E42BA"/>
    <w:rsid w:val="68A53B58"/>
    <w:rsid w:val="68CC5E33"/>
    <w:rsid w:val="68D75DBC"/>
    <w:rsid w:val="6946396A"/>
    <w:rsid w:val="69483675"/>
    <w:rsid w:val="6ABC491F"/>
    <w:rsid w:val="6B050FDD"/>
    <w:rsid w:val="6B2307FD"/>
    <w:rsid w:val="6B9A16B0"/>
    <w:rsid w:val="6B9B1861"/>
    <w:rsid w:val="6BA430D4"/>
    <w:rsid w:val="6BC535EA"/>
    <w:rsid w:val="6BF84629"/>
    <w:rsid w:val="6C0E5989"/>
    <w:rsid w:val="6C5506B8"/>
    <w:rsid w:val="6C7166E4"/>
    <w:rsid w:val="6CA642D3"/>
    <w:rsid w:val="6CD8170A"/>
    <w:rsid w:val="6D866763"/>
    <w:rsid w:val="6D917A9B"/>
    <w:rsid w:val="6D977D25"/>
    <w:rsid w:val="6DA705BD"/>
    <w:rsid w:val="6DA7736A"/>
    <w:rsid w:val="6DC4348E"/>
    <w:rsid w:val="6DD40792"/>
    <w:rsid w:val="6E7B0778"/>
    <w:rsid w:val="6F433611"/>
    <w:rsid w:val="6FA663F0"/>
    <w:rsid w:val="702F613F"/>
    <w:rsid w:val="709366CE"/>
    <w:rsid w:val="70D55169"/>
    <w:rsid w:val="71445DD4"/>
    <w:rsid w:val="726B4A58"/>
    <w:rsid w:val="72CA4015"/>
    <w:rsid w:val="73152BC1"/>
    <w:rsid w:val="733A1083"/>
    <w:rsid w:val="73700BDB"/>
    <w:rsid w:val="737669FC"/>
    <w:rsid w:val="73C5163E"/>
    <w:rsid w:val="73DE2D90"/>
    <w:rsid w:val="749E7BBD"/>
    <w:rsid w:val="74E455C8"/>
    <w:rsid w:val="754206C3"/>
    <w:rsid w:val="759A65A9"/>
    <w:rsid w:val="75A20241"/>
    <w:rsid w:val="75BE3F05"/>
    <w:rsid w:val="7613572C"/>
    <w:rsid w:val="7619496A"/>
    <w:rsid w:val="762E04ED"/>
    <w:rsid w:val="76C73464"/>
    <w:rsid w:val="770B16B4"/>
    <w:rsid w:val="77EF1307"/>
    <w:rsid w:val="783C0FED"/>
    <w:rsid w:val="797A5272"/>
    <w:rsid w:val="7A28736F"/>
    <w:rsid w:val="7A2F7467"/>
    <w:rsid w:val="7A5A7A29"/>
    <w:rsid w:val="7A6E00EA"/>
    <w:rsid w:val="7AC666E5"/>
    <w:rsid w:val="7AD90E2B"/>
    <w:rsid w:val="7AEE270F"/>
    <w:rsid w:val="7AF86D2C"/>
    <w:rsid w:val="7AFD57B8"/>
    <w:rsid w:val="7B0B00B8"/>
    <w:rsid w:val="7B467280"/>
    <w:rsid w:val="7B5176BF"/>
    <w:rsid w:val="7B611373"/>
    <w:rsid w:val="7B6B7DD6"/>
    <w:rsid w:val="7BE14791"/>
    <w:rsid w:val="7C662EE9"/>
    <w:rsid w:val="7CA80560"/>
    <w:rsid w:val="7D3B6123"/>
    <w:rsid w:val="7D5F01A3"/>
    <w:rsid w:val="7D602605"/>
    <w:rsid w:val="7D6679D2"/>
    <w:rsid w:val="7DA84427"/>
    <w:rsid w:val="7DF84753"/>
    <w:rsid w:val="7E361F47"/>
    <w:rsid w:val="7E462FD2"/>
    <w:rsid w:val="7E5002A1"/>
    <w:rsid w:val="7E8A4DE0"/>
    <w:rsid w:val="7EFC7B34"/>
    <w:rsid w:val="7F4A1653"/>
    <w:rsid w:val="7F825D8F"/>
    <w:rsid w:val="7FF66DF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qFormat="1" w:uiPriority="99" w:semiHidden="0" w:name="Body Text First Indent 2"/>
    <w:lsdException w:uiPriority="99"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200" w:line="276" w:lineRule="auto"/>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numPr>
        <w:ilvl w:val="0"/>
        <w:numId w:val="1"/>
      </w:numPr>
      <w:spacing w:before="340" w:after="330" w:line="576" w:lineRule="auto"/>
      <w:outlineLvl w:val="0"/>
    </w:pPr>
    <w:rPr>
      <w:b/>
      <w:kern w:val="44"/>
      <w:sz w:val="44"/>
    </w:rPr>
  </w:style>
  <w:style w:type="paragraph" w:styleId="3">
    <w:name w:val="heading 2"/>
    <w:basedOn w:val="1"/>
    <w:next w:val="1"/>
    <w:qFormat/>
    <w:uiPriority w:val="0"/>
    <w:pPr>
      <w:keepNext/>
      <w:keepLines/>
      <w:spacing w:before="260" w:after="260" w:line="415" w:lineRule="auto"/>
      <w:outlineLvl w:val="1"/>
    </w:pPr>
    <w:rPr>
      <w:rFonts w:ascii="Arial" w:hAnsi="Arial" w:eastAsia="黑体"/>
      <w:b/>
      <w:sz w:val="32"/>
    </w:rPr>
  </w:style>
  <w:style w:type="paragraph" w:styleId="4">
    <w:name w:val="heading 3"/>
    <w:basedOn w:val="1"/>
    <w:next w:val="1"/>
    <w:qFormat/>
    <w:uiPriority w:val="0"/>
    <w:pPr>
      <w:keepNext/>
      <w:keepLines/>
      <w:numPr>
        <w:ilvl w:val="0"/>
        <w:numId w:val="2"/>
      </w:numPr>
      <w:ind w:right="100" w:rightChars="100" w:firstLine="0"/>
      <w:outlineLvl w:val="2"/>
    </w:pPr>
    <w:rPr>
      <w:b/>
      <w:sz w:val="28"/>
    </w:rPr>
  </w:style>
  <w:style w:type="paragraph" w:styleId="5">
    <w:name w:val="heading 4"/>
    <w:basedOn w:val="1"/>
    <w:next w:val="1"/>
    <w:semiHidden/>
    <w:unhideWhenUsed/>
    <w:qFormat/>
    <w:uiPriority w:val="0"/>
    <w:pPr>
      <w:spacing w:beforeAutospacing="1" w:after="0" w:afterAutospacing="1"/>
      <w:jc w:val="left"/>
      <w:outlineLvl w:val="3"/>
    </w:pPr>
    <w:rPr>
      <w:rFonts w:hint="eastAsia" w:ascii="宋体" w:hAnsi="宋体" w:eastAsia="宋体" w:cs="Times New Roman"/>
      <w:b/>
      <w:bCs/>
      <w:kern w:val="0"/>
      <w:sz w:val="24"/>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6">
    <w:name w:val="Normal Indent"/>
    <w:basedOn w:val="1"/>
    <w:qFormat/>
    <w:uiPriority w:val="99"/>
    <w:pPr>
      <w:adjustRightInd w:val="0"/>
      <w:spacing w:after="0" w:line="360" w:lineRule="atLeast"/>
      <w:ind w:firstLine="420"/>
      <w:jc w:val="left"/>
      <w:textAlignment w:val="baseline"/>
    </w:pPr>
    <w:rPr>
      <w:rFonts w:ascii="Calibri" w:hAnsi="Calibri" w:eastAsia="宋体" w:cs="Times New Roman"/>
      <w:kern w:val="0"/>
      <w:sz w:val="25"/>
      <w:szCs w:val="20"/>
    </w:rPr>
  </w:style>
  <w:style w:type="paragraph" w:styleId="7">
    <w:name w:val="Document Map"/>
    <w:basedOn w:val="1"/>
    <w:link w:val="28"/>
    <w:qFormat/>
    <w:uiPriority w:val="0"/>
    <w:rPr>
      <w:rFonts w:ascii="宋体" w:eastAsia="宋体"/>
      <w:sz w:val="18"/>
      <w:szCs w:val="18"/>
    </w:rPr>
  </w:style>
  <w:style w:type="paragraph" w:styleId="8">
    <w:name w:val="Body Text Indent"/>
    <w:basedOn w:val="1"/>
    <w:qFormat/>
    <w:uiPriority w:val="0"/>
    <w:pPr>
      <w:spacing w:after="120"/>
      <w:ind w:left="420" w:leftChars="200"/>
    </w:pPr>
    <w:rPr>
      <w:kern w:val="0"/>
      <w:sz w:val="20"/>
    </w:rPr>
  </w:style>
  <w:style w:type="paragraph" w:styleId="9">
    <w:name w:val="Date"/>
    <w:basedOn w:val="1"/>
    <w:next w:val="1"/>
    <w:qFormat/>
    <w:uiPriority w:val="0"/>
    <w:rPr>
      <w:sz w:val="24"/>
      <w:szCs w:val="20"/>
    </w:rPr>
  </w:style>
  <w:style w:type="paragraph" w:styleId="10">
    <w:name w:val="Balloon Text"/>
    <w:basedOn w:val="1"/>
    <w:link w:val="31"/>
    <w:qFormat/>
    <w:uiPriority w:val="0"/>
    <w:pPr>
      <w:spacing w:after="0" w:line="240" w:lineRule="auto"/>
    </w:pPr>
    <w:rPr>
      <w:sz w:val="18"/>
      <w:szCs w:val="18"/>
    </w:r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link w:val="30"/>
    <w:qFormat/>
    <w:uiPriority w:val="99"/>
    <w:pPr>
      <w:pBdr>
        <w:bottom w:val="single" w:color="auto" w:sz="6" w:space="1"/>
      </w:pBdr>
      <w:tabs>
        <w:tab w:val="center" w:pos="4153"/>
        <w:tab w:val="right" w:pos="8306"/>
      </w:tabs>
      <w:snapToGrid w:val="0"/>
      <w:jc w:val="center"/>
    </w:pPr>
    <w:rPr>
      <w:rFonts w:ascii="Times New Roman" w:hAnsi="Times New Roman" w:eastAsia="宋体"/>
      <w:sz w:val="18"/>
      <w:szCs w:val="18"/>
    </w:rPr>
  </w:style>
  <w:style w:type="paragraph" w:styleId="13">
    <w:name w:val="toc 1"/>
    <w:basedOn w:val="1"/>
    <w:next w:val="1"/>
    <w:qFormat/>
    <w:uiPriority w:val="0"/>
  </w:style>
  <w:style w:type="paragraph" w:styleId="14">
    <w:name w:val="toc 2"/>
    <w:basedOn w:val="1"/>
    <w:next w:val="1"/>
    <w:qFormat/>
    <w:uiPriority w:val="0"/>
    <w:pPr>
      <w:ind w:left="420" w:leftChars="200"/>
    </w:pPr>
  </w:style>
  <w:style w:type="paragraph" w:styleId="15">
    <w:name w:val="Normal (Web)"/>
    <w:basedOn w:val="1"/>
    <w:qFormat/>
    <w:uiPriority w:val="0"/>
    <w:pPr>
      <w:spacing w:before="100" w:beforeAutospacing="1" w:after="100" w:afterAutospacing="1"/>
      <w:jc w:val="left"/>
    </w:pPr>
    <w:rPr>
      <w:rFonts w:cs="Times New Roman"/>
      <w:kern w:val="0"/>
      <w:sz w:val="24"/>
    </w:rPr>
  </w:style>
  <w:style w:type="paragraph" w:styleId="16">
    <w:name w:val="Body Text First Indent 2"/>
    <w:basedOn w:val="8"/>
    <w:unhideWhenUsed/>
    <w:qFormat/>
    <w:uiPriority w:val="99"/>
    <w:pPr>
      <w:spacing w:before="50"/>
      <w:ind w:firstLine="200" w:firstLineChars="200"/>
    </w:p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Strong"/>
    <w:basedOn w:val="19"/>
    <w:qFormat/>
    <w:uiPriority w:val="0"/>
    <w:rPr>
      <w:b/>
    </w:rPr>
  </w:style>
  <w:style w:type="character" w:styleId="21">
    <w:name w:val="page number"/>
    <w:basedOn w:val="19"/>
    <w:qFormat/>
    <w:uiPriority w:val="0"/>
  </w:style>
  <w:style w:type="character" w:styleId="22">
    <w:name w:val="Emphasis"/>
    <w:basedOn w:val="19"/>
    <w:qFormat/>
    <w:uiPriority w:val="0"/>
    <w:rPr>
      <w:i/>
    </w:rPr>
  </w:style>
  <w:style w:type="character" w:styleId="23">
    <w:name w:val="Hyperlink"/>
    <w:basedOn w:val="19"/>
    <w:qFormat/>
    <w:uiPriority w:val="0"/>
    <w:rPr>
      <w:color w:val="0000FF"/>
      <w:u w:val="single"/>
    </w:rPr>
  </w:style>
  <w:style w:type="paragraph" w:customStyle="1" w:styleId="24">
    <w:name w:val="222"/>
    <w:basedOn w:val="1"/>
    <w:qFormat/>
    <w:uiPriority w:val="0"/>
    <w:pPr>
      <w:spacing w:line="560" w:lineRule="exact"/>
      <w:ind w:firstLine="643" w:firstLineChars="200"/>
    </w:pPr>
    <w:rPr>
      <w:rFonts w:ascii="Times New Roman" w:hAnsi="Times New Roman" w:eastAsia="宋体"/>
      <w:sz w:val="24"/>
    </w:rPr>
  </w:style>
  <w:style w:type="character" w:customStyle="1" w:styleId="25">
    <w:name w:val="font31"/>
    <w:basedOn w:val="19"/>
    <w:qFormat/>
    <w:uiPriority w:val="0"/>
    <w:rPr>
      <w:rFonts w:hint="eastAsia" w:ascii="宋体" w:hAnsi="宋体" w:eastAsia="宋体" w:cs="宋体"/>
      <w:color w:val="000000"/>
      <w:sz w:val="21"/>
      <w:szCs w:val="21"/>
      <w:u w:val="single"/>
    </w:rPr>
  </w:style>
  <w:style w:type="character" w:customStyle="1" w:styleId="26">
    <w:name w:val="font01"/>
    <w:basedOn w:val="19"/>
    <w:qFormat/>
    <w:uiPriority w:val="0"/>
    <w:rPr>
      <w:rFonts w:hint="eastAsia" w:ascii="宋体" w:hAnsi="宋体" w:eastAsia="宋体" w:cs="宋体"/>
      <w:color w:val="0000FF"/>
      <w:sz w:val="21"/>
      <w:szCs w:val="21"/>
      <w:u w:val="single"/>
    </w:rPr>
  </w:style>
  <w:style w:type="paragraph" w:customStyle="1" w:styleId="27">
    <w:name w:val="表格文字"/>
    <w:basedOn w:val="1"/>
    <w:qFormat/>
    <w:uiPriority w:val="0"/>
    <w:pPr>
      <w:widowControl/>
      <w:jc w:val="center"/>
    </w:pPr>
    <w:rPr>
      <w:rFonts w:ascii="Calibri" w:hAnsi="Calibri"/>
      <w:color w:val="000000"/>
      <w:kern w:val="0"/>
    </w:rPr>
  </w:style>
  <w:style w:type="character" w:customStyle="1" w:styleId="28">
    <w:name w:val="文档结构图 Char"/>
    <w:basedOn w:val="19"/>
    <w:link w:val="7"/>
    <w:qFormat/>
    <w:uiPriority w:val="0"/>
    <w:rPr>
      <w:rFonts w:ascii="宋体" w:hAnsiTheme="minorHAnsi" w:cstheme="minorBidi"/>
      <w:kern w:val="2"/>
      <w:sz w:val="18"/>
      <w:szCs w:val="18"/>
    </w:rPr>
  </w:style>
  <w:style w:type="paragraph" w:customStyle="1" w:styleId="29">
    <w:name w:val="样式 标题 2二级标题标题 （一） + Times New Roman 小三 两端对齐 段前: 6 磅 段后: 0 ...1"/>
    <w:basedOn w:val="3"/>
    <w:qFormat/>
    <w:uiPriority w:val="0"/>
    <w:pPr>
      <w:widowControl/>
      <w:spacing w:line="560" w:lineRule="exact"/>
    </w:pPr>
    <w:rPr>
      <w:rFonts w:ascii="Times New Roman" w:hAnsi="Times New Roman" w:eastAsia="宋体" w:cs="宋体"/>
      <w:kern w:val="0"/>
      <w:sz w:val="28"/>
      <w:szCs w:val="20"/>
    </w:rPr>
  </w:style>
  <w:style w:type="character" w:customStyle="1" w:styleId="30">
    <w:name w:val="页眉 Char"/>
    <w:basedOn w:val="19"/>
    <w:link w:val="12"/>
    <w:qFormat/>
    <w:uiPriority w:val="99"/>
    <w:rPr>
      <w:rFonts w:cstheme="minorBidi"/>
      <w:kern w:val="2"/>
      <w:sz w:val="18"/>
      <w:szCs w:val="18"/>
    </w:rPr>
  </w:style>
  <w:style w:type="character" w:customStyle="1" w:styleId="31">
    <w:name w:val="批注框文本 Char"/>
    <w:basedOn w:val="19"/>
    <w:link w:val="10"/>
    <w:qFormat/>
    <w:uiPriority w:val="0"/>
    <w:rPr>
      <w:rFonts w:asciiTheme="minorHAnsi" w:hAnsiTheme="minorHAnsi" w:eastAsiaTheme="minorEastAsia" w:cstheme="minorBidi"/>
      <w:kern w:val="2"/>
      <w:sz w:val="18"/>
      <w:szCs w:val="18"/>
    </w:rPr>
  </w:style>
  <w:style w:type="paragraph" w:styleId="32">
    <w:name w:val="List Paragraph"/>
    <w:basedOn w:val="1"/>
    <w:unhideWhenUsed/>
    <w:qFormat/>
    <w:uiPriority w:val="99"/>
    <w:pPr>
      <w:ind w:firstLine="420" w:firstLineChars="200"/>
    </w:pPr>
  </w:style>
  <w:style w:type="paragraph" w:customStyle="1" w:styleId="33">
    <w:name w:val="2"/>
    <w:basedOn w:val="1"/>
    <w:next w:val="15"/>
    <w:qFormat/>
    <w:uiPriority w:val="0"/>
    <w:pPr>
      <w:widowControl/>
      <w:spacing w:before="100" w:beforeAutospacing="1" w:after="100" w:afterAutospacing="1"/>
      <w:jc w:val="left"/>
    </w:pPr>
    <w:rPr>
      <w:rFonts w:ascii="宋体" w:hAnsi="宋体"/>
      <w:kern w:val="0"/>
      <w:sz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3.tiff"/><Relationship Id="rId8" Type="http://schemas.openxmlformats.org/officeDocument/2006/relationships/image" Target="media/image2.tiff"/><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4.tiff"/><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533FDEE-E588-418D-95D0-0ABA3B7C8892}">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11</Pages>
  <Words>2970</Words>
  <Characters>3266</Characters>
  <Lines>44</Lines>
  <Paragraphs>12</Paragraphs>
  <TotalTime>50</TotalTime>
  <ScaleCrop>false</ScaleCrop>
  <LinksUpToDate>false</LinksUpToDate>
  <CharactersWithSpaces>3294</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2018-05-28T10:32:00Z</dcterms:created>
  <dc:creator>浙江省住建厅3号</dc:creator>
  <cp:lastModifiedBy>Administrator</cp:lastModifiedBy>
  <cp:lastPrinted>2024-07-24T06:52:00Z</cp:lastPrinted>
  <dcterms:modified xsi:type="dcterms:W3CDTF">2025-04-28T06:20:56Z</dcterms:modified>
  <cp:revision>68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A9DAC8591C7546828972A527B0BA3238</vt:lpwstr>
  </property>
  <property fmtid="{D5CDD505-2E9C-101B-9397-08002B2CF9AE}" pid="4" name="KSOTemplateDocerSaveRecord">
    <vt:lpwstr>eyJoZGlkIjoiY2VlYTMxYjBjMDhlYmM3OWNlMzBlMjU3YmVkZjExNTQifQ==</vt:lpwstr>
  </property>
</Properties>
</file>