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after="0" w:line="560" w:lineRule="exact"/>
        <w:jc w:val="center"/>
        <w:rPr>
          <w:rFonts w:hint="eastAsia" w:ascii="宋体" w:hAnsi="宋体" w:eastAsia="宋体" w:cs="宋体"/>
          <w:b/>
          <w:color w:val="auto"/>
          <w:sz w:val="30"/>
          <w:szCs w:val="30"/>
        </w:rPr>
      </w:pPr>
      <w:bookmarkStart w:id="0" w:name="_Toc13206"/>
      <w:r>
        <w:rPr>
          <w:rFonts w:hint="eastAsia" w:ascii="宋体" w:hAnsi="宋体" w:eastAsia="宋体" w:cs="宋体"/>
          <w:b/>
          <w:color w:val="auto"/>
          <w:sz w:val="30"/>
          <w:szCs w:val="30"/>
        </w:rPr>
        <w:t>无极县</w:t>
      </w:r>
      <w:r>
        <w:rPr>
          <w:rFonts w:hint="eastAsia" w:ascii="宋体" w:hAnsi="宋体" w:eastAsia="宋体" w:cs="宋体"/>
          <w:b/>
          <w:color w:val="auto"/>
          <w:sz w:val="30"/>
          <w:szCs w:val="30"/>
          <w:lang w:eastAsia="zh-CN"/>
        </w:rPr>
        <w:t>燃气</w:t>
      </w:r>
      <w:r>
        <w:rPr>
          <w:rFonts w:hint="eastAsia" w:ascii="宋体" w:hAnsi="宋体" w:eastAsia="宋体" w:cs="宋体"/>
          <w:b/>
          <w:color w:val="auto"/>
          <w:sz w:val="30"/>
          <w:szCs w:val="30"/>
        </w:rPr>
        <w:t>服务设施专项规划（2021-2035年）主要内容</w:t>
      </w:r>
    </w:p>
    <w:p>
      <w:pPr>
        <w:spacing w:after="0" w:line="560" w:lineRule="exact"/>
        <w:jc w:val="center"/>
        <w:rPr>
          <w:rFonts w:hint="eastAsia" w:ascii="宋体" w:hAnsi="宋体" w:eastAsia="宋体" w:cs="宋体"/>
          <w:color w:val="auto"/>
          <w:sz w:val="28"/>
          <w:szCs w:val="28"/>
        </w:rPr>
      </w:pPr>
      <w:r>
        <w:rPr>
          <w:rFonts w:hint="eastAsia" w:ascii="宋体" w:hAnsi="宋体" w:eastAsia="宋体" w:cs="宋体"/>
          <w:color w:val="auto"/>
          <w:sz w:val="28"/>
          <w:szCs w:val="28"/>
        </w:rPr>
        <w:t>（批前公示）</w:t>
      </w:r>
    </w:p>
    <w:bookmarkEnd w:id="0"/>
    <w:p>
      <w:pPr>
        <w:spacing w:after="0" w:line="560" w:lineRule="exact"/>
        <w:ind w:firstLine="560" w:firstLineChars="200"/>
        <w:rPr>
          <w:rFonts w:hint="eastAsia" w:ascii="宋体" w:hAnsi="宋体" w:eastAsia="宋体" w:cs="宋体"/>
          <w:color w:val="auto"/>
          <w:sz w:val="28"/>
          <w:szCs w:val="28"/>
        </w:rPr>
      </w:pPr>
      <w:r>
        <w:rPr>
          <w:rFonts w:hint="eastAsia" w:ascii="宋体" w:hAnsi="宋体" w:eastAsia="宋体" w:cs="宋体"/>
          <w:color w:val="auto"/>
          <w:kern w:val="0"/>
          <w:sz w:val="28"/>
          <w:szCs w:val="28"/>
          <w:highlight w:val="none"/>
          <w:lang w:val="en-US" w:eastAsia="zh-CN"/>
        </w:rPr>
        <w:t>为优化无极县</w:t>
      </w:r>
      <w:r>
        <w:rPr>
          <w:rFonts w:hint="eastAsia" w:ascii="宋体" w:hAnsi="宋体" w:eastAsia="宋体" w:cs="宋体"/>
          <w:color w:val="auto"/>
          <w:kern w:val="0"/>
          <w:sz w:val="28"/>
          <w:szCs w:val="28"/>
          <w:highlight w:val="none"/>
        </w:rPr>
        <w:t>能源结构，</w:t>
      </w:r>
      <w:r>
        <w:rPr>
          <w:rFonts w:hint="eastAsia" w:ascii="宋体" w:hAnsi="宋体" w:eastAsia="宋体" w:cs="宋体"/>
          <w:color w:val="auto"/>
          <w:sz w:val="28"/>
          <w:szCs w:val="28"/>
          <w:highlight w:val="none"/>
        </w:rPr>
        <w:t>加快建设清洁低碳、安全高效的现代能源体系</w:t>
      </w:r>
      <w:r>
        <w:rPr>
          <w:rFonts w:hint="eastAsia" w:ascii="宋体" w:hAnsi="宋体" w:eastAsia="宋体" w:cs="宋体"/>
          <w:color w:val="auto"/>
          <w:sz w:val="28"/>
          <w:szCs w:val="28"/>
          <w:highlight w:val="none"/>
          <w:lang w:eastAsia="zh-CN"/>
        </w:rPr>
        <w:t>，</w:t>
      </w:r>
      <w:r>
        <w:rPr>
          <w:rFonts w:hint="eastAsia" w:ascii="宋体" w:hAnsi="宋体" w:eastAsia="宋体" w:cs="宋体"/>
          <w:color w:val="auto"/>
          <w:sz w:val="28"/>
          <w:szCs w:val="28"/>
          <w:highlight w:val="none"/>
        </w:rPr>
        <w:t>化解环境约束、改善大气质量，实现绿色低碳发展</w:t>
      </w:r>
      <w:r>
        <w:rPr>
          <w:rFonts w:hint="eastAsia" w:ascii="宋体" w:hAnsi="宋体" w:eastAsia="宋体" w:cs="宋体"/>
          <w:color w:val="auto"/>
          <w:sz w:val="28"/>
          <w:szCs w:val="28"/>
          <w:highlight w:val="none"/>
          <w:lang w:eastAsia="zh-CN"/>
        </w:rPr>
        <w:t>，</w:t>
      </w:r>
      <w:r>
        <w:rPr>
          <w:rFonts w:hint="eastAsia" w:ascii="宋体" w:hAnsi="宋体" w:eastAsia="宋体" w:cs="宋体"/>
          <w:color w:val="auto"/>
          <w:sz w:val="28"/>
          <w:szCs w:val="28"/>
          <w:highlight w:val="none"/>
        </w:rPr>
        <w:t>推动节能减排、</w:t>
      </w:r>
      <w:r>
        <w:rPr>
          <w:rFonts w:hint="eastAsia" w:ascii="宋体" w:hAnsi="宋体" w:eastAsia="宋体" w:cs="宋体"/>
          <w:color w:val="auto"/>
          <w:kern w:val="0"/>
          <w:sz w:val="28"/>
          <w:szCs w:val="28"/>
          <w:highlight w:val="none"/>
        </w:rPr>
        <w:t>提高燃气</w:t>
      </w:r>
      <w:r>
        <w:rPr>
          <w:rFonts w:hint="eastAsia" w:ascii="宋体" w:hAnsi="宋体" w:eastAsia="宋体" w:cs="宋体"/>
          <w:color w:val="auto"/>
          <w:kern w:val="0"/>
          <w:sz w:val="28"/>
          <w:szCs w:val="28"/>
          <w:highlight w:val="none"/>
          <w:lang w:eastAsia="zh-CN"/>
        </w:rPr>
        <w:t>普及</w:t>
      </w:r>
      <w:r>
        <w:rPr>
          <w:rFonts w:hint="eastAsia" w:ascii="宋体" w:hAnsi="宋体" w:eastAsia="宋体" w:cs="宋体"/>
          <w:color w:val="auto"/>
          <w:kern w:val="0"/>
          <w:sz w:val="28"/>
          <w:szCs w:val="28"/>
          <w:highlight w:val="none"/>
        </w:rPr>
        <w:t>率</w:t>
      </w:r>
      <w:r>
        <w:rPr>
          <w:rFonts w:hint="eastAsia" w:ascii="宋体" w:hAnsi="宋体" w:eastAsia="宋体" w:cs="宋体"/>
          <w:color w:val="auto"/>
          <w:kern w:val="0"/>
          <w:sz w:val="28"/>
          <w:szCs w:val="28"/>
          <w:highlight w:val="none"/>
          <w:lang w:eastAsia="zh-CN"/>
        </w:rPr>
        <w:t>，加快</w:t>
      </w:r>
      <w:r>
        <w:rPr>
          <w:rFonts w:hint="eastAsia" w:ascii="宋体" w:hAnsi="宋体" w:eastAsia="宋体" w:cs="宋体"/>
          <w:color w:val="auto"/>
          <w:kern w:val="0"/>
          <w:sz w:val="28"/>
          <w:szCs w:val="28"/>
          <w:highlight w:val="none"/>
        </w:rPr>
        <w:t>燃气管网和设施的建设，完善输配气系统，进一步提高管道燃气系统的供应能力和安全可靠性</w:t>
      </w:r>
      <w:r>
        <w:rPr>
          <w:rFonts w:hint="eastAsia" w:ascii="宋体" w:hAnsi="宋体" w:eastAsia="宋体" w:cs="宋体"/>
          <w:color w:val="auto"/>
          <w:kern w:val="0"/>
          <w:sz w:val="28"/>
          <w:szCs w:val="28"/>
          <w:highlight w:val="none"/>
          <w:lang w:eastAsia="zh-CN"/>
        </w:rPr>
        <w:t>，</w:t>
      </w:r>
      <w:r>
        <w:rPr>
          <w:rFonts w:hint="eastAsia" w:ascii="宋体" w:hAnsi="宋体" w:eastAsia="宋体" w:cs="宋体"/>
          <w:color w:val="auto"/>
          <w:sz w:val="28"/>
          <w:szCs w:val="28"/>
          <w:highlight w:val="none"/>
          <w:lang w:val="en-US" w:eastAsia="zh-CN"/>
        </w:rPr>
        <w:t>保障工业园区和居民用气安全</w:t>
      </w:r>
      <w:r>
        <w:rPr>
          <w:rFonts w:hint="eastAsia" w:ascii="宋体" w:hAnsi="宋体" w:eastAsia="宋体" w:cs="宋体"/>
          <w:color w:val="auto"/>
          <w:kern w:val="0"/>
          <w:sz w:val="28"/>
          <w:szCs w:val="28"/>
          <w:highlight w:val="none"/>
        </w:rPr>
        <w:t>。</w:t>
      </w:r>
      <w:r>
        <w:rPr>
          <w:rFonts w:hint="eastAsia" w:ascii="宋体" w:hAnsi="宋体" w:eastAsia="宋体" w:cs="宋体"/>
          <w:color w:val="auto"/>
          <w:sz w:val="28"/>
          <w:szCs w:val="28"/>
        </w:rPr>
        <w:t>特编制《无极县</w:t>
      </w:r>
      <w:r>
        <w:rPr>
          <w:rFonts w:hint="eastAsia" w:ascii="宋体" w:hAnsi="宋体" w:eastAsia="宋体" w:cs="宋体"/>
          <w:color w:val="auto"/>
          <w:sz w:val="28"/>
          <w:szCs w:val="28"/>
          <w:lang w:eastAsia="zh-CN"/>
        </w:rPr>
        <w:t>燃气</w:t>
      </w:r>
      <w:r>
        <w:rPr>
          <w:rFonts w:hint="eastAsia" w:ascii="宋体" w:hAnsi="宋体" w:eastAsia="宋体" w:cs="宋体"/>
          <w:color w:val="auto"/>
          <w:sz w:val="28"/>
          <w:szCs w:val="28"/>
        </w:rPr>
        <w:t>设施专项规划（2021-2035年）》（以下简称“本规划”）。</w:t>
      </w:r>
    </w:p>
    <w:p>
      <w:pPr>
        <w:pStyle w:val="31"/>
        <w:numPr>
          <w:ilvl w:val="0"/>
          <w:numId w:val="3"/>
        </w:numPr>
        <w:jc w:val="left"/>
        <w:rPr>
          <w:rFonts w:hint="eastAsia" w:ascii="宋体" w:hAnsi="宋体" w:eastAsia="宋体" w:cs="宋体"/>
          <w:color w:val="auto"/>
          <w:szCs w:val="28"/>
        </w:rPr>
      </w:pPr>
      <w:bookmarkStart w:id="1" w:name="_Toc11257"/>
      <w:r>
        <w:rPr>
          <w:rFonts w:hint="eastAsia" w:ascii="宋体" w:hAnsi="宋体" w:eastAsia="宋体" w:cs="宋体"/>
          <w:color w:val="auto"/>
          <w:szCs w:val="28"/>
        </w:rPr>
        <w:t>规划期限</w:t>
      </w:r>
      <w:bookmarkEnd w:id="1"/>
    </w:p>
    <w:p>
      <w:pPr>
        <w:spacing w:after="0" w:line="560" w:lineRule="exact"/>
        <w:ind w:firstLine="560" w:firstLineChars="200"/>
        <w:rPr>
          <w:rFonts w:hint="eastAsia" w:ascii="宋体" w:hAnsi="宋体" w:eastAsia="宋体" w:cs="宋体"/>
          <w:color w:val="auto"/>
          <w:sz w:val="28"/>
          <w:szCs w:val="28"/>
        </w:rPr>
      </w:pPr>
      <w:r>
        <w:rPr>
          <w:rFonts w:hint="eastAsia" w:ascii="宋体" w:hAnsi="宋体" w:eastAsia="宋体" w:cs="宋体"/>
          <w:color w:val="auto"/>
          <w:sz w:val="28"/>
          <w:szCs w:val="28"/>
        </w:rPr>
        <w:t>规划期限为2021-2035年，近期为2021-2025年，远期为2026-2035年。</w:t>
      </w:r>
    </w:p>
    <w:p>
      <w:pPr>
        <w:pStyle w:val="31"/>
        <w:numPr>
          <w:ilvl w:val="0"/>
          <w:numId w:val="3"/>
        </w:numPr>
        <w:jc w:val="left"/>
        <w:rPr>
          <w:rFonts w:hint="eastAsia" w:ascii="宋体" w:hAnsi="宋体" w:eastAsia="宋体" w:cs="宋体"/>
          <w:color w:val="auto"/>
          <w:szCs w:val="28"/>
        </w:rPr>
      </w:pPr>
      <w:bookmarkStart w:id="2" w:name="_Toc3212"/>
      <w:r>
        <w:rPr>
          <w:rFonts w:hint="eastAsia" w:ascii="宋体" w:hAnsi="宋体" w:eastAsia="宋体" w:cs="宋体"/>
          <w:color w:val="auto"/>
          <w:szCs w:val="28"/>
        </w:rPr>
        <w:t>规划范围</w:t>
      </w:r>
      <w:bookmarkEnd w:id="2"/>
    </w:p>
    <w:p>
      <w:pPr>
        <w:spacing w:after="0" w:line="560" w:lineRule="exact"/>
        <w:ind w:firstLine="560" w:firstLineChars="200"/>
        <w:rPr>
          <w:rFonts w:hint="eastAsia" w:ascii="宋体" w:hAnsi="宋体" w:eastAsia="宋体" w:cs="宋体"/>
          <w:color w:val="auto"/>
          <w:sz w:val="28"/>
          <w:szCs w:val="28"/>
        </w:rPr>
      </w:pPr>
      <w:r>
        <w:rPr>
          <w:rFonts w:hint="eastAsia" w:ascii="宋体" w:hAnsi="宋体" w:eastAsia="宋体" w:cs="宋体"/>
          <w:color w:val="auto"/>
          <w:sz w:val="28"/>
          <w:szCs w:val="28"/>
        </w:rPr>
        <w:t>本规划分为县域和中心城区两个层次。县域为无极县行政辖区范围，总面积 501.98 平方千米。中心城区东起省道S234，南沿滹沱河，西至西外环路，北至北外环路，总面积68.31 平方千米。</w:t>
      </w:r>
    </w:p>
    <w:p>
      <w:pPr>
        <w:pStyle w:val="31"/>
        <w:numPr>
          <w:ilvl w:val="0"/>
          <w:numId w:val="3"/>
        </w:numPr>
        <w:jc w:val="left"/>
        <w:rPr>
          <w:rFonts w:hint="eastAsia" w:ascii="宋体" w:hAnsi="宋体" w:eastAsia="宋体" w:cs="宋体"/>
          <w:color w:val="auto"/>
          <w:szCs w:val="28"/>
        </w:rPr>
      </w:pPr>
      <w:bookmarkStart w:id="3" w:name="_Toc31115"/>
      <w:r>
        <w:rPr>
          <w:rFonts w:hint="eastAsia" w:ascii="宋体" w:hAnsi="宋体" w:eastAsia="宋体" w:cs="宋体"/>
          <w:color w:val="auto"/>
          <w:szCs w:val="28"/>
        </w:rPr>
        <w:t>规划原则</w:t>
      </w:r>
      <w:bookmarkEnd w:id="3"/>
    </w:p>
    <w:p>
      <w:pPr>
        <w:spacing w:after="0" w:line="560" w:lineRule="exact"/>
        <w:ind w:firstLine="560" w:firstLineChars="200"/>
        <w:rPr>
          <w:rFonts w:hint="eastAsia" w:ascii="宋体" w:hAnsi="宋体" w:eastAsia="宋体" w:cs="宋体"/>
          <w:color w:val="auto"/>
          <w:sz w:val="28"/>
          <w:szCs w:val="28"/>
        </w:rPr>
      </w:pPr>
      <w:bookmarkStart w:id="4" w:name="_Toc108"/>
      <w:r>
        <w:rPr>
          <w:rFonts w:hint="eastAsia" w:ascii="宋体" w:hAnsi="宋体" w:eastAsia="宋体" w:cs="宋体"/>
          <w:color w:val="auto"/>
          <w:sz w:val="28"/>
          <w:szCs w:val="28"/>
        </w:rPr>
        <w:t>1、在《无极县国土空间总体规划（2021-2035年）》的指导下进行本次的燃气工程专项规划；</w:t>
      </w:r>
    </w:p>
    <w:p>
      <w:pPr>
        <w:spacing w:after="0" w:line="560" w:lineRule="exact"/>
        <w:ind w:firstLine="560" w:firstLineChars="200"/>
        <w:rPr>
          <w:rFonts w:hint="eastAsia" w:ascii="宋体" w:hAnsi="宋体" w:eastAsia="宋体" w:cs="宋体"/>
          <w:color w:val="auto"/>
          <w:sz w:val="28"/>
          <w:szCs w:val="28"/>
        </w:rPr>
      </w:pPr>
      <w:r>
        <w:rPr>
          <w:rFonts w:hint="eastAsia" w:ascii="宋体" w:hAnsi="宋体" w:eastAsia="宋体" w:cs="宋体"/>
          <w:color w:val="auto"/>
          <w:sz w:val="28"/>
          <w:szCs w:val="28"/>
        </w:rPr>
        <w:t>2、全面规划，统筹发展，合理布局，分期建设和实施，燃气输配系统的建设要与城市发展规模、能源结构相一致；</w:t>
      </w:r>
    </w:p>
    <w:p>
      <w:pPr>
        <w:spacing w:after="0" w:line="560" w:lineRule="exact"/>
        <w:ind w:firstLine="560" w:firstLineChars="200"/>
        <w:rPr>
          <w:rFonts w:hint="eastAsia" w:ascii="宋体" w:hAnsi="宋体" w:eastAsia="宋体" w:cs="宋体"/>
          <w:color w:val="auto"/>
          <w:sz w:val="28"/>
          <w:szCs w:val="28"/>
        </w:rPr>
      </w:pPr>
      <w:r>
        <w:rPr>
          <w:rFonts w:hint="eastAsia" w:ascii="宋体" w:hAnsi="宋体" w:eastAsia="宋体" w:cs="宋体"/>
          <w:color w:val="auto"/>
          <w:sz w:val="28"/>
          <w:szCs w:val="28"/>
        </w:rPr>
        <w:t>3、贯彻国家能源政策、节能方针，发展燃气事业以改善生态环境、提高人民生活水平、提升产品质量、促进经济发展为目标；</w:t>
      </w:r>
    </w:p>
    <w:p>
      <w:pPr>
        <w:spacing w:after="0" w:line="560" w:lineRule="exact"/>
        <w:ind w:firstLine="560" w:firstLineChars="200"/>
        <w:rPr>
          <w:rFonts w:hint="eastAsia" w:ascii="宋体" w:hAnsi="宋体" w:eastAsia="宋体" w:cs="宋体"/>
          <w:color w:val="auto"/>
          <w:sz w:val="28"/>
          <w:szCs w:val="28"/>
        </w:rPr>
      </w:pPr>
      <w:r>
        <w:rPr>
          <w:rFonts w:hint="eastAsia" w:ascii="宋体" w:hAnsi="宋体" w:eastAsia="宋体" w:cs="宋体"/>
          <w:color w:val="auto"/>
          <w:sz w:val="28"/>
          <w:szCs w:val="28"/>
        </w:rPr>
        <w:t>4、坚持科学、严谨态度，合理确定用气指标、供气规模，保障供气安全；</w:t>
      </w:r>
    </w:p>
    <w:p>
      <w:pPr>
        <w:spacing w:after="0" w:line="560" w:lineRule="exact"/>
        <w:ind w:firstLine="560" w:firstLineChars="200"/>
        <w:rPr>
          <w:rFonts w:hint="eastAsia" w:ascii="宋体" w:hAnsi="宋体" w:eastAsia="宋体" w:cs="宋体"/>
          <w:color w:val="auto"/>
          <w:sz w:val="28"/>
          <w:szCs w:val="28"/>
        </w:rPr>
      </w:pPr>
      <w:r>
        <w:rPr>
          <w:rFonts w:hint="eastAsia" w:ascii="宋体" w:hAnsi="宋体" w:eastAsia="宋体" w:cs="宋体"/>
          <w:color w:val="auto"/>
          <w:sz w:val="28"/>
          <w:szCs w:val="28"/>
        </w:rPr>
        <w:t>5、坚持以管道天然气为主，CNG、LNG、液化石油气等多气源并存的多元化发展；</w:t>
      </w:r>
    </w:p>
    <w:p>
      <w:pPr>
        <w:spacing w:after="0" w:line="560" w:lineRule="exact"/>
        <w:ind w:firstLine="560" w:firstLineChars="200"/>
        <w:rPr>
          <w:rFonts w:hint="eastAsia" w:ascii="宋体" w:hAnsi="宋体" w:eastAsia="宋体" w:cs="宋体"/>
          <w:color w:val="auto"/>
          <w:sz w:val="28"/>
          <w:szCs w:val="28"/>
        </w:rPr>
      </w:pPr>
      <w:r>
        <w:rPr>
          <w:rFonts w:hint="eastAsia" w:ascii="宋体" w:hAnsi="宋体" w:eastAsia="宋体" w:cs="宋体"/>
          <w:color w:val="auto"/>
          <w:sz w:val="28"/>
          <w:szCs w:val="28"/>
        </w:rPr>
        <w:t>6、积极采用新工艺、新技术、新材料、新设备，做到技术先进，经济合理，安全可靠规划目标</w:t>
      </w:r>
      <w:bookmarkEnd w:id="4"/>
    </w:p>
    <w:p>
      <w:pPr>
        <w:pStyle w:val="31"/>
        <w:numPr>
          <w:ilvl w:val="0"/>
          <w:numId w:val="3"/>
        </w:numPr>
        <w:jc w:val="left"/>
        <w:rPr>
          <w:rFonts w:hint="eastAsia" w:ascii="宋体" w:hAnsi="宋体" w:eastAsia="宋体" w:cs="宋体"/>
          <w:color w:val="auto"/>
          <w:szCs w:val="28"/>
        </w:rPr>
      </w:pPr>
      <w:r>
        <w:rPr>
          <w:rFonts w:hint="eastAsia" w:ascii="宋体" w:hAnsi="宋体" w:eastAsia="宋体" w:cs="宋体"/>
          <w:color w:val="auto"/>
          <w:szCs w:val="28"/>
          <w:lang w:val="en-US" w:eastAsia="zh-CN"/>
        </w:rPr>
        <w:t>气源种类</w:t>
      </w:r>
    </w:p>
    <w:p>
      <w:pPr>
        <w:spacing w:after="0" w:line="560" w:lineRule="exact"/>
        <w:ind w:firstLine="560" w:firstLineChars="200"/>
        <w:rPr>
          <w:rFonts w:hint="eastAsia" w:ascii="宋体" w:hAnsi="宋体" w:eastAsia="宋体" w:cs="宋体"/>
          <w:color w:val="auto"/>
          <w:sz w:val="28"/>
          <w:szCs w:val="28"/>
        </w:rPr>
      </w:pPr>
      <w:r>
        <w:rPr>
          <w:rFonts w:hint="eastAsia" w:ascii="宋体" w:hAnsi="宋体" w:eastAsia="宋体" w:cs="宋体"/>
          <w:color w:val="auto"/>
          <w:sz w:val="28"/>
          <w:szCs w:val="28"/>
        </w:rPr>
        <w:t>1、天然气</w:t>
      </w:r>
    </w:p>
    <w:p>
      <w:pPr>
        <w:spacing w:after="0" w:line="560" w:lineRule="exact"/>
        <w:ind w:firstLine="560" w:firstLineChars="200"/>
        <w:rPr>
          <w:rFonts w:hint="eastAsia" w:ascii="宋体" w:hAnsi="宋体" w:eastAsia="宋体" w:cs="宋体"/>
          <w:color w:val="auto"/>
          <w:sz w:val="28"/>
          <w:szCs w:val="28"/>
        </w:rPr>
      </w:pPr>
      <w:r>
        <w:rPr>
          <w:rFonts w:hint="eastAsia" w:ascii="宋体" w:hAnsi="宋体" w:eastAsia="宋体" w:cs="宋体"/>
          <w:color w:val="auto"/>
          <w:sz w:val="28"/>
          <w:szCs w:val="28"/>
        </w:rPr>
        <w:t>由于天然气的价格较低，按现在的价格与液化石油气相比，使用天然气能节省20%-30%的成本，提高经济效益。此外采用天然气管道供应，将提高用户使用的安全性，改善城市的大气环境质量，也使</w:t>
      </w:r>
      <w:r>
        <w:rPr>
          <w:rFonts w:hint="eastAsia" w:ascii="宋体" w:hAnsi="宋体" w:eastAsia="宋体" w:cs="宋体"/>
          <w:color w:val="auto"/>
          <w:sz w:val="28"/>
          <w:szCs w:val="28"/>
          <w:lang w:eastAsia="zh-CN"/>
        </w:rPr>
        <w:t>无极县</w:t>
      </w:r>
      <w:r>
        <w:rPr>
          <w:rFonts w:hint="eastAsia" w:ascii="宋体" w:hAnsi="宋体" w:eastAsia="宋体" w:cs="宋体"/>
          <w:color w:val="auto"/>
          <w:sz w:val="28"/>
          <w:szCs w:val="28"/>
        </w:rPr>
        <w:t>的市政基础设施建设得到进一步完善，所以本次规划确定以天然气作为今后</w:t>
      </w:r>
      <w:r>
        <w:rPr>
          <w:rFonts w:hint="eastAsia" w:ascii="宋体" w:hAnsi="宋体" w:eastAsia="宋体" w:cs="宋体"/>
          <w:color w:val="auto"/>
          <w:sz w:val="28"/>
          <w:szCs w:val="28"/>
          <w:lang w:eastAsia="zh-CN"/>
        </w:rPr>
        <w:t>无极县</w:t>
      </w:r>
      <w:r>
        <w:rPr>
          <w:rFonts w:hint="eastAsia" w:ascii="宋体" w:hAnsi="宋体" w:eastAsia="宋体" w:cs="宋体"/>
          <w:color w:val="auto"/>
          <w:sz w:val="28"/>
          <w:szCs w:val="28"/>
        </w:rPr>
        <w:t>发展城市燃气项目的首选气源。</w:t>
      </w:r>
    </w:p>
    <w:p>
      <w:pPr>
        <w:spacing w:after="0" w:line="560" w:lineRule="exact"/>
        <w:ind w:firstLine="560" w:firstLineChars="200"/>
        <w:rPr>
          <w:rFonts w:hint="eastAsia" w:ascii="宋体" w:hAnsi="宋体" w:eastAsia="宋体" w:cs="宋体"/>
          <w:color w:val="auto"/>
          <w:sz w:val="28"/>
          <w:szCs w:val="28"/>
        </w:rPr>
      </w:pPr>
      <w:r>
        <w:rPr>
          <w:rFonts w:hint="eastAsia" w:ascii="宋体" w:hAnsi="宋体" w:eastAsia="宋体" w:cs="宋体"/>
          <w:color w:val="auto"/>
          <w:sz w:val="28"/>
          <w:szCs w:val="28"/>
        </w:rPr>
        <w:t>2、液化石油气</w:t>
      </w:r>
    </w:p>
    <w:p>
      <w:pPr>
        <w:spacing w:after="0" w:line="560" w:lineRule="exact"/>
        <w:ind w:firstLine="56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rPr>
        <w:t>考虑到</w:t>
      </w:r>
      <w:r>
        <w:rPr>
          <w:rFonts w:hint="eastAsia" w:ascii="宋体" w:hAnsi="宋体" w:eastAsia="宋体" w:cs="宋体"/>
          <w:color w:val="auto"/>
          <w:sz w:val="28"/>
          <w:szCs w:val="28"/>
          <w:lang w:eastAsia="zh-CN"/>
        </w:rPr>
        <w:t>无极</w:t>
      </w:r>
      <w:r>
        <w:rPr>
          <w:rFonts w:hint="eastAsia" w:ascii="宋体" w:hAnsi="宋体" w:eastAsia="宋体" w:cs="宋体"/>
          <w:color w:val="auto"/>
          <w:sz w:val="28"/>
          <w:szCs w:val="28"/>
        </w:rPr>
        <w:t>县经济发展的速度和城市建设速度，规划在近期，以液化石油气</w:t>
      </w:r>
      <w:r>
        <w:rPr>
          <w:rFonts w:hint="eastAsia" w:ascii="宋体" w:hAnsi="宋体" w:eastAsia="宋体" w:cs="宋体"/>
          <w:color w:val="auto"/>
          <w:sz w:val="28"/>
          <w:szCs w:val="28"/>
          <w:lang w:eastAsia="zh-CN"/>
        </w:rPr>
        <w:t>作为辅助气源，</w:t>
      </w:r>
      <w:r>
        <w:rPr>
          <w:rFonts w:hint="eastAsia" w:ascii="宋体" w:hAnsi="宋体" w:eastAsia="宋体" w:cs="宋体"/>
          <w:color w:val="auto"/>
          <w:sz w:val="28"/>
          <w:szCs w:val="28"/>
        </w:rPr>
        <w:t>调节和满足零散用户和管道燃气难以到达的用户用气要求，随着天然气管网建设的不断发展，天然气用户的增加，使其向城</w:t>
      </w:r>
      <w:r>
        <w:rPr>
          <w:rFonts w:hint="eastAsia" w:ascii="宋体" w:hAnsi="宋体" w:eastAsia="宋体" w:cs="宋体"/>
          <w:color w:val="auto"/>
          <w:sz w:val="28"/>
          <w:szCs w:val="28"/>
          <w:lang w:eastAsia="zh-CN"/>
        </w:rPr>
        <w:t>区</w:t>
      </w:r>
      <w:r>
        <w:rPr>
          <w:rFonts w:hint="eastAsia" w:ascii="宋体" w:hAnsi="宋体" w:eastAsia="宋体" w:cs="宋体"/>
          <w:color w:val="auto"/>
          <w:sz w:val="28"/>
          <w:szCs w:val="28"/>
        </w:rPr>
        <w:t>周边发展，使用液化气的用户将逐渐被天然气替代</w:t>
      </w:r>
      <w:r>
        <w:rPr>
          <w:rFonts w:hint="eastAsia" w:ascii="宋体" w:hAnsi="宋体" w:eastAsia="宋体" w:cs="宋体"/>
          <w:color w:val="auto"/>
          <w:sz w:val="28"/>
          <w:szCs w:val="28"/>
          <w:lang w:val="en-US" w:eastAsia="zh-CN"/>
        </w:rPr>
        <w:t>。</w:t>
      </w:r>
    </w:p>
    <w:p>
      <w:pPr>
        <w:pStyle w:val="31"/>
        <w:numPr>
          <w:ilvl w:val="0"/>
          <w:numId w:val="3"/>
        </w:numPr>
        <w:jc w:val="left"/>
        <w:rPr>
          <w:rFonts w:hint="eastAsia" w:ascii="宋体" w:hAnsi="宋体" w:eastAsia="宋体" w:cs="宋体"/>
          <w:color w:val="auto"/>
          <w:szCs w:val="28"/>
        </w:rPr>
      </w:pPr>
      <w:bookmarkStart w:id="5" w:name="_Toc26030"/>
      <w:r>
        <w:rPr>
          <w:rFonts w:hint="eastAsia" w:ascii="宋体" w:hAnsi="宋体" w:eastAsia="宋体" w:cs="宋体"/>
          <w:color w:val="auto"/>
          <w:szCs w:val="28"/>
          <w:lang w:val="en-US" w:eastAsia="zh-CN"/>
        </w:rPr>
        <w:t>气源</w:t>
      </w:r>
      <w:r>
        <w:rPr>
          <w:rFonts w:hint="eastAsia" w:ascii="宋体" w:hAnsi="宋体" w:eastAsia="宋体" w:cs="宋体"/>
          <w:color w:val="auto"/>
          <w:szCs w:val="28"/>
        </w:rPr>
        <w:t>规划</w:t>
      </w:r>
      <w:bookmarkEnd w:id="5"/>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80" w:firstLineChars="200"/>
        <w:jc w:val="both"/>
        <w:textAlignment w:val="auto"/>
        <w:rPr>
          <w:rFonts w:hint="eastAsia" w:ascii="宋体" w:hAnsi="宋体" w:eastAsia="宋体" w:cs="宋体"/>
          <w:b w:val="0"/>
          <w:bCs w:val="0"/>
          <w:color w:val="auto"/>
          <w:sz w:val="24"/>
          <w:highlight w:val="none"/>
          <w:lang w:val="en-US" w:eastAsia="zh-CN"/>
        </w:rPr>
      </w:pPr>
      <w:r>
        <w:rPr>
          <w:rFonts w:hint="eastAsia" w:ascii="宋体" w:hAnsi="宋体" w:eastAsia="宋体" w:cs="宋体"/>
          <w:b w:val="0"/>
          <w:bCs w:val="0"/>
          <w:color w:val="auto"/>
          <w:sz w:val="24"/>
          <w:highlight w:val="none"/>
          <w:lang w:val="en-US" w:eastAsia="zh-CN"/>
        </w:rPr>
        <w:t>陕京二线和陕京三线天然气管道从无极县县域穿越，途径南流乡、大陈镇、里城道镇、北苏镇，长约61公里。在里城道镇周家庄村北留有一处合建的28#截断阀室。</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80" w:firstLineChars="200"/>
        <w:jc w:val="both"/>
        <w:textAlignment w:val="auto"/>
        <w:rPr>
          <w:rFonts w:hint="eastAsia" w:ascii="宋体" w:hAnsi="宋体" w:eastAsia="宋体" w:cs="宋体"/>
          <w:b w:val="0"/>
          <w:bCs w:val="0"/>
          <w:color w:val="auto"/>
          <w:sz w:val="24"/>
          <w:highlight w:val="none"/>
          <w:lang w:val="en-US" w:eastAsia="zh-CN"/>
        </w:rPr>
      </w:pPr>
      <w:r>
        <w:rPr>
          <w:rFonts w:hint="eastAsia" w:ascii="宋体" w:hAnsi="宋体" w:eastAsia="宋体" w:cs="宋体"/>
          <w:b w:val="0"/>
          <w:bCs w:val="0"/>
          <w:color w:val="auto"/>
          <w:sz w:val="24"/>
          <w:highlight w:val="none"/>
          <w:lang w:val="en-US" w:eastAsia="zh-CN"/>
        </w:rPr>
        <w:t>河北中石油昆仑然气管道途径北苏镇、郭庄镇、里城道镇、七汲镇，总长度约30Km。其中Z1-无极天然气管道位于无极县境内长约14Km，管道材质为X42，管径219mm，壁厚6.4mm，设计压力6.3Mpa；无极-深泽天然气管道位于无极县境内长约16Km，管道材质为L245，管径168.3mm，壁厚5.6mm，设计压力4.0Mpa。承担着无极县、深泽县天然气输送任务。在南池阳村东设置一处分输站。</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80" w:firstLineChars="200"/>
        <w:jc w:val="both"/>
        <w:textAlignment w:val="auto"/>
        <w:rPr>
          <w:rFonts w:hint="eastAsia" w:ascii="宋体" w:hAnsi="宋体" w:eastAsia="宋体" w:cs="宋体"/>
          <w:b w:val="0"/>
          <w:bCs w:val="0"/>
          <w:color w:val="auto"/>
          <w:sz w:val="24"/>
          <w:highlight w:val="none"/>
          <w:lang w:val="en-US" w:eastAsia="zh-CN"/>
        </w:rPr>
      </w:pPr>
      <w:r>
        <w:rPr>
          <w:rFonts w:hint="eastAsia" w:ascii="宋体" w:hAnsi="宋体" w:eastAsia="宋体" w:cs="宋体"/>
          <w:b w:val="0"/>
          <w:bCs w:val="0"/>
          <w:color w:val="auto"/>
          <w:sz w:val="24"/>
          <w:highlight w:val="none"/>
          <w:lang w:val="en-US" w:eastAsia="zh-CN"/>
        </w:rPr>
        <w:t>冀中十县天然气管网工程深州-藁城输气管道线，途径南开发区、张段固镇、东候坊镇、高头镇、北苏镇，在张段固镇齐治村设置阀室分输站，长度约25.9公里，管径为406.4mm，设计压力6.3MPa。</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80" w:firstLineChars="200"/>
        <w:jc w:val="both"/>
        <w:textAlignment w:val="auto"/>
        <w:rPr>
          <w:rFonts w:hint="eastAsia" w:ascii="宋体" w:hAnsi="宋体" w:eastAsia="宋体" w:cs="宋体"/>
          <w:b w:val="0"/>
          <w:bCs w:val="0"/>
          <w:color w:val="auto"/>
          <w:sz w:val="24"/>
          <w:highlight w:val="none"/>
          <w:lang w:val="en-US" w:eastAsia="zh-CN"/>
        </w:rPr>
      </w:pPr>
      <w:r>
        <w:rPr>
          <w:rFonts w:hint="eastAsia" w:ascii="宋体" w:hAnsi="宋体" w:eastAsia="宋体" w:cs="宋体"/>
          <w:b w:val="0"/>
          <w:bCs w:val="0"/>
          <w:color w:val="auto"/>
          <w:sz w:val="24"/>
          <w:highlight w:val="none"/>
          <w:lang w:val="en-US" w:eastAsia="zh-CN"/>
        </w:rPr>
        <w:t>沧州-安平-鄂尔多斯长输管线从无极县县域北部东西向穿过，途径南流乡、大陈镇、里城道镇、北苏镇，长约33.8公里。在里城道袁流村北设置分输阀室，并在阀室南侧新建里城道分输站。</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firstLine="480" w:firstLineChars="200"/>
        <w:jc w:val="both"/>
        <w:textAlignment w:val="auto"/>
        <w:outlineLvl w:val="9"/>
        <w:rPr>
          <w:rFonts w:hint="eastAsia" w:ascii="宋体" w:hAnsi="宋体" w:eastAsia="宋体" w:cs="宋体"/>
          <w:b w:val="0"/>
          <w:bCs w:val="0"/>
          <w:color w:val="auto"/>
          <w:sz w:val="24"/>
          <w:highlight w:val="none"/>
          <w:lang w:val="en-US" w:eastAsia="zh-CN"/>
        </w:rPr>
      </w:pPr>
      <w:r>
        <w:rPr>
          <w:rFonts w:hint="eastAsia" w:ascii="宋体" w:hAnsi="宋体" w:eastAsia="宋体" w:cs="宋体"/>
          <w:b w:val="0"/>
          <w:bCs w:val="0"/>
          <w:color w:val="auto"/>
          <w:sz w:val="24"/>
          <w:highlight w:val="none"/>
          <w:lang w:val="en-US" w:eastAsia="zh-CN"/>
        </w:rPr>
        <w:t>沧安石输气管线位于县域东部，途径张段固镇、大陈镇、南流乡南北向穿越，规划在七汲镇预留分输阀室。</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80" w:firstLineChars="200"/>
        <w:jc w:val="both"/>
        <w:textAlignment w:val="auto"/>
        <w:rPr>
          <w:rFonts w:hint="eastAsia" w:ascii="宋体" w:hAnsi="宋体" w:eastAsia="宋体" w:cs="宋体"/>
          <w:b w:val="0"/>
          <w:bCs w:val="0"/>
          <w:color w:val="auto"/>
          <w:sz w:val="24"/>
          <w:highlight w:val="none"/>
          <w:lang w:val="en-US" w:eastAsia="zh-CN"/>
        </w:rPr>
      </w:pPr>
      <w:r>
        <w:rPr>
          <w:rFonts w:hint="eastAsia" w:ascii="宋体" w:hAnsi="宋体" w:eastAsia="宋体" w:cs="宋体"/>
          <w:b w:val="0"/>
          <w:bCs w:val="0"/>
          <w:color w:val="auto"/>
          <w:sz w:val="24"/>
          <w:highlight w:val="none"/>
          <w:lang w:val="en-US" w:eastAsia="zh-CN"/>
        </w:rPr>
        <w:t>神木-安平煤层气管线是我国最长的非常规天然气跨省管道。从无极县县域北部东西向穿过，途径南流乡、大陈镇、里城道镇、北苏镇，长约32.2公里。神安管道管径813mm，设计压力8MPa。在彭家庄村庄南部设置阀室，小陈村设置分输站。</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80" w:firstLineChars="200"/>
        <w:jc w:val="both"/>
        <w:textAlignment w:val="auto"/>
        <w:rPr>
          <w:rFonts w:hint="eastAsia" w:ascii="宋体" w:hAnsi="宋体" w:eastAsia="宋体" w:cs="宋体"/>
          <w:b w:val="0"/>
          <w:bCs w:val="0"/>
          <w:color w:val="auto"/>
          <w:sz w:val="24"/>
          <w:highlight w:val="none"/>
          <w:lang w:val="en-US" w:eastAsia="zh-CN"/>
        </w:rPr>
      </w:pPr>
      <w:r>
        <w:rPr>
          <w:rFonts w:hint="eastAsia" w:ascii="宋体" w:hAnsi="宋体" w:eastAsia="宋体" w:cs="宋体"/>
          <w:b w:val="0"/>
          <w:bCs w:val="0"/>
          <w:color w:val="auto"/>
          <w:sz w:val="24"/>
          <w:highlight w:val="none"/>
          <w:lang w:val="en-US" w:eastAsia="zh-CN"/>
        </w:rPr>
        <w:t>无极晋州开发区输气管线位于无极县县域南部，东西向穿过，在张段固镇东两河村建设分输阀井。</w:t>
      </w:r>
    </w:p>
    <w:p>
      <w:pPr>
        <w:spacing w:after="0" w:line="560" w:lineRule="exact"/>
        <w:ind w:firstLine="480" w:firstLineChars="200"/>
        <w:rPr>
          <w:rFonts w:hint="eastAsia" w:ascii="宋体" w:hAnsi="宋体" w:eastAsia="宋体" w:cs="宋体"/>
          <w:color w:val="auto"/>
          <w:sz w:val="28"/>
          <w:szCs w:val="28"/>
        </w:rPr>
      </w:pPr>
      <w:r>
        <w:rPr>
          <w:rFonts w:hint="eastAsia" w:ascii="宋体" w:hAnsi="宋体" w:eastAsia="宋体" w:cs="宋体"/>
          <w:b w:val="0"/>
          <w:bCs w:val="0"/>
          <w:color w:val="auto"/>
          <w:sz w:val="24"/>
          <w:highlight w:val="none"/>
          <w:lang w:val="en-US" w:eastAsia="zh-CN"/>
        </w:rPr>
        <w:t>深泽-无极天然气管道工程，涉及无极段1米，建设阀门井一座</w:t>
      </w:r>
      <w:r>
        <w:rPr>
          <w:rFonts w:hint="eastAsia" w:ascii="宋体" w:hAnsi="宋体" w:eastAsia="宋体" w:cs="宋体"/>
          <w:color w:val="auto"/>
          <w:sz w:val="28"/>
          <w:szCs w:val="28"/>
        </w:rPr>
        <w:t>。</w:t>
      </w:r>
    </w:p>
    <w:p>
      <w:pPr>
        <w:pStyle w:val="2"/>
        <w:rPr>
          <w:rFonts w:hint="eastAsia" w:ascii="宋体" w:hAnsi="宋体" w:eastAsia="宋体" w:cs="宋体"/>
          <w:color w:val="auto"/>
        </w:rPr>
      </w:pPr>
      <w:r>
        <w:rPr>
          <w:rFonts w:hint="eastAsia" w:ascii="宋体" w:hAnsi="宋体" w:eastAsia="宋体" w:cs="宋体"/>
          <w:color w:val="auto"/>
          <w:sz w:val="28"/>
          <w:szCs w:val="28"/>
        </w:rPr>
        <w:t xml:space="preserve"> </w:t>
      </w:r>
    </w:p>
    <w:p>
      <w:pPr>
        <w:pStyle w:val="31"/>
        <w:numPr>
          <w:ilvl w:val="0"/>
          <w:numId w:val="3"/>
        </w:numPr>
        <w:jc w:val="left"/>
        <w:rPr>
          <w:rFonts w:hint="eastAsia" w:ascii="宋体" w:hAnsi="宋体" w:eastAsia="宋体" w:cs="宋体"/>
          <w:color w:val="auto"/>
          <w:szCs w:val="28"/>
        </w:rPr>
      </w:pPr>
      <w:bookmarkStart w:id="6" w:name="_Toc3984"/>
      <w:r>
        <w:rPr>
          <w:rFonts w:hint="eastAsia" w:ascii="宋体" w:hAnsi="宋体" w:eastAsia="宋体" w:cs="宋体"/>
          <w:color w:val="auto"/>
          <w:szCs w:val="28"/>
          <w:lang w:val="en-US" w:eastAsia="zh-CN"/>
        </w:rPr>
        <w:t>天</w:t>
      </w:r>
      <w:r>
        <w:rPr>
          <w:rFonts w:hint="eastAsia" w:ascii="宋体" w:hAnsi="宋体" w:eastAsia="宋体" w:cs="宋体"/>
          <w:color w:val="auto"/>
          <w:szCs w:val="28"/>
          <w:lang w:eastAsia="zh-CN"/>
        </w:rPr>
        <w:t>燃气</w:t>
      </w:r>
      <w:r>
        <w:rPr>
          <w:rFonts w:hint="eastAsia" w:ascii="宋体" w:hAnsi="宋体" w:eastAsia="宋体" w:cs="宋体"/>
          <w:color w:val="auto"/>
          <w:szCs w:val="28"/>
          <w:lang w:val="en-US" w:eastAsia="zh-CN"/>
        </w:rPr>
        <w:t>储气和调峰</w:t>
      </w:r>
      <w:bookmarkEnd w:id="6"/>
    </w:p>
    <w:p>
      <w:pPr>
        <w:adjustRightInd w:val="0"/>
        <w:snapToGrid w:val="0"/>
        <w:spacing w:line="560" w:lineRule="exact"/>
        <w:ind w:firstLine="480" w:firstLineChars="200"/>
        <w:rPr>
          <w:rFonts w:hint="eastAsia" w:ascii="宋体" w:hAnsi="宋体" w:eastAsia="宋体" w:cs="宋体"/>
          <w:color w:val="auto"/>
          <w:sz w:val="24"/>
          <w:highlight w:val="none"/>
          <w:lang w:val="en-US" w:eastAsia="zh-CN"/>
        </w:rPr>
      </w:pPr>
      <w:r>
        <w:rPr>
          <w:rFonts w:hint="eastAsia" w:ascii="宋体" w:hAnsi="宋体" w:eastAsia="宋体" w:cs="宋体"/>
          <w:color w:val="auto"/>
          <w:sz w:val="24"/>
          <w:highlight w:val="none"/>
          <w:lang w:val="en-US" w:eastAsia="zh-CN"/>
        </w:rPr>
        <w:t>1、调峰储气</w:t>
      </w:r>
    </w:p>
    <w:p>
      <w:pPr>
        <w:adjustRightInd w:val="0"/>
        <w:snapToGrid w:val="0"/>
        <w:spacing w:line="560" w:lineRule="exact"/>
        <w:ind w:firstLine="480" w:firstLineChars="200"/>
        <w:rPr>
          <w:rFonts w:hint="eastAsia" w:ascii="宋体" w:hAnsi="宋体" w:eastAsia="宋体" w:cs="宋体"/>
          <w:color w:val="auto"/>
          <w:sz w:val="28"/>
          <w:szCs w:val="28"/>
        </w:rPr>
      </w:pPr>
      <w:r>
        <w:rPr>
          <w:rFonts w:hint="eastAsia" w:ascii="宋体" w:hAnsi="宋体" w:eastAsia="宋体" w:cs="宋体"/>
          <w:color w:val="auto"/>
          <w:sz w:val="24"/>
          <w:highlight w:val="none"/>
        </w:rPr>
        <w:t>为解决燃气输配过程中的用气高、低峰，燃气供应一般由储气设施来解决，特别是对那些产气量或供气量恒定的燃气气源则需要建设一定规模的储气设施用来解决高峰时燃气供应量不足，而低峰时燃气又无处供应的情况，利用储气设施采用低峰时储气，高峰时供气的方法来平衡燃气的生产与供应的矛盾。规划</w:t>
      </w:r>
      <w:r>
        <w:rPr>
          <w:rFonts w:hint="eastAsia" w:ascii="宋体" w:hAnsi="宋体" w:eastAsia="宋体" w:cs="宋体"/>
          <w:color w:val="auto"/>
          <w:sz w:val="24"/>
          <w:highlight w:val="none"/>
          <w:lang w:eastAsia="zh-CN"/>
        </w:rPr>
        <w:t>无极</w:t>
      </w:r>
      <w:r>
        <w:rPr>
          <w:rFonts w:hint="eastAsia" w:ascii="宋体" w:hAnsi="宋体" w:eastAsia="宋体" w:cs="宋体"/>
          <w:color w:val="auto"/>
          <w:sz w:val="24"/>
          <w:highlight w:val="none"/>
        </w:rPr>
        <w:t>县近远期储气量占计算平均日供气量的30%</w:t>
      </w:r>
      <w:r>
        <w:rPr>
          <w:rFonts w:hint="eastAsia" w:ascii="宋体" w:hAnsi="宋体" w:eastAsia="宋体" w:cs="宋体"/>
          <w:color w:val="auto"/>
          <w:sz w:val="28"/>
          <w:szCs w:val="28"/>
        </w:rPr>
        <w:t>。</w:t>
      </w:r>
    </w:p>
    <w:p>
      <w:pPr>
        <w:adjustRightInd w:val="0"/>
        <w:snapToGrid w:val="0"/>
        <w:spacing w:line="560" w:lineRule="exact"/>
        <w:ind w:firstLine="480" w:firstLineChars="200"/>
        <w:rPr>
          <w:rFonts w:hint="eastAsia" w:ascii="宋体" w:hAnsi="宋体" w:eastAsia="宋体" w:cs="宋体"/>
          <w:color w:val="auto"/>
          <w:sz w:val="24"/>
          <w:highlight w:val="none"/>
          <w:lang w:val="en-US" w:eastAsia="zh-CN"/>
        </w:rPr>
      </w:pPr>
      <w:r>
        <w:rPr>
          <w:rFonts w:hint="eastAsia" w:ascii="宋体" w:hAnsi="宋体" w:eastAsia="宋体" w:cs="宋体"/>
          <w:color w:val="auto"/>
          <w:sz w:val="24"/>
          <w:highlight w:val="none"/>
          <w:lang w:val="en-US" w:eastAsia="zh-CN"/>
        </w:rPr>
        <w:t>2、应急储气</w:t>
      </w:r>
    </w:p>
    <w:p>
      <w:pPr>
        <w:adjustRightInd w:val="0"/>
        <w:snapToGrid w:val="0"/>
        <w:spacing w:line="56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lang w:eastAsia="zh-CN"/>
        </w:rPr>
        <w:t>根据《天然气基础设施建设与运营管理办法》规定：“</w:t>
      </w:r>
      <w:r>
        <w:rPr>
          <w:rFonts w:hint="eastAsia" w:ascii="宋体" w:hAnsi="宋体" w:eastAsia="宋体" w:cs="宋体"/>
          <w:color w:val="auto"/>
          <w:sz w:val="24"/>
          <w:highlight w:val="none"/>
        </w:rPr>
        <w:t>县级以上地方人民政府应当建立健全燃气应急储备制度，组织编制燃气应急预案，采取综合措施提高燃气应急保障能力，至少形成不低于保障本行政区域平均3天需求量的应急储气能力</w:t>
      </w:r>
      <w:r>
        <w:rPr>
          <w:rFonts w:hint="eastAsia" w:ascii="宋体" w:hAnsi="宋体" w:eastAsia="宋体" w:cs="宋体"/>
          <w:color w:val="auto"/>
          <w:sz w:val="24"/>
          <w:highlight w:val="none"/>
          <w:lang w:eastAsia="zh-CN"/>
        </w:rPr>
        <w:t>。”</w:t>
      </w:r>
    </w:p>
    <w:p>
      <w:pPr>
        <w:adjustRightInd w:val="0"/>
        <w:snapToGrid w:val="0"/>
        <w:spacing w:line="56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lang w:eastAsia="zh-CN"/>
        </w:rPr>
        <w:t>《城镇燃气规划规范》（</w:t>
      </w:r>
      <w:r>
        <w:rPr>
          <w:rFonts w:hint="eastAsia" w:ascii="宋体" w:hAnsi="宋体" w:eastAsia="宋体" w:cs="宋体"/>
          <w:color w:val="auto"/>
          <w:sz w:val="24"/>
          <w:highlight w:val="none"/>
          <w:lang w:val="en-US" w:eastAsia="zh-CN"/>
        </w:rPr>
        <w:t>GB/T51098</w:t>
      </w:r>
      <w:r>
        <w:rPr>
          <w:rFonts w:hint="eastAsia" w:ascii="宋体" w:hAnsi="宋体" w:eastAsia="宋体" w:cs="宋体"/>
          <w:color w:val="auto"/>
          <w:sz w:val="24"/>
          <w:highlight w:val="none"/>
          <w:lang w:eastAsia="zh-CN"/>
        </w:rPr>
        <w:t>）中规定：“城镇燃气应急气源应与主供气源具有互换性。城镇燃气应急储备设施的储备量应按</w:t>
      </w:r>
      <w:r>
        <w:rPr>
          <w:rFonts w:hint="eastAsia" w:ascii="宋体" w:hAnsi="宋体" w:eastAsia="宋体" w:cs="宋体"/>
          <w:color w:val="auto"/>
          <w:sz w:val="24"/>
          <w:highlight w:val="none"/>
          <w:lang w:val="en-US" w:eastAsia="zh-CN"/>
        </w:rPr>
        <w:t>3d-10d城镇不可中断用户的年均日用气量计算。</w:t>
      </w:r>
      <w:r>
        <w:rPr>
          <w:rFonts w:hint="eastAsia" w:ascii="宋体" w:hAnsi="宋体" w:eastAsia="宋体" w:cs="宋体"/>
          <w:color w:val="auto"/>
          <w:sz w:val="24"/>
          <w:highlight w:val="none"/>
          <w:lang w:eastAsia="zh-CN"/>
        </w:rPr>
        <w:t>”</w:t>
      </w:r>
    </w:p>
    <w:p>
      <w:pPr>
        <w:adjustRightInd w:val="0"/>
        <w:snapToGrid w:val="0"/>
        <w:spacing w:line="560" w:lineRule="exact"/>
        <w:ind w:firstLine="480" w:firstLineChars="200"/>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lang w:val="en-US" w:eastAsia="zh-CN"/>
        </w:rPr>
        <w:t>按照上述政策要求，本次规划无极县应急储气量按照</w:t>
      </w:r>
      <w:r>
        <w:rPr>
          <w:rFonts w:hint="eastAsia" w:ascii="宋体" w:hAnsi="宋体" w:eastAsia="宋体" w:cs="宋体"/>
          <w:color w:val="auto"/>
          <w:sz w:val="24"/>
          <w:highlight w:val="none"/>
        </w:rPr>
        <w:t>不低于保障行政区域平均3天需求量</w:t>
      </w:r>
      <w:r>
        <w:rPr>
          <w:rFonts w:hint="eastAsia" w:ascii="宋体" w:hAnsi="宋体" w:eastAsia="宋体" w:cs="宋体"/>
          <w:color w:val="auto"/>
          <w:sz w:val="24"/>
          <w:highlight w:val="none"/>
          <w:lang w:eastAsia="zh-CN"/>
        </w:rPr>
        <w:t>来计算。</w:t>
      </w:r>
    </w:p>
    <w:p>
      <w:pPr>
        <w:pStyle w:val="2"/>
        <w:numPr>
          <w:ilvl w:val="0"/>
          <w:numId w:val="4"/>
        </w:numPr>
        <w:rPr>
          <w:rFonts w:hint="eastAsia" w:ascii="宋体" w:hAnsi="宋体" w:eastAsia="宋体" w:cs="宋体"/>
          <w:color w:val="auto"/>
          <w:sz w:val="24"/>
          <w:highlight w:val="none"/>
          <w:lang w:val="en-US" w:eastAsia="zh-CN"/>
        </w:rPr>
      </w:pPr>
      <w:r>
        <w:rPr>
          <w:rFonts w:hint="eastAsia" w:ascii="宋体" w:hAnsi="宋体" w:eastAsia="宋体" w:cs="宋体"/>
          <w:color w:val="auto"/>
          <w:sz w:val="24"/>
          <w:highlight w:val="none"/>
          <w:lang w:val="en-US" w:eastAsia="zh-CN"/>
        </w:rPr>
        <w:t>储气方式</w:t>
      </w:r>
    </w:p>
    <w:p>
      <w:pPr>
        <w:adjustRightInd w:val="0"/>
        <w:snapToGrid w:val="0"/>
        <w:spacing w:line="560" w:lineRule="exact"/>
        <w:ind w:firstLine="480" w:firstLineChars="200"/>
        <w:rPr>
          <w:rFonts w:hint="eastAsia" w:ascii="宋体" w:hAnsi="宋体" w:eastAsia="宋体" w:cs="宋体"/>
          <w:color w:val="auto"/>
          <w:sz w:val="24"/>
          <w:highlight w:val="none"/>
          <w:lang w:val="en-US" w:eastAsia="zh-CN"/>
        </w:rPr>
      </w:pPr>
      <w:r>
        <w:rPr>
          <w:rFonts w:hint="eastAsia" w:ascii="宋体" w:hAnsi="宋体" w:eastAsia="宋体" w:cs="宋体"/>
          <w:color w:val="auto"/>
          <w:sz w:val="24"/>
          <w:highlight w:val="none"/>
          <w:lang w:val="en-US" w:eastAsia="zh-CN"/>
        </w:rPr>
        <w:t>综合考虑现状条件，并考虑气源的种类，气源的输送压力和规划期内的总储气量等因素，确定采用LNG储气方式进行储气并调节日用气量高峰和时高峰用气量，上游输气干线主要用来调节季节性峰值。</w:t>
      </w:r>
    </w:p>
    <w:p>
      <w:pPr>
        <w:pStyle w:val="2"/>
        <w:numPr>
          <w:ilvl w:val="0"/>
          <w:numId w:val="0"/>
        </w:numPr>
        <w:rPr>
          <w:rFonts w:hint="eastAsia" w:ascii="宋体" w:hAnsi="宋体" w:eastAsia="宋体" w:cs="宋体"/>
          <w:color w:val="auto"/>
          <w:sz w:val="24"/>
          <w:highlight w:val="none"/>
          <w:lang w:val="en-US" w:eastAsia="zh-CN"/>
        </w:rPr>
      </w:pPr>
    </w:p>
    <w:p>
      <w:pPr>
        <w:pStyle w:val="31"/>
        <w:numPr>
          <w:ilvl w:val="0"/>
          <w:numId w:val="3"/>
        </w:numPr>
        <w:jc w:val="left"/>
        <w:rPr>
          <w:rFonts w:hint="eastAsia" w:ascii="宋体" w:hAnsi="宋体" w:eastAsia="宋体" w:cs="宋体"/>
          <w:color w:val="auto"/>
          <w:szCs w:val="28"/>
        </w:rPr>
      </w:pPr>
      <w:bookmarkStart w:id="7" w:name="_Toc22163"/>
      <w:r>
        <w:rPr>
          <w:rFonts w:hint="eastAsia" w:ascii="宋体" w:hAnsi="宋体" w:eastAsia="宋体" w:cs="宋体"/>
          <w:color w:val="auto"/>
          <w:szCs w:val="28"/>
          <w:lang w:val="en-US" w:eastAsia="zh-CN"/>
        </w:rPr>
        <w:t>场站布局</w:t>
      </w:r>
      <w:r>
        <w:rPr>
          <w:rFonts w:hint="eastAsia" w:ascii="宋体" w:hAnsi="宋体" w:eastAsia="宋体" w:cs="宋体"/>
          <w:color w:val="auto"/>
          <w:szCs w:val="28"/>
        </w:rPr>
        <w:t>规划</w:t>
      </w:r>
      <w:bookmarkEnd w:id="7"/>
    </w:p>
    <w:p>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firstLine="480" w:firstLineChars="200"/>
        <w:jc w:val="both"/>
        <w:textAlignment w:val="auto"/>
        <w:rPr>
          <w:rFonts w:hint="eastAsia" w:ascii="宋体" w:hAnsi="宋体" w:eastAsia="宋体" w:cs="宋体"/>
          <w:color w:val="auto"/>
          <w:kern w:val="0"/>
          <w:sz w:val="24"/>
          <w:highlight w:val="none"/>
          <w:lang w:val="en-US" w:eastAsia="zh-CN"/>
        </w:rPr>
      </w:pPr>
      <w:r>
        <w:rPr>
          <w:rFonts w:hint="eastAsia" w:ascii="宋体" w:hAnsi="宋体" w:eastAsia="宋体" w:cs="宋体"/>
          <w:color w:val="auto"/>
          <w:kern w:val="0"/>
          <w:sz w:val="24"/>
          <w:highlight w:val="none"/>
          <w:lang w:val="en-US" w:eastAsia="zh-CN"/>
        </w:rPr>
        <w:t>1、调压站布局</w:t>
      </w:r>
    </w:p>
    <w:p>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firstLine="480" w:firstLineChars="200"/>
        <w:jc w:val="both"/>
        <w:textAlignment w:val="auto"/>
        <w:rPr>
          <w:rFonts w:hint="eastAsia" w:ascii="宋体" w:hAnsi="宋体" w:eastAsia="宋体" w:cs="宋体"/>
          <w:color w:val="auto"/>
          <w:kern w:val="0"/>
          <w:sz w:val="24"/>
          <w:highlight w:val="none"/>
          <w:lang w:val="en-US" w:eastAsia="zh-CN"/>
        </w:rPr>
      </w:pPr>
      <w:r>
        <w:rPr>
          <w:rFonts w:hint="eastAsia" w:ascii="宋体" w:hAnsi="宋体" w:eastAsia="宋体" w:cs="宋体"/>
          <w:color w:val="auto"/>
          <w:kern w:val="0"/>
          <w:sz w:val="24"/>
          <w:highlight w:val="none"/>
          <w:lang w:val="en-US" w:eastAsia="zh-CN"/>
        </w:rPr>
        <w:t>保留并完善南池阳门站、里城道门站、奥阳门站和张段固门站，保证全县域用气安全。</w:t>
      </w:r>
    </w:p>
    <w:p>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firstLine="480" w:firstLineChars="200"/>
        <w:jc w:val="both"/>
        <w:textAlignment w:val="auto"/>
        <w:rPr>
          <w:rFonts w:hint="eastAsia" w:ascii="宋体" w:hAnsi="宋体" w:eastAsia="宋体" w:cs="宋体"/>
          <w:color w:val="auto"/>
          <w:kern w:val="0"/>
          <w:sz w:val="24"/>
          <w:highlight w:val="none"/>
          <w:lang w:val="en-US" w:eastAsia="zh-CN"/>
        </w:rPr>
      </w:pPr>
      <w:r>
        <w:rPr>
          <w:rFonts w:hint="eastAsia" w:ascii="宋体" w:hAnsi="宋体" w:eastAsia="宋体" w:cs="宋体"/>
          <w:color w:val="auto"/>
          <w:kern w:val="0"/>
          <w:sz w:val="24"/>
          <w:highlight w:val="none"/>
          <w:lang w:val="en-US" w:eastAsia="zh-CN"/>
        </w:rPr>
        <w:t>规划结合昆仑燃气管线在南池阳村东新建昆仑分输站、结合神安线在大陈镇西郎村南新建西郎门站、结合神木线在无极县格品工业园区西南角新建无极中燃门站。并在沧安鄂长输管线大陈镇段和沧安石长输管线南流乡段预留调压站备选用地。</w:t>
      </w:r>
    </w:p>
    <w:p>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firstLine="480" w:firstLineChars="200"/>
        <w:jc w:val="both"/>
        <w:textAlignment w:val="auto"/>
        <w:rPr>
          <w:rFonts w:hint="eastAsia" w:ascii="宋体" w:hAnsi="宋体" w:eastAsia="宋体" w:cs="宋体"/>
          <w:color w:val="auto"/>
          <w:kern w:val="0"/>
          <w:sz w:val="24"/>
          <w:highlight w:val="none"/>
          <w:lang w:val="en-US" w:eastAsia="zh-CN"/>
        </w:rPr>
      </w:pPr>
      <w:r>
        <w:rPr>
          <w:rFonts w:hint="eastAsia" w:ascii="宋体" w:hAnsi="宋体" w:eastAsia="宋体" w:cs="宋体"/>
          <w:color w:val="auto"/>
          <w:kern w:val="0"/>
          <w:sz w:val="24"/>
          <w:highlight w:val="none"/>
          <w:lang w:val="en-US" w:eastAsia="zh-CN"/>
        </w:rPr>
        <w:t xml:space="preserve">规划完善供气体系，建设齐洽调压站、西部园区门站和南部园区门站。 </w:t>
      </w:r>
    </w:p>
    <w:p>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firstLine="480" w:firstLineChars="200"/>
        <w:jc w:val="both"/>
        <w:textAlignment w:val="auto"/>
        <w:rPr>
          <w:rFonts w:hint="eastAsia" w:ascii="宋体" w:hAnsi="宋体" w:eastAsia="宋体" w:cs="宋体"/>
          <w:color w:val="auto"/>
          <w:kern w:val="0"/>
          <w:sz w:val="24"/>
          <w:highlight w:val="none"/>
          <w:lang w:val="en-US" w:eastAsia="zh-CN"/>
        </w:rPr>
      </w:pPr>
      <w:r>
        <w:rPr>
          <w:rFonts w:hint="eastAsia" w:ascii="宋体" w:hAnsi="宋体" w:eastAsia="宋体" w:cs="宋体"/>
          <w:color w:val="auto"/>
          <w:kern w:val="0"/>
          <w:sz w:val="24"/>
          <w:highlight w:val="none"/>
          <w:lang w:val="en-US" w:eastAsia="zh-CN"/>
        </w:rPr>
        <w:t>2、CNG供气站布局</w:t>
      </w:r>
    </w:p>
    <w:p>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firstLine="480" w:firstLineChars="200"/>
        <w:jc w:val="both"/>
        <w:textAlignment w:val="auto"/>
        <w:rPr>
          <w:rFonts w:hint="eastAsia" w:ascii="宋体" w:hAnsi="宋体" w:eastAsia="宋体" w:cs="宋体"/>
          <w:color w:val="auto"/>
          <w:kern w:val="0"/>
          <w:sz w:val="24"/>
          <w:highlight w:val="none"/>
          <w:lang w:val="en-US" w:eastAsia="zh-CN"/>
        </w:rPr>
      </w:pPr>
      <w:r>
        <w:rPr>
          <w:rFonts w:hint="eastAsia" w:ascii="宋体" w:hAnsi="宋体" w:eastAsia="宋体" w:cs="宋体"/>
          <w:color w:val="auto"/>
          <w:kern w:val="0"/>
          <w:sz w:val="24"/>
          <w:highlight w:val="none"/>
          <w:lang w:val="en-US" w:eastAsia="zh-CN"/>
        </w:rPr>
        <w:t>结合无极县供气布局情况，规划在郝庄乡、郭庄镇预留CNG供气站。</w:t>
      </w:r>
    </w:p>
    <w:p>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firstLine="480" w:firstLineChars="200"/>
        <w:jc w:val="both"/>
        <w:textAlignment w:val="auto"/>
        <w:rPr>
          <w:rFonts w:hint="eastAsia" w:ascii="宋体" w:hAnsi="宋体" w:eastAsia="宋体" w:cs="宋体"/>
          <w:color w:val="auto"/>
          <w:kern w:val="0"/>
          <w:sz w:val="24"/>
          <w:highlight w:val="none"/>
          <w:lang w:val="en-US" w:eastAsia="zh-CN"/>
        </w:rPr>
      </w:pPr>
      <w:r>
        <w:rPr>
          <w:rFonts w:hint="eastAsia" w:ascii="宋体" w:hAnsi="宋体" w:eastAsia="宋体" w:cs="宋体"/>
          <w:color w:val="auto"/>
          <w:kern w:val="0"/>
          <w:sz w:val="24"/>
          <w:highlight w:val="none"/>
          <w:lang w:val="en-US" w:eastAsia="zh-CN"/>
        </w:rPr>
        <w:t>3、LNG供气站布局</w:t>
      </w:r>
    </w:p>
    <w:p>
      <w:pPr>
        <w:adjustRightInd w:val="0"/>
        <w:snapToGrid w:val="0"/>
        <w:spacing w:line="560" w:lineRule="exact"/>
        <w:ind w:firstLine="480" w:firstLineChars="200"/>
        <w:rPr>
          <w:rFonts w:hint="eastAsia" w:ascii="宋体" w:hAnsi="宋体" w:eastAsia="宋体" w:cs="宋体"/>
          <w:color w:val="auto"/>
          <w:sz w:val="28"/>
          <w:szCs w:val="28"/>
          <w:highlight w:val="none"/>
        </w:rPr>
      </w:pPr>
      <w:r>
        <w:rPr>
          <w:rFonts w:hint="eastAsia" w:ascii="宋体" w:hAnsi="宋体" w:eastAsia="宋体" w:cs="宋体"/>
          <w:color w:val="auto"/>
          <w:kern w:val="0"/>
          <w:sz w:val="24"/>
          <w:highlight w:val="none"/>
          <w:lang w:val="en-US" w:eastAsia="zh-CN"/>
        </w:rPr>
        <w:t>为满足无极县应急储气需求，</w:t>
      </w:r>
      <w:r>
        <w:rPr>
          <w:rFonts w:hint="eastAsia" w:ascii="宋体" w:hAnsi="宋体" w:eastAsia="宋体" w:cs="宋体"/>
          <w:color w:val="auto"/>
          <w:sz w:val="24"/>
          <w:highlight w:val="none"/>
          <w:lang w:val="en-US" w:eastAsia="zh-CN"/>
        </w:rPr>
        <w:t>本次规划对新拓能源LNG储气站和富民能源LNG储气站进行扩建，增加储气设施，以满足远期无极县的用气需求，平时作为调峰设施，上游气源事故时可作为应急备用气源。</w:t>
      </w:r>
    </w:p>
    <w:p>
      <w:pPr>
        <w:pStyle w:val="31"/>
        <w:numPr>
          <w:ilvl w:val="0"/>
          <w:numId w:val="3"/>
        </w:numPr>
        <w:jc w:val="left"/>
        <w:rPr>
          <w:rFonts w:hint="eastAsia" w:ascii="宋体" w:hAnsi="宋体" w:eastAsia="宋体" w:cs="宋体"/>
          <w:color w:val="auto"/>
          <w:szCs w:val="28"/>
        </w:rPr>
      </w:pPr>
      <w:bookmarkStart w:id="8" w:name="_Toc20129"/>
      <w:r>
        <w:rPr>
          <w:rFonts w:hint="eastAsia" w:ascii="宋体" w:hAnsi="宋体" w:eastAsia="宋体" w:cs="宋体"/>
          <w:color w:val="auto"/>
          <w:szCs w:val="28"/>
        </w:rPr>
        <w:t xml:space="preserve"> </w:t>
      </w:r>
      <w:r>
        <w:rPr>
          <w:rFonts w:hint="eastAsia" w:ascii="宋体" w:hAnsi="宋体" w:eastAsia="宋体" w:cs="宋体"/>
          <w:color w:val="auto"/>
          <w:szCs w:val="28"/>
          <w:lang w:val="en-US" w:eastAsia="zh-CN"/>
        </w:rPr>
        <w:t>天然气管网规划</w:t>
      </w:r>
      <w:bookmarkEnd w:id="8"/>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80" w:firstLineChars="200"/>
        <w:jc w:val="both"/>
        <w:textAlignment w:val="auto"/>
        <w:rPr>
          <w:rFonts w:hint="eastAsia" w:ascii="宋体" w:hAnsi="宋体" w:eastAsia="宋体" w:cs="宋体"/>
          <w:color w:val="auto"/>
          <w:sz w:val="24"/>
          <w:highlight w:val="none"/>
          <w:lang w:val="en-US" w:eastAsia="zh-CN"/>
        </w:rPr>
      </w:pPr>
      <w:r>
        <w:rPr>
          <w:rFonts w:hint="eastAsia" w:ascii="宋体" w:hAnsi="宋体" w:eastAsia="宋体" w:cs="宋体"/>
          <w:color w:val="auto"/>
          <w:sz w:val="24"/>
          <w:highlight w:val="none"/>
          <w:lang w:val="en-US" w:eastAsia="zh-CN"/>
        </w:rPr>
        <w:t>1、输气压力</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80" w:firstLineChars="200"/>
        <w:jc w:val="both"/>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燃气输配系统压力级制选择是由诸多因素决定的，例如气源压力、供气范围、供气对象、供气规模、调峰方式、建设条件及设备材料等。</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80" w:firstLineChars="200"/>
        <w:jc w:val="both"/>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燃气输配管网根据管网不同压力级制的数量</w:t>
      </w:r>
      <w:r>
        <w:rPr>
          <w:rFonts w:hint="eastAsia" w:ascii="宋体" w:hAnsi="宋体" w:eastAsia="宋体" w:cs="宋体"/>
          <w:color w:val="auto"/>
          <w:sz w:val="24"/>
          <w:highlight w:val="none"/>
          <w:lang w:eastAsia="zh-CN"/>
        </w:rPr>
        <w:t>划分</w:t>
      </w:r>
      <w:r>
        <w:rPr>
          <w:rFonts w:hint="eastAsia" w:ascii="宋体" w:hAnsi="宋体" w:eastAsia="宋体" w:cs="宋体"/>
          <w:color w:val="auto"/>
          <w:sz w:val="24"/>
          <w:highlight w:val="none"/>
        </w:rPr>
        <w:t>为一级管网系统、二级管网系统、三级管网系统和混合管网系统。供气范围、供气规模越大，越需要选择多压力级制输配系统。</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80" w:firstLineChars="200"/>
        <w:jc w:val="both"/>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目前，各个城市运用较多的压力级制为中压一级管网系统。</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80" w:firstLineChars="200"/>
        <w:jc w:val="both"/>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《城镇燃气设计规范》</w:t>
      </w:r>
      <w:r>
        <w:rPr>
          <w:rFonts w:hint="eastAsia" w:ascii="宋体" w:hAnsi="宋体" w:eastAsia="宋体" w:cs="宋体"/>
          <w:color w:val="auto"/>
          <w:sz w:val="24"/>
          <w:highlight w:val="none"/>
          <w:lang w:eastAsia="zh-CN"/>
        </w:rPr>
        <w:t>（</w:t>
      </w:r>
      <w:r>
        <w:rPr>
          <w:rFonts w:hint="eastAsia" w:ascii="宋体" w:hAnsi="宋体" w:eastAsia="宋体" w:cs="宋体"/>
          <w:color w:val="auto"/>
          <w:sz w:val="24"/>
          <w:highlight w:val="none"/>
        </w:rPr>
        <w:t>GB50028</w:t>
      </w:r>
      <w:r>
        <w:rPr>
          <w:rFonts w:hint="eastAsia" w:ascii="宋体" w:hAnsi="宋体" w:eastAsia="宋体" w:cs="宋体"/>
          <w:color w:val="auto"/>
          <w:sz w:val="24"/>
          <w:highlight w:val="none"/>
          <w:lang w:eastAsia="zh-CN"/>
        </w:rPr>
        <w:t>）</w:t>
      </w:r>
      <w:r>
        <w:rPr>
          <w:rFonts w:hint="eastAsia" w:ascii="宋体" w:hAnsi="宋体" w:eastAsia="宋体" w:cs="宋体"/>
          <w:color w:val="auto"/>
          <w:sz w:val="24"/>
          <w:highlight w:val="none"/>
        </w:rPr>
        <w:t>中，将城镇燃气设计压力划分为七个级别，见下表：</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80" w:firstLineChars="200"/>
        <w:jc w:val="both"/>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lang w:eastAsia="zh-CN"/>
        </w:rPr>
        <w:t>表</w:t>
      </w:r>
      <w:r>
        <w:rPr>
          <w:rFonts w:hint="eastAsia" w:ascii="宋体" w:hAnsi="宋体" w:eastAsia="宋体" w:cs="宋体"/>
          <w:color w:val="auto"/>
          <w:sz w:val="24"/>
          <w:highlight w:val="none"/>
          <w:lang w:val="en-US" w:eastAsia="zh-CN"/>
        </w:rPr>
        <w:t>：</w:t>
      </w:r>
      <w:r>
        <w:rPr>
          <w:rFonts w:hint="eastAsia" w:ascii="宋体" w:hAnsi="宋体" w:eastAsia="宋体" w:cs="宋体"/>
          <w:color w:val="auto"/>
          <w:sz w:val="24"/>
          <w:highlight w:val="none"/>
        </w:rPr>
        <w:t>城镇燃气输送压力（表压）分级</w:t>
      </w:r>
    </w:p>
    <w:tbl>
      <w:tblPr>
        <w:tblStyle w:val="20"/>
        <w:tblW w:w="8805"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2591"/>
        <w:gridCol w:w="1910"/>
        <w:gridCol w:w="4304"/>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0" w:hRule="atLeast"/>
          <w:tblHeader/>
          <w:jc w:val="center"/>
        </w:trPr>
        <w:tc>
          <w:tcPr>
            <w:tcW w:w="4501" w:type="dxa"/>
            <w:gridSpan w:val="2"/>
            <w:shd w:val="clear" w:color="auto" w:fill="BEBEBE"/>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名  称</w:t>
            </w:r>
          </w:p>
        </w:tc>
        <w:tc>
          <w:tcPr>
            <w:tcW w:w="4304" w:type="dxa"/>
            <w:shd w:val="clear" w:color="auto" w:fill="BEBEBE"/>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压力（表压MPa）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0" w:hRule="atLeast"/>
          <w:jc w:val="center"/>
        </w:trPr>
        <w:tc>
          <w:tcPr>
            <w:tcW w:w="2591" w:type="dxa"/>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高压燃气管道</w:t>
            </w:r>
          </w:p>
        </w:tc>
        <w:tc>
          <w:tcPr>
            <w:tcW w:w="1910"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A</w:t>
            </w:r>
          </w:p>
        </w:tc>
        <w:tc>
          <w:tcPr>
            <w:tcW w:w="4304"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2.5＜P</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4.0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0" w:hRule="atLeast"/>
          <w:jc w:val="center"/>
        </w:trPr>
        <w:tc>
          <w:tcPr>
            <w:tcW w:w="2591"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outlineLvl w:val="9"/>
              <w:rPr>
                <w:rFonts w:hint="eastAsia" w:ascii="宋体" w:hAnsi="宋体" w:eastAsia="宋体" w:cs="宋体"/>
                <w:color w:val="auto"/>
                <w:szCs w:val="21"/>
                <w:highlight w:val="none"/>
              </w:rPr>
            </w:pPr>
          </w:p>
        </w:tc>
        <w:tc>
          <w:tcPr>
            <w:tcW w:w="1910"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B</w:t>
            </w:r>
          </w:p>
        </w:tc>
        <w:tc>
          <w:tcPr>
            <w:tcW w:w="4304"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1.6＜P</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2.5</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0" w:hRule="atLeast"/>
          <w:jc w:val="center"/>
        </w:trPr>
        <w:tc>
          <w:tcPr>
            <w:tcW w:w="2591" w:type="dxa"/>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次高压燃气管道</w:t>
            </w:r>
          </w:p>
        </w:tc>
        <w:tc>
          <w:tcPr>
            <w:tcW w:w="1910"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A</w:t>
            </w:r>
          </w:p>
        </w:tc>
        <w:tc>
          <w:tcPr>
            <w:tcW w:w="4304"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0.8＜P</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lang w:val="en-US" w:eastAsia="zh-CN"/>
              </w:rPr>
              <w:t>1</w:t>
            </w:r>
            <w:r>
              <w:rPr>
                <w:rFonts w:hint="eastAsia" w:ascii="宋体" w:hAnsi="宋体" w:eastAsia="宋体" w:cs="宋体"/>
                <w:color w:val="auto"/>
                <w:szCs w:val="21"/>
                <w:highlight w:val="none"/>
              </w:rPr>
              <w:t>.6</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0" w:hRule="atLeast"/>
          <w:jc w:val="center"/>
        </w:trPr>
        <w:tc>
          <w:tcPr>
            <w:tcW w:w="2591"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outlineLvl w:val="9"/>
              <w:rPr>
                <w:rFonts w:hint="eastAsia" w:ascii="宋体" w:hAnsi="宋体" w:eastAsia="宋体" w:cs="宋体"/>
                <w:color w:val="auto"/>
                <w:szCs w:val="21"/>
                <w:highlight w:val="none"/>
              </w:rPr>
            </w:pPr>
          </w:p>
        </w:tc>
        <w:tc>
          <w:tcPr>
            <w:tcW w:w="1910"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B</w:t>
            </w:r>
          </w:p>
        </w:tc>
        <w:tc>
          <w:tcPr>
            <w:tcW w:w="4304"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0.4＜P</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0.8</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0" w:hRule="atLeast"/>
          <w:jc w:val="center"/>
        </w:trPr>
        <w:tc>
          <w:tcPr>
            <w:tcW w:w="2591" w:type="dxa"/>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中压燃气管道</w:t>
            </w:r>
          </w:p>
        </w:tc>
        <w:tc>
          <w:tcPr>
            <w:tcW w:w="1910"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A</w:t>
            </w:r>
          </w:p>
        </w:tc>
        <w:tc>
          <w:tcPr>
            <w:tcW w:w="4304"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0.2＜P</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0.4</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0" w:hRule="atLeast"/>
          <w:jc w:val="center"/>
        </w:trPr>
        <w:tc>
          <w:tcPr>
            <w:tcW w:w="2591"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outlineLvl w:val="9"/>
              <w:rPr>
                <w:rFonts w:hint="eastAsia" w:ascii="宋体" w:hAnsi="宋体" w:eastAsia="宋体" w:cs="宋体"/>
                <w:color w:val="auto"/>
                <w:szCs w:val="21"/>
                <w:highlight w:val="none"/>
              </w:rPr>
            </w:pPr>
          </w:p>
        </w:tc>
        <w:tc>
          <w:tcPr>
            <w:tcW w:w="1910"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B</w:t>
            </w:r>
          </w:p>
        </w:tc>
        <w:tc>
          <w:tcPr>
            <w:tcW w:w="4304"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0.01</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P</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0.2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0" w:hRule="atLeast"/>
          <w:jc w:val="center"/>
        </w:trPr>
        <w:tc>
          <w:tcPr>
            <w:tcW w:w="2591"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低压燃气管道</w:t>
            </w:r>
          </w:p>
        </w:tc>
        <w:tc>
          <w:tcPr>
            <w:tcW w:w="1910"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outlineLvl w:val="9"/>
              <w:rPr>
                <w:rFonts w:hint="eastAsia" w:ascii="宋体" w:hAnsi="宋体" w:eastAsia="宋体" w:cs="宋体"/>
                <w:color w:val="auto"/>
                <w:szCs w:val="21"/>
                <w:highlight w:val="none"/>
              </w:rPr>
            </w:pPr>
          </w:p>
        </w:tc>
        <w:tc>
          <w:tcPr>
            <w:tcW w:w="4304" w:type="dxa"/>
            <w:vAlign w:val="center"/>
          </w:tcPr>
          <w:p>
            <w:pPr>
              <w:keepNext w:val="0"/>
              <w:keepLines w:val="0"/>
              <w:pageBreakBefore w:val="0"/>
              <w:widowControl w:val="0"/>
              <w:kinsoku/>
              <w:wordWrap/>
              <w:overflowPunct/>
              <w:topLinePunct w:val="0"/>
              <w:autoSpaceDE/>
              <w:autoSpaceDN/>
              <w:bidi w:val="0"/>
              <w:adjustRightInd/>
              <w:snapToGrid/>
              <w:spacing w:line="400" w:lineRule="exact"/>
              <w:ind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P＜0.01</w:t>
            </w:r>
          </w:p>
        </w:tc>
      </w:tr>
    </w:tbl>
    <w:p>
      <w:pPr>
        <w:snapToGrid w:val="0"/>
        <w:spacing w:line="56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rPr>
        <w:t>本规划考虑到</w:t>
      </w:r>
      <w:r>
        <w:rPr>
          <w:rFonts w:hint="eastAsia" w:ascii="宋体" w:hAnsi="宋体" w:eastAsia="宋体" w:cs="宋体"/>
          <w:color w:val="auto"/>
          <w:sz w:val="24"/>
          <w:highlight w:val="none"/>
          <w:lang w:eastAsia="zh-CN"/>
        </w:rPr>
        <w:t>无极县</w:t>
      </w:r>
      <w:r>
        <w:rPr>
          <w:rFonts w:hint="eastAsia" w:ascii="宋体" w:hAnsi="宋体" w:eastAsia="宋体" w:cs="宋体"/>
          <w:color w:val="auto"/>
          <w:sz w:val="24"/>
          <w:highlight w:val="none"/>
        </w:rPr>
        <w:t>的住宅形式，建筑密度及城市的未来发展需求及燃气应用技术的发展，规划确定</w:t>
      </w:r>
      <w:r>
        <w:rPr>
          <w:rFonts w:hint="eastAsia" w:ascii="宋体" w:hAnsi="宋体" w:eastAsia="宋体" w:cs="宋体"/>
          <w:color w:val="auto"/>
          <w:sz w:val="24"/>
          <w:highlight w:val="none"/>
          <w:lang w:eastAsia="zh-CN"/>
        </w:rPr>
        <w:t>燃气</w:t>
      </w:r>
      <w:r>
        <w:rPr>
          <w:rFonts w:hint="eastAsia" w:ascii="宋体" w:hAnsi="宋体" w:eastAsia="宋体" w:cs="宋体"/>
          <w:color w:val="auto"/>
          <w:sz w:val="24"/>
          <w:highlight w:val="none"/>
        </w:rPr>
        <w:t>管网压力级制采用中压</w:t>
      </w:r>
      <w:r>
        <w:rPr>
          <w:rFonts w:hint="eastAsia" w:ascii="宋体" w:hAnsi="宋体" w:eastAsia="宋体" w:cs="宋体"/>
          <w:color w:val="auto"/>
          <w:sz w:val="24"/>
          <w:highlight w:val="none"/>
          <w:lang w:val="en-US" w:eastAsia="zh-CN"/>
        </w:rPr>
        <w:t>A</w:t>
      </w:r>
      <w:r>
        <w:rPr>
          <w:rFonts w:hint="eastAsia" w:ascii="宋体" w:hAnsi="宋体" w:eastAsia="宋体" w:cs="宋体"/>
          <w:color w:val="auto"/>
          <w:sz w:val="24"/>
          <w:highlight w:val="none"/>
        </w:rPr>
        <w:t>一级管网系统。中压管道用于输气，经小区调压箱调压后输送给用户。</w:t>
      </w:r>
    </w:p>
    <w:p>
      <w:pPr>
        <w:snapToGrid w:val="0"/>
        <w:spacing w:line="560" w:lineRule="exact"/>
        <w:ind w:firstLine="480" w:firstLineChars="200"/>
        <w:rPr>
          <w:rFonts w:hint="eastAsia" w:ascii="宋体" w:hAnsi="宋体" w:eastAsia="宋体" w:cs="宋体"/>
          <w:color w:val="auto"/>
          <w:sz w:val="28"/>
          <w:szCs w:val="28"/>
        </w:rPr>
      </w:pPr>
      <w:r>
        <w:rPr>
          <w:rFonts w:hint="eastAsia" w:ascii="宋体" w:hAnsi="宋体" w:eastAsia="宋体" w:cs="宋体"/>
          <w:color w:val="auto"/>
          <w:sz w:val="24"/>
          <w:highlight w:val="none"/>
        </w:rPr>
        <w:t>为了给</w:t>
      </w:r>
      <w:r>
        <w:rPr>
          <w:rFonts w:hint="eastAsia" w:ascii="宋体" w:hAnsi="宋体" w:eastAsia="宋体" w:cs="宋体"/>
          <w:color w:val="auto"/>
          <w:sz w:val="24"/>
          <w:highlight w:val="none"/>
          <w:lang w:eastAsia="zh-CN"/>
        </w:rPr>
        <w:t>无极县</w:t>
      </w:r>
      <w:r>
        <w:rPr>
          <w:rFonts w:hint="eastAsia" w:ascii="宋体" w:hAnsi="宋体" w:eastAsia="宋体" w:cs="宋体"/>
          <w:color w:val="auto"/>
          <w:sz w:val="24"/>
          <w:highlight w:val="none"/>
        </w:rPr>
        <w:t>远期的发展留有余地，节省投资，同时考虑随着天然气市场的不断扩大，供气技术手段、设备的不断进步，供气压力的提高已是一种发展趋势，因此规划确定</w:t>
      </w:r>
      <w:r>
        <w:rPr>
          <w:rFonts w:hint="eastAsia" w:ascii="宋体" w:hAnsi="宋体" w:eastAsia="宋体" w:cs="宋体"/>
          <w:color w:val="auto"/>
          <w:sz w:val="24"/>
          <w:highlight w:val="none"/>
          <w:lang w:eastAsia="zh-CN"/>
        </w:rPr>
        <w:t>无极县</w:t>
      </w:r>
      <w:r>
        <w:rPr>
          <w:rFonts w:hint="eastAsia" w:ascii="宋体" w:hAnsi="宋体" w:eastAsia="宋体" w:cs="宋体"/>
          <w:color w:val="auto"/>
          <w:sz w:val="24"/>
          <w:highlight w:val="none"/>
        </w:rPr>
        <w:t>的中压管道设计压力为0.4MPa</w:t>
      </w:r>
      <w:r>
        <w:rPr>
          <w:rFonts w:hint="eastAsia" w:ascii="宋体" w:hAnsi="宋体" w:eastAsia="宋体" w:cs="宋体"/>
          <w:color w:val="auto"/>
          <w:sz w:val="28"/>
          <w:szCs w:val="28"/>
        </w:rPr>
        <w:t>。</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80" w:firstLineChars="200"/>
        <w:jc w:val="both"/>
        <w:textAlignment w:val="auto"/>
        <w:rPr>
          <w:rFonts w:hint="eastAsia" w:ascii="宋体" w:hAnsi="宋体" w:eastAsia="宋体" w:cs="宋体"/>
          <w:color w:val="auto"/>
          <w:sz w:val="24"/>
          <w:highlight w:val="none"/>
          <w:lang w:val="en-US" w:eastAsia="zh-CN"/>
        </w:rPr>
      </w:pPr>
      <w:bookmarkStart w:id="9" w:name="_Toc14617"/>
      <w:r>
        <w:rPr>
          <w:rFonts w:hint="eastAsia" w:ascii="宋体" w:hAnsi="宋体" w:eastAsia="宋体" w:cs="宋体"/>
          <w:color w:val="auto"/>
          <w:sz w:val="24"/>
          <w:highlight w:val="none"/>
          <w:lang w:val="en-US" w:eastAsia="zh-CN"/>
        </w:rPr>
        <w:t>2、管网敷设</w:t>
      </w:r>
      <w:bookmarkEnd w:id="9"/>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80" w:firstLineChars="200"/>
        <w:jc w:val="both"/>
        <w:textAlignment w:val="auto"/>
        <w:rPr>
          <w:rFonts w:hint="eastAsia" w:ascii="宋体" w:hAnsi="宋体" w:eastAsia="宋体" w:cs="宋体"/>
          <w:color w:val="auto"/>
          <w:sz w:val="24"/>
          <w:highlight w:val="none"/>
          <w:lang w:val="en-US" w:eastAsia="zh-CN"/>
        </w:rPr>
      </w:pPr>
      <w:r>
        <w:rPr>
          <w:rFonts w:hint="eastAsia" w:ascii="宋体" w:hAnsi="宋体" w:eastAsia="宋体" w:cs="宋体"/>
          <w:color w:val="auto"/>
          <w:sz w:val="24"/>
          <w:highlight w:val="none"/>
        </w:rPr>
        <w:t>根据管道沿线的地形、地貌、工程地质、水文地质以及气候条件等情况，规划确定采用直埋敷设方式。</w:t>
      </w:r>
      <w:r>
        <w:rPr>
          <w:rFonts w:hint="eastAsia" w:ascii="宋体" w:hAnsi="宋体" w:eastAsia="宋体" w:cs="宋体"/>
          <w:color w:val="auto"/>
          <w:sz w:val="24"/>
          <w:highlight w:val="none"/>
          <w:lang w:val="en-US" w:eastAsia="zh-CN"/>
        </w:rPr>
        <w:t xml:space="preserve"> </w:t>
      </w:r>
    </w:p>
    <w:p>
      <w:pPr>
        <w:spacing w:line="560" w:lineRule="exact"/>
        <w:ind w:firstLine="480" w:firstLineChars="200"/>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rPr>
        <w:t>对于穿越工程和特殊地段，必须采取处理措施后，方可敷设。穿越公路时局部管段要进行加强处理。</w:t>
      </w:r>
    </w:p>
    <w:p>
      <w:pPr>
        <w:spacing w:line="560" w:lineRule="exact"/>
        <w:ind w:firstLine="480" w:firstLineChars="200"/>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lang w:eastAsia="zh-CN"/>
        </w:rPr>
        <w:t>中压管道穿越工程</w:t>
      </w:r>
    </w:p>
    <w:p>
      <w:pPr>
        <w:spacing w:line="560" w:lineRule="exact"/>
        <w:ind w:firstLine="480" w:firstLineChars="200"/>
        <w:rPr>
          <w:rFonts w:hint="eastAsia" w:ascii="宋体" w:hAnsi="宋体" w:eastAsia="宋体" w:cs="宋体"/>
          <w:color w:val="auto"/>
          <w:sz w:val="24"/>
          <w:highlight w:val="none"/>
          <w:lang w:val="en-US" w:eastAsia="zh-CN"/>
        </w:rPr>
      </w:pPr>
      <w:r>
        <w:rPr>
          <w:rFonts w:hint="eastAsia" w:ascii="宋体" w:hAnsi="宋体" w:eastAsia="宋体" w:cs="宋体"/>
          <w:color w:val="auto"/>
          <w:sz w:val="24"/>
          <w:highlight w:val="none"/>
          <w:lang w:eastAsia="zh-CN"/>
        </w:rPr>
        <w:t>（</w:t>
      </w:r>
      <w:r>
        <w:rPr>
          <w:rFonts w:hint="eastAsia" w:ascii="宋体" w:hAnsi="宋体" w:eastAsia="宋体" w:cs="宋体"/>
          <w:color w:val="auto"/>
          <w:sz w:val="24"/>
          <w:highlight w:val="none"/>
          <w:lang w:val="en-US" w:eastAsia="zh-CN"/>
        </w:rPr>
        <w:t>1）穿越河流</w:t>
      </w:r>
    </w:p>
    <w:p>
      <w:pPr>
        <w:spacing w:line="560" w:lineRule="exact"/>
        <w:ind w:firstLine="480" w:firstLineChars="200"/>
        <w:rPr>
          <w:rFonts w:hint="eastAsia" w:ascii="宋体" w:hAnsi="宋体" w:eastAsia="宋体" w:cs="宋体"/>
          <w:color w:val="auto"/>
          <w:sz w:val="24"/>
          <w:highlight w:val="none"/>
          <w:lang w:val="en-US" w:eastAsia="zh-CN"/>
        </w:rPr>
      </w:pPr>
      <w:r>
        <w:rPr>
          <w:rFonts w:hint="eastAsia" w:ascii="宋体" w:hAnsi="宋体" w:eastAsia="宋体" w:cs="宋体"/>
          <w:color w:val="auto"/>
          <w:sz w:val="24"/>
          <w:highlight w:val="none"/>
          <w:lang w:val="en-US" w:eastAsia="zh-CN"/>
        </w:rPr>
        <w:t>中压管道穿越河流的管段，原则应自河底顶管穿越，条件受阻无法穿越时可与桥梁管理部门协商随桥梁敷设，但应保证管道安全，避免影响交通。</w:t>
      </w:r>
    </w:p>
    <w:p>
      <w:pPr>
        <w:spacing w:line="560" w:lineRule="exact"/>
        <w:ind w:firstLine="480" w:firstLineChars="200"/>
        <w:rPr>
          <w:rFonts w:hint="eastAsia" w:ascii="宋体" w:hAnsi="宋体" w:eastAsia="宋体" w:cs="宋体"/>
          <w:color w:val="auto"/>
          <w:sz w:val="24"/>
          <w:highlight w:val="none"/>
          <w:lang w:val="en-US" w:eastAsia="zh-CN"/>
        </w:rPr>
      </w:pPr>
      <w:r>
        <w:rPr>
          <w:rFonts w:hint="eastAsia" w:ascii="宋体" w:hAnsi="宋体" w:eastAsia="宋体" w:cs="宋体"/>
          <w:color w:val="auto"/>
          <w:sz w:val="24"/>
          <w:highlight w:val="none"/>
          <w:lang w:eastAsia="zh-CN"/>
        </w:rPr>
        <w:t>（</w:t>
      </w:r>
      <w:r>
        <w:rPr>
          <w:rFonts w:hint="eastAsia" w:ascii="宋体" w:hAnsi="宋体" w:eastAsia="宋体" w:cs="宋体"/>
          <w:color w:val="auto"/>
          <w:sz w:val="24"/>
          <w:highlight w:val="none"/>
          <w:lang w:val="en-US" w:eastAsia="zh-CN"/>
        </w:rPr>
        <w:t>2）穿越城市道路</w:t>
      </w:r>
    </w:p>
    <w:p>
      <w:pPr>
        <w:spacing w:line="560" w:lineRule="exact"/>
        <w:ind w:firstLine="480" w:firstLineChars="200"/>
        <w:rPr>
          <w:rFonts w:hint="eastAsia" w:ascii="宋体" w:hAnsi="宋体" w:eastAsia="宋体" w:cs="宋体"/>
          <w:color w:val="auto"/>
          <w:sz w:val="24"/>
          <w:highlight w:val="none"/>
          <w:lang w:val="en-US" w:eastAsia="zh-CN"/>
        </w:rPr>
      </w:pPr>
      <w:r>
        <w:rPr>
          <w:rFonts w:hint="eastAsia" w:ascii="宋体" w:hAnsi="宋体" w:eastAsia="宋体" w:cs="宋体"/>
          <w:color w:val="auto"/>
          <w:sz w:val="24"/>
          <w:highlight w:val="none"/>
          <w:lang w:val="en-US" w:eastAsia="zh-CN"/>
        </w:rPr>
        <w:t>中压管道穿越城市内主干道、次干道等交通干线时，采用套管敷设，或采用顶管施工穿越，穿越一般道路、支路时，根据实际情况和管理部分要求可采用大开挖施工或顶管施工穿越。</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80" w:firstLineChars="200"/>
        <w:jc w:val="both"/>
        <w:textAlignment w:val="auto"/>
        <w:rPr>
          <w:rFonts w:hint="eastAsia" w:ascii="宋体" w:hAnsi="宋体" w:eastAsia="宋体" w:cs="宋体"/>
          <w:color w:val="auto"/>
          <w:sz w:val="24"/>
          <w:highlight w:val="none"/>
          <w:lang w:val="en-US" w:eastAsia="zh-CN"/>
        </w:rPr>
      </w:pPr>
      <w:r>
        <w:rPr>
          <w:rFonts w:hint="eastAsia" w:ascii="宋体" w:hAnsi="宋体" w:eastAsia="宋体" w:cs="宋体"/>
          <w:color w:val="auto"/>
          <w:sz w:val="24"/>
          <w:highlight w:val="none"/>
        </w:rPr>
        <w:t>对于主要交通路段的路口处，可根据具体情况分别采用管沟、预埋套管、顶管及开槽直埋敷设。有条件开挖的路段优先考虑直埋敷设，以节省投资。</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80" w:firstLineChars="200"/>
        <w:jc w:val="both"/>
        <w:textAlignment w:val="auto"/>
        <w:rPr>
          <w:rFonts w:hint="eastAsia" w:ascii="宋体" w:hAnsi="宋体" w:eastAsia="宋体" w:cs="宋体"/>
          <w:color w:val="auto"/>
          <w:sz w:val="24"/>
          <w:highlight w:val="none"/>
          <w:lang w:val="en-US" w:eastAsia="zh-CN"/>
        </w:rPr>
      </w:pPr>
      <w:r>
        <w:rPr>
          <w:rFonts w:hint="eastAsia" w:ascii="宋体" w:hAnsi="宋体" w:eastAsia="宋体" w:cs="宋体"/>
          <w:color w:val="auto"/>
          <w:sz w:val="24"/>
          <w:highlight w:val="none"/>
        </w:rPr>
        <w:t>燃气管网建设采取分期、分段施工，尽量与新建及改扩建的城市道路相配合，同步施工，以便减少对城市交通的影响。</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80" w:firstLineChars="200"/>
        <w:jc w:val="both"/>
        <w:textAlignment w:val="auto"/>
        <w:rPr>
          <w:rFonts w:hint="eastAsia" w:ascii="宋体" w:hAnsi="宋体" w:eastAsia="宋体" w:cs="宋体"/>
          <w:color w:val="auto"/>
          <w:sz w:val="24"/>
          <w:highlight w:val="none"/>
          <w:lang w:val="en-US" w:eastAsia="zh-CN"/>
        </w:rPr>
      </w:pPr>
      <w:bookmarkStart w:id="10" w:name="_Toc26457"/>
      <w:r>
        <w:rPr>
          <w:rFonts w:hint="eastAsia" w:ascii="宋体" w:hAnsi="宋体" w:eastAsia="宋体" w:cs="宋体"/>
          <w:color w:val="auto"/>
          <w:sz w:val="24"/>
          <w:highlight w:val="none"/>
          <w:lang w:val="en-US" w:eastAsia="zh-CN"/>
        </w:rPr>
        <w:t>3、管道安全措施</w:t>
      </w:r>
      <w:bookmarkEnd w:id="10"/>
    </w:p>
    <w:p>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firstLine="480" w:firstLineChars="200"/>
        <w:jc w:val="both"/>
        <w:textAlignment w:val="auto"/>
        <w:outlineLvl w:val="9"/>
        <w:rPr>
          <w:rFonts w:hint="eastAsia" w:ascii="宋体" w:hAnsi="宋体" w:eastAsia="宋体" w:cs="宋体"/>
          <w:color w:val="auto"/>
          <w:sz w:val="24"/>
          <w:highlight w:val="none"/>
        </w:rPr>
      </w:pPr>
      <w:r>
        <w:rPr>
          <w:rFonts w:hint="eastAsia" w:ascii="宋体" w:hAnsi="宋体" w:eastAsia="宋体" w:cs="宋体"/>
          <w:color w:val="auto"/>
          <w:sz w:val="24"/>
          <w:highlight w:val="none"/>
        </w:rPr>
        <w:t>规划燃气管道应敷设在冰冻线以下0</w:t>
      </w:r>
      <w:r>
        <w:rPr>
          <w:rFonts w:hint="eastAsia" w:ascii="宋体" w:hAnsi="宋体" w:eastAsia="宋体" w:cs="宋体"/>
          <w:color w:val="auto"/>
          <w:sz w:val="24"/>
          <w:highlight w:val="none"/>
          <w:lang w:val="en-US" w:eastAsia="zh-CN"/>
        </w:rPr>
        <w:t>.</w:t>
      </w:r>
      <w:r>
        <w:rPr>
          <w:rFonts w:hint="eastAsia" w:ascii="宋体" w:hAnsi="宋体" w:eastAsia="宋体" w:cs="宋体"/>
          <w:color w:val="auto"/>
          <w:sz w:val="24"/>
          <w:highlight w:val="none"/>
        </w:rPr>
        <w:t>1</w:t>
      </w:r>
      <w:r>
        <w:rPr>
          <w:rFonts w:hint="eastAsia" w:ascii="宋体" w:hAnsi="宋体" w:eastAsia="宋体" w:cs="宋体"/>
          <w:color w:val="auto"/>
          <w:sz w:val="24"/>
          <w:highlight w:val="none"/>
          <w:lang w:val="en-US" w:eastAsia="zh-CN"/>
        </w:rPr>
        <w:t>-</w:t>
      </w:r>
      <w:r>
        <w:rPr>
          <w:rFonts w:hint="eastAsia" w:ascii="宋体" w:hAnsi="宋体" w:eastAsia="宋体" w:cs="宋体"/>
          <w:color w:val="auto"/>
          <w:sz w:val="24"/>
          <w:highlight w:val="none"/>
        </w:rPr>
        <w:t>0</w:t>
      </w:r>
      <w:r>
        <w:rPr>
          <w:rFonts w:hint="eastAsia" w:ascii="宋体" w:hAnsi="宋体" w:eastAsia="宋体" w:cs="宋体"/>
          <w:color w:val="auto"/>
          <w:sz w:val="24"/>
          <w:highlight w:val="none"/>
          <w:lang w:val="en-US" w:eastAsia="zh-CN"/>
        </w:rPr>
        <w:t>.</w:t>
      </w:r>
      <w:r>
        <w:rPr>
          <w:rFonts w:hint="eastAsia" w:ascii="宋体" w:hAnsi="宋体" w:eastAsia="宋体" w:cs="宋体"/>
          <w:color w:val="auto"/>
          <w:sz w:val="24"/>
          <w:highlight w:val="none"/>
        </w:rPr>
        <w:t>2米</w:t>
      </w:r>
      <w:r>
        <w:rPr>
          <w:rFonts w:hint="eastAsia" w:ascii="宋体" w:hAnsi="宋体" w:eastAsia="宋体" w:cs="宋体"/>
          <w:color w:val="auto"/>
          <w:sz w:val="24"/>
          <w:highlight w:val="none"/>
          <w:lang w:eastAsia="zh-CN"/>
        </w:rPr>
        <w:t>，</w:t>
      </w:r>
      <w:r>
        <w:rPr>
          <w:rFonts w:hint="eastAsia" w:ascii="宋体" w:hAnsi="宋体" w:eastAsia="宋体" w:cs="宋体"/>
          <w:color w:val="auto"/>
          <w:sz w:val="24"/>
          <w:highlight w:val="none"/>
        </w:rPr>
        <w:t>特殊地段须采取防冻措施，以保证燃气管道的正常运营</w:t>
      </w:r>
      <w:r>
        <w:rPr>
          <w:rFonts w:hint="eastAsia" w:ascii="宋体" w:hAnsi="宋体" w:eastAsia="宋体" w:cs="宋体"/>
          <w:color w:val="auto"/>
          <w:sz w:val="24"/>
          <w:highlight w:val="none"/>
          <w:lang w:val="en-US" w:eastAsia="zh-CN"/>
        </w:rPr>
        <w:t>。县域范围穿越耕地的管线，应保证充足埋深，避免影响耕种。</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80" w:firstLineChars="200"/>
        <w:jc w:val="both"/>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地下燃气管道穿过排水管、热力管沟及其他各种用途沟槽时，应将燃气管道敷设在套管内，套管伸出构筑物外壁</w:t>
      </w:r>
      <w:r>
        <w:rPr>
          <w:rFonts w:hint="eastAsia" w:ascii="宋体" w:hAnsi="宋体" w:eastAsia="宋体" w:cs="宋体"/>
          <w:color w:val="auto"/>
          <w:sz w:val="24"/>
          <w:highlight w:val="none"/>
          <w:lang w:eastAsia="zh-CN"/>
        </w:rPr>
        <w:t>的距离</w:t>
      </w:r>
      <w:r>
        <w:rPr>
          <w:rFonts w:hint="eastAsia" w:ascii="宋体" w:hAnsi="宋体" w:eastAsia="宋体" w:cs="宋体"/>
          <w:color w:val="auto"/>
          <w:sz w:val="24"/>
          <w:highlight w:val="none"/>
        </w:rPr>
        <w:t>不应小于</w:t>
      </w:r>
      <w:r>
        <w:rPr>
          <w:rFonts w:hint="eastAsia" w:ascii="宋体" w:hAnsi="宋体" w:eastAsia="宋体" w:cs="宋体"/>
          <w:color w:val="auto"/>
          <w:sz w:val="24"/>
          <w:highlight w:val="none"/>
          <w:lang w:val="en-US" w:eastAsia="zh-CN"/>
        </w:rPr>
        <w:t>表7-7中燃气管道与构筑物的间距</w:t>
      </w:r>
      <w:r>
        <w:rPr>
          <w:rFonts w:hint="eastAsia" w:ascii="宋体" w:hAnsi="宋体" w:eastAsia="宋体" w:cs="宋体"/>
          <w:color w:val="auto"/>
          <w:sz w:val="24"/>
          <w:highlight w:val="none"/>
        </w:rPr>
        <w:t>。钢套管应防腐，套管两端的密封材料应采用柔性的防腐、防水材料</w:t>
      </w:r>
      <w:r>
        <w:rPr>
          <w:rFonts w:hint="eastAsia" w:ascii="宋体" w:hAnsi="宋体" w:eastAsia="宋体" w:cs="宋体"/>
          <w:color w:val="auto"/>
          <w:sz w:val="24"/>
          <w:highlight w:val="none"/>
          <w:lang w:eastAsia="zh-CN"/>
        </w:rPr>
        <w:t>。</w:t>
      </w:r>
    </w:p>
    <w:p>
      <w:pPr>
        <w:spacing w:line="560" w:lineRule="exact"/>
        <w:ind w:firstLine="480" w:firstLineChars="200"/>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rPr>
        <w:t>管底至人行道路路面的垂直距离不应小于2</w:t>
      </w:r>
      <w:r>
        <w:rPr>
          <w:rFonts w:hint="eastAsia" w:ascii="宋体" w:hAnsi="宋体" w:eastAsia="宋体" w:cs="宋体"/>
          <w:color w:val="auto"/>
          <w:sz w:val="24"/>
          <w:highlight w:val="none"/>
          <w:lang w:val="en-US" w:eastAsia="zh-CN"/>
        </w:rPr>
        <w:t>.</w:t>
      </w:r>
      <w:r>
        <w:rPr>
          <w:rFonts w:hint="eastAsia" w:ascii="宋体" w:hAnsi="宋体" w:eastAsia="宋体" w:cs="宋体"/>
          <w:color w:val="auto"/>
          <w:sz w:val="24"/>
          <w:highlight w:val="none"/>
        </w:rPr>
        <w:t>2米，至</w:t>
      </w:r>
      <w:r>
        <w:rPr>
          <w:rFonts w:hint="eastAsia" w:ascii="宋体" w:hAnsi="宋体" w:eastAsia="宋体" w:cs="宋体"/>
          <w:color w:val="auto"/>
          <w:sz w:val="24"/>
          <w:highlight w:val="none"/>
          <w:lang w:eastAsia="zh-CN"/>
        </w:rPr>
        <w:t>城市</w:t>
      </w:r>
      <w:r>
        <w:rPr>
          <w:rFonts w:hint="eastAsia" w:ascii="宋体" w:hAnsi="宋体" w:eastAsia="宋体" w:cs="宋体"/>
          <w:color w:val="auto"/>
          <w:sz w:val="24"/>
          <w:highlight w:val="none"/>
        </w:rPr>
        <w:t>道路路面的垂直净距不应小于5</w:t>
      </w:r>
      <w:r>
        <w:rPr>
          <w:rFonts w:hint="eastAsia" w:ascii="宋体" w:hAnsi="宋体" w:eastAsia="宋体" w:cs="宋体"/>
          <w:color w:val="auto"/>
          <w:sz w:val="24"/>
          <w:highlight w:val="none"/>
          <w:lang w:val="en-US" w:eastAsia="zh-CN"/>
        </w:rPr>
        <w:t>.5</w:t>
      </w:r>
      <w:r>
        <w:rPr>
          <w:rFonts w:hint="eastAsia" w:ascii="宋体" w:hAnsi="宋体" w:eastAsia="宋体" w:cs="宋体"/>
          <w:color w:val="auto"/>
          <w:sz w:val="24"/>
          <w:highlight w:val="none"/>
        </w:rPr>
        <w:t>米</w:t>
      </w:r>
      <w:r>
        <w:rPr>
          <w:rFonts w:hint="eastAsia" w:ascii="宋体" w:hAnsi="宋体" w:eastAsia="宋体" w:cs="宋体"/>
          <w:color w:val="auto"/>
          <w:sz w:val="24"/>
          <w:highlight w:val="none"/>
          <w:lang w:eastAsia="zh-CN"/>
        </w:rPr>
        <w:t>，</w:t>
      </w:r>
      <w:r>
        <w:rPr>
          <w:rFonts w:hint="eastAsia" w:ascii="宋体" w:hAnsi="宋体" w:eastAsia="宋体" w:cs="宋体"/>
          <w:color w:val="auto"/>
          <w:sz w:val="24"/>
          <w:highlight w:val="none"/>
        </w:rPr>
        <w:t>至</w:t>
      </w:r>
      <w:r>
        <w:rPr>
          <w:rFonts w:hint="eastAsia" w:ascii="宋体" w:hAnsi="宋体" w:eastAsia="宋体" w:cs="宋体"/>
          <w:color w:val="auto"/>
          <w:sz w:val="24"/>
          <w:highlight w:val="none"/>
          <w:lang w:eastAsia="zh-CN"/>
        </w:rPr>
        <w:t>铁路轨顶</w:t>
      </w:r>
      <w:r>
        <w:rPr>
          <w:rFonts w:hint="eastAsia" w:ascii="宋体" w:hAnsi="宋体" w:eastAsia="宋体" w:cs="宋体"/>
          <w:color w:val="auto"/>
          <w:sz w:val="24"/>
          <w:highlight w:val="none"/>
        </w:rPr>
        <w:t>的垂直净距不应小于</w:t>
      </w:r>
      <w:r>
        <w:rPr>
          <w:rFonts w:hint="eastAsia" w:ascii="宋体" w:hAnsi="宋体" w:eastAsia="宋体" w:cs="宋体"/>
          <w:color w:val="auto"/>
          <w:sz w:val="24"/>
          <w:highlight w:val="none"/>
          <w:lang w:val="en-US" w:eastAsia="zh-CN"/>
        </w:rPr>
        <w:t>6</w:t>
      </w:r>
      <w:r>
        <w:rPr>
          <w:rFonts w:hint="eastAsia" w:ascii="宋体" w:hAnsi="宋体" w:eastAsia="宋体" w:cs="宋体"/>
          <w:color w:val="auto"/>
          <w:sz w:val="24"/>
          <w:highlight w:val="none"/>
        </w:rPr>
        <w:t>米</w:t>
      </w:r>
      <w:r>
        <w:rPr>
          <w:rFonts w:hint="eastAsia" w:ascii="宋体" w:hAnsi="宋体" w:eastAsia="宋体" w:cs="宋体"/>
          <w:color w:val="auto"/>
          <w:sz w:val="24"/>
          <w:highlight w:val="none"/>
          <w:lang w:eastAsia="zh-CN"/>
        </w:rPr>
        <w:t>。</w:t>
      </w:r>
      <w:r>
        <w:rPr>
          <w:rFonts w:hint="eastAsia" w:ascii="宋体" w:hAnsi="宋体" w:eastAsia="宋体" w:cs="宋体"/>
          <w:color w:val="auto"/>
          <w:sz w:val="24"/>
          <w:highlight w:val="none"/>
        </w:rPr>
        <w:t>厂区内部的燃气管道，在保证安全的情况下，管底至道路路面的垂直净距可取4</w:t>
      </w:r>
      <w:r>
        <w:rPr>
          <w:rFonts w:hint="eastAsia" w:ascii="宋体" w:hAnsi="宋体" w:eastAsia="宋体" w:cs="宋体"/>
          <w:color w:val="auto"/>
          <w:sz w:val="24"/>
          <w:highlight w:val="none"/>
          <w:lang w:val="en-US" w:eastAsia="zh-CN"/>
        </w:rPr>
        <w:t>.</w:t>
      </w:r>
      <w:r>
        <w:rPr>
          <w:rFonts w:hint="eastAsia" w:ascii="宋体" w:hAnsi="宋体" w:eastAsia="宋体" w:cs="宋体"/>
          <w:color w:val="auto"/>
          <w:sz w:val="24"/>
          <w:highlight w:val="none"/>
        </w:rPr>
        <w:t>5米</w:t>
      </w:r>
      <w:r>
        <w:rPr>
          <w:rFonts w:hint="eastAsia" w:ascii="宋体" w:hAnsi="宋体" w:eastAsia="宋体" w:cs="宋体"/>
          <w:color w:val="auto"/>
          <w:sz w:val="24"/>
          <w:highlight w:val="none"/>
          <w:lang w:eastAsia="zh-CN"/>
        </w:rPr>
        <w:t>；管底至铁路轨顶的垂直净距，可取5</w:t>
      </w:r>
      <w:r>
        <w:rPr>
          <w:rFonts w:hint="eastAsia" w:ascii="宋体" w:hAnsi="宋体" w:eastAsia="宋体" w:cs="宋体"/>
          <w:color w:val="auto"/>
          <w:sz w:val="24"/>
          <w:highlight w:val="none"/>
          <w:lang w:val="en-US" w:eastAsia="zh-CN"/>
        </w:rPr>
        <w:t>.</w:t>
      </w:r>
      <w:r>
        <w:rPr>
          <w:rFonts w:hint="eastAsia" w:ascii="宋体" w:hAnsi="宋体" w:eastAsia="宋体" w:cs="宋体"/>
          <w:color w:val="auto"/>
          <w:sz w:val="24"/>
          <w:highlight w:val="none"/>
          <w:lang w:eastAsia="zh-CN"/>
        </w:rPr>
        <w:t>5米。</w:t>
      </w:r>
    </w:p>
    <w:p>
      <w:pPr>
        <w:spacing w:line="560" w:lineRule="exact"/>
        <w:ind w:firstLine="480" w:firstLineChars="200"/>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lang w:eastAsia="zh-CN"/>
        </w:rPr>
        <w:t>中压燃气管道应设置管位警示标志。</w:t>
      </w:r>
    </w:p>
    <w:p>
      <w:pPr>
        <w:spacing w:line="560" w:lineRule="exact"/>
        <w:ind w:firstLine="480" w:firstLineChars="200"/>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lang w:eastAsia="zh-CN"/>
        </w:rPr>
        <w:t>燃气管道通过河流时，可采用穿越河底或采用管桥跨越的形式。当条件允许也可利用道路桥梁跨越河流，并应符合下列要求：</w:t>
      </w:r>
    </w:p>
    <w:p>
      <w:pPr>
        <w:spacing w:line="560" w:lineRule="exact"/>
        <w:ind w:firstLine="480" w:firstLineChars="200"/>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lang w:eastAsia="zh-CN"/>
        </w:rPr>
        <w:t>（</w:t>
      </w:r>
      <w:r>
        <w:rPr>
          <w:rFonts w:hint="eastAsia" w:ascii="宋体" w:hAnsi="宋体" w:eastAsia="宋体" w:cs="宋体"/>
          <w:color w:val="auto"/>
          <w:sz w:val="24"/>
          <w:highlight w:val="none"/>
          <w:lang w:val="en-US" w:eastAsia="zh-CN"/>
        </w:rPr>
        <w:t>1</w:t>
      </w:r>
      <w:r>
        <w:rPr>
          <w:rFonts w:hint="eastAsia" w:ascii="宋体" w:hAnsi="宋体" w:eastAsia="宋体" w:cs="宋体"/>
          <w:color w:val="auto"/>
          <w:sz w:val="24"/>
          <w:highlight w:val="none"/>
          <w:lang w:eastAsia="zh-CN"/>
        </w:rPr>
        <w:t>）利用道路桥梁跨越河流的燃气管道，其管道的输送压力不应大于0</w:t>
      </w:r>
      <w:r>
        <w:rPr>
          <w:rFonts w:hint="eastAsia" w:ascii="宋体" w:hAnsi="宋体" w:eastAsia="宋体" w:cs="宋体"/>
          <w:color w:val="auto"/>
          <w:sz w:val="24"/>
          <w:highlight w:val="none"/>
          <w:lang w:val="en-US" w:eastAsia="zh-CN"/>
        </w:rPr>
        <w:t>.</w:t>
      </w:r>
      <w:r>
        <w:rPr>
          <w:rFonts w:hint="eastAsia" w:ascii="宋体" w:hAnsi="宋体" w:eastAsia="宋体" w:cs="宋体"/>
          <w:color w:val="auto"/>
          <w:sz w:val="24"/>
          <w:highlight w:val="none"/>
          <w:lang w:eastAsia="zh-CN"/>
        </w:rPr>
        <w:t>4MPa；</w:t>
      </w:r>
    </w:p>
    <w:p>
      <w:pPr>
        <w:spacing w:line="560" w:lineRule="exact"/>
        <w:ind w:firstLine="480" w:firstLineChars="200"/>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lang w:eastAsia="zh-CN"/>
        </w:rPr>
        <w:t>（</w:t>
      </w:r>
      <w:r>
        <w:rPr>
          <w:rFonts w:hint="eastAsia" w:ascii="宋体" w:hAnsi="宋体" w:eastAsia="宋体" w:cs="宋体"/>
          <w:color w:val="auto"/>
          <w:sz w:val="24"/>
          <w:highlight w:val="none"/>
          <w:lang w:val="en-US" w:eastAsia="zh-CN"/>
        </w:rPr>
        <w:t>2</w:t>
      </w:r>
      <w:r>
        <w:rPr>
          <w:rFonts w:hint="eastAsia" w:ascii="宋体" w:hAnsi="宋体" w:eastAsia="宋体" w:cs="宋体"/>
          <w:color w:val="auto"/>
          <w:sz w:val="24"/>
          <w:highlight w:val="none"/>
          <w:lang w:eastAsia="zh-CN"/>
        </w:rPr>
        <w:t>）当燃气管道随桥梁敷设或采用管桥跨越河流时，必须采取安全防护措施；</w:t>
      </w:r>
    </w:p>
    <w:p>
      <w:pPr>
        <w:spacing w:line="560" w:lineRule="exact"/>
        <w:ind w:firstLine="480" w:firstLineChars="200"/>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lang w:eastAsia="zh-CN"/>
        </w:rPr>
        <w:t>（</w:t>
      </w:r>
      <w:r>
        <w:rPr>
          <w:rFonts w:hint="eastAsia" w:ascii="宋体" w:hAnsi="宋体" w:eastAsia="宋体" w:cs="宋体"/>
          <w:color w:val="auto"/>
          <w:sz w:val="24"/>
          <w:highlight w:val="none"/>
          <w:lang w:val="en-US" w:eastAsia="zh-CN"/>
        </w:rPr>
        <w:t>3</w:t>
      </w:r>
      <w:r>
        <w:rPr>
          <w:rFonts w:hint="eastAsia" w:ascii="宋体" w:hAnsi="宋体" w:eastAsia="宋体" w:cs="宋体"/>
          <w:color w:val="auto"/>
          <w:sz w:val="24"/>
          <w:highlight w:val="none"/>
          <w:lang w:eastAsia="zh-CN"/>
        </w:rPr>
        <w:t>）燃气管道随桥梁敷设，宜采取如下安全防护措施：</w:t>
      </w:r>
    </w:p>
    <w:p>
      <w:pPr>
        <w:spacing w:line="560" w:lineRule="exact"/>
        <w:ind w:firstLine="480" w:firstLineChars="200"/>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lang w:val="en-US" w:eastAsia="zh-CN"/>
        </w:rPr>
        <w:t>①</w:t>
      </w:r>
      <w:r>
        <w:rPr>
          <w:rFonts w:hint="eastAsia" w:ascii="宋体" w:hAnsi="宋体" w:eastAsia="宋体" w:cs="宋体"/>
          <w:color w:val="auto"/>
          <w:sz w:val="24"/>
          <w:highlight w:val="none"/>
          <w:lang w:eastAsia="zh-CN"/>
        </w:rPr>
        <w:t>敷设于桥梁上的燃气管道应采用加厚的无缝钢管或焊接钢管，尽量减少焊缝，对焊缝进行100％无损探伤；</w:t>
      </w:r>
    </w:p>
    <w:p>
      <w:pPr>
        <w:spacing w:line="560" w:lineRule="exact"/>
        <w:ind w:firstLine="480" w:firstLineChars="200"/>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lang w:eastAsia="zh-CN"/>
        </w:rPr>
        <w:t>②在确定管道位置时，应与随桥敷设的其他可燃的管道保持一定间距；</w:t>
      </w:r>
    </w:p>
    <w:p>
      <w:pPr>
        <w:spacing w:line="560" w:lineRule="exact"/>
        <w:ind w:firstLine="480" w:firstLineChars="200"/>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lang w:eastAsia="zh-CN"/>
        </w:rPr>
        <w:t>③管道应设置必要的补偿和减震措施；</w:t>
      </w:r>
    </w:p>
    <w:p>
      <w:pPr>
        <w:spacing w:line="560" w:lineRule="exact"/>
        <w:ind w:firstLine="480" w:firstLineChars="200"/>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lang w:eastAsia="zh-CN"/>
        </w:rPr>
        <w:t>④对管道应做较高等级的防腐保护，对于采用阴极保护的埋地钢管与随桥管道之间应设置绝缘装置。</w:t>
      </w:r>
    </w:p>
    <w:p>
      <w:pPr>
        <w:spacing w:line="560" w:lineRule="exact"/>
        <w:ind w:firstLine="480" w:firstLineChars="200"/>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lang w:eastAsia="zh-CN"/>
        </w:rPr>
        <w:t>（</w:t>
      </w:r>
      <w:r>
        <w:rPr>
          <w:rFonts w:hint="eastAsia" w:ascii="宋体" w:hAnsi="宋体" w:eastAsia="宋体" w:cs="宋体"/>
          <w:color w:val="auto"/>
          <w:sz w:val="24"/>
          <w:highlight w:val="none"/>
          <w:lang w:val="en-US" w:eastAsia="zh-CN"/>
        </w:rPr>
        <w:t>4</w:t>
      </w:r>
      <w:r>
        <w:rPr>
          <w:rFonts w:hint="eastAsia" w:ascii="宋体" w:hAnsi="宋体" w:eastAsia="宋体" w:cs="宋体"/>
          <w:color w:val="auto"/>
          <w:sz w:val="24"/>
          <w:highlight w:val="none"/>
          <w:lang w:eastAsia="zh-CN"/>
        </w:rPr>
        <w:t>）</w:t>
      </w:r>
      <w:r>
        <w:rPr>
          <w:rFonts w:hint="eastAsia" w:ascii="宋体" w:hAnsi="宋体" w:eastAsia="宋体" w:cs="宋体"/>
          <w:color w:val="auto"/>
          <w:sz w:val="24"/>
          <w:highlight w:val="none"/>
          <w:lang w:val="en-US" w:eastAsia="zh-CN"/>
        </w:rPr>
        <w:t>在埋设燃气管道位置的河流两岸上、下游应设立标志。</w:t>
      </w:r>
    </w:p>
    <w:p>
      <w:pPr>
        <w:spacing w:line="560" w:lineRule="exact"/>
        <w:ind w:firstLine="480" w:firstLineChars="200"/>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lang w:eastAsia="zh-CN"/>
        </w:rPr>
        <w:t>燃气管道与建筑物、构筑物或相邻管道之间的水平垂直净距应符合下列两表的要求：</w:t>
      </w:r>
    </w:p>
    <w:p>
      <w:pPr>
        <w:spacing w:line="56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rPr>
        <w:t>地下燃气管道与建筑物、构筑物或相邻管道之间的水平净距（m）</w:t>
      </w:r>
    </w:p>
    <w:tbl>
      <w:tblPr>
        <w:tblStyle w:val="20"/>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86"/>
        <w:gridCol w:w="2172"/>
        <w:gridCol w:w="1095"/>
        <w:gridCol w:w="990"/>
        <w:gridCol w:w="945"/>
        <w:gridCol w:w="930"/>
        <w:gridCol w:w="9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blHeader/>
          <w:jc w:val="center"/>
        </w:trPr>
        <w:tc>
          <w:tcPr>
            <w:tcW w:w="3658" w:type="dxa"/>
            <w:gridSpan w:val="2"/>
            <w:vMerge w:val="restart"/>
            <w:shd w:val="clear" w:color="auto" w:fill="BEBEBE"/>
            <w:vAlign w:val="center"/>
          </w:tcPr>
          <w:p>
            <w:pPr>
              <w:spacing w:line="4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项目</w:t>
            </w:r>
          </w:p>
        </w:tc>
        <w:tc>
          <w:tcPr>
            <w:tcW w:w="4864" w:type="dxa"/>
            <w:gridSpan w:val="5"/>
            <w:shd w:val="clear" w:color="auto" w:fill="BEBEBE"/>
            <w:vAlign w:val="center"/>
          </w:tcPr>
          <w:p>
            <w:pPr>
              <w:spacing w:line="4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地下燃气管道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blHeader/>
          <w:jc w:val="center"/>
        </w:trPr>
        <w:tc>
          <w:tcPr>
            <w:tcW w:w="3658" w:type="dxa"/>
            <w:gridSpan w:val="2"/>
            <w:vMerge w:val="continue"/>
            <w:shd w:val="clear" w:color="auto" w:fill="BEBEBE"/>
            <w:vAlign w:val="center"/>
          </w:tcPr>
          <w:p>
            <w:pPr>
              <w:spacing w:line="400" w:lineRule="exact"/>
              <w:jc w:val="center"/>
              <w:rPr>
                <w:rFonts w:hint="eastAsia" w:ascii="宋体" w:hAnsi="宋体" w:eastAsia="宋体" w:cs="宋体"/>
                <w:color w:val="auto"/>
                <w:szCs w:val="21"/>
                <w:highlight w:val="none"/>
              </w:rPr>
            </w:pPr>
          </w:p>
        </w:tc>
        <w:tc>
          <w:tcPr>
            <w:tcW w:w="1095" w:type="dxa"/>
            <w:vMerge w:val="restart"/>
            <w:shd w:val="clear" w:color="auto" w:fill="BEBEBE"/>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低压</w:t>
            </w:r>
          </w:p>
        </w:tc>
        <w:tc>
          <w:tcPr>
            <w:tcW w:w="1935" w:type="dxa"/>
            <w:gridSpan w:val="2"/>
            <w:shd w:val="clear" w:color="auto" w:fill="BEBEBE"/>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中压</w:t>
            </w:r>
          </w:p>
        </w:tc>
        <w:tc>
          <w:tcPr>
            <w:tcW w:w="1834" w:type="dxa"/>
            <w:gridSpan w:val="2"/>
            <w:shd w:val="clear" w:color="auto" w:fill="BEBEBE"/>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次高压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blHeader/>
          <w:jc w:val="center"/>
        </w:trPr>
        <w:tc>
          <w:tcPr>
            <w:tcW w:w="3658" w:type="dxa"/>
            <w:gridSpan w:val="2"/>
            <w:vMerge w:val="continue"/>
            <w:shd w:val="clear" w:color="auto" w:fill="BEBEBE"/>
            <w:vAlign w:val="center"/>
          </w:tcPr>
          <w:p>
            <w:pPr>
              <w:spacing w:line="400" w:lineRule="exact"/>
              <w:jc w:val="center"/>
              <w:rPr>
                <w:rFonts w:hint="eastAsia" w:ascii="宋体" w:hAnsi="宋体" w:eastAsia="宋体" w:cs="宋体"/>
                <w:color w:val="auto"/>
                <w:szCs w:val="21"/>
                <w:highlight w:val="none"/>
              </w:rPr>
            </w:pPr>
          </w:p>
        </w:tc>
        <w:tc>
          <w:tcPr>
            <w:tcW w:w="1095" w:type="dxa"/>
            <w:vMerge w:val="continue"/>
            <w:shd w:val="clear" w:color="auto" w:fill="BEBEBE"/>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jc w:val="center"/>
              <w:textAlignment w:val="auto"/>
              <w:outlineLvl w:val="9"/>
              <w:rPr>
                <w:rFonts w:hint="eastAsia" w:ascii="宋体" w:hAnsi="宋体" w:eastAsia="宋体" w:cs="宋体"/>
                <w:color w:val="auto"/>
                <w:szCs w:val="21"/>
                <w:highlight w:val="none"/>
              </w:rPr>
            </w:pPr>
          </w:p>
        </w:tc>
        <w:tc>
          <w:tcPr>
            <w:tcW w:w="990" w:type="dxa"/>
            <w:shd w:val="clear" w:color="auto" w:fill="BEBEBE"/>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B</w:t>
            </w:r>
          </w:p>
        </w:tc>
        <w:tc>
          <w:tcPr>
            <w:tcW w:w="945" w:type="dxa"/>
            <w:shd w:val="clear" w:color="auto" w:fill="BEBEBE"/>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A</w:t>
            </w:r>
          </w:p>
        </w:tc>
        <w:tc>
          <w:tcPr>
            <w:tcW w:w="930" w:type="dxa"/>
            <w:shd w:val="clear" w:color="auto" w:fill="BEBEBE"/>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B</w:t>
            </w:r>
          </w:p>
        </w:tc>
        <w:tc>
          <w:tcPr>
            <w:tcW w:w="904" w:type="dxa"/>
            <w:shd w:val="clear" w:color="auto" w:fill="BEBEBE"/>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486" w:type="dxa"/>
            <w:vMerge w:val="restart"/>
            <w:vAlign w:val="center"/>
          </w:tcPr>
          <w:p>
            <w:pPr>
              <w:spacing w:line="4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建筑物</w:t>
            </w:r>
          </w:p>
        </w:tc>
        <w:tc>
          <w:tcPr>
            <w:tcW w:w="2172" w:type="dxa"/>
            <w:vAlign w:val="center"/>
          </w:tcPr>
          <w:p>
            <w:pPr>
              <w:spacing w:line="4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基础</w:t>
            </w:r>
          </w:p>
        </w:tc>
        <w:tc>
          <w:tcPr>
            <w:tcW w:w="1095"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0.7</w:t>
            </w:r>
          </w:p>
        </w:tc>
        <w:tc>
          <w:tcPr>
            <w:tcW w:w="990"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1.0</w:t>
            </w:r>
          </w:p>
        </w:tc>
        <w:tc>
          <w:tcPr>
            <w:tcW w:w="945"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1.5</w:t>
            </w:r>
          </w:p>
        </w:tc>
        <w:tc>
          <w:tcPr>
            <w:tcW w:w="930"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w:t>
            </w:r>
          </w:p>
        </w:tc>
        <w:tc>
          <w:tcPr>
            <w:tcW w:w="904"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486" w:type="dxa"/>
            <w:vMerge w:val="continue"/>
            <w:vAlign w:val="center"/>
          </w:tcPr>
          <w:p>
            <w:pPr>
              <w:spacing w:line="400" w:lineRule="exact"/>
              <w:jc w:val="center"/>
              <w:rPr>
                <w:rFonts w:hint="eastAsia" w:ascii="宋体" w:hAnsi="宋体" w:eastAsia="宋体" w:cs="宋体"/>
                <w:color w:val="auto"/>
                <w:szCs w:val="21"/>
                <w:highlight w:val="none"/>
              </w:rPr>
            </w:pPr>
          </w:p>
        </w:tc>
        <w:tc>
          <w:tcPr>
            <w:tcW w:w="2172" w:type="dxa"/>
            <w:vAlign w:val="center"/>
          </w:tcPr>
          <w:p>
            <w:pPr>
              <w:spacing w:line="4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外墙面（出地面处）</w:t>
            </w:r>
          </w:p>
        </w:tc>
        <w:tc>
          <w:tcPr>
            <w:tcW w:w="1095"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w:t>
            </w:r>
          </w:p>
        </w:tc>
        <w:tc>
          <w:tcPr>
            <w:tcW w:w="990"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w:t>
            </w:r>
          </w:p>
        </w:tc>
        <w:tc>
          <w:tcPr>
            <w:tcW w:w="945"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w:t>
            </w:r>
          </w:p>
        </w:tc>
        <w:tc>
          <w:tcPr>
            <w:tcW w:w="930"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4.5</w:t>
            </w:r>
          </w:p>
        </w:tc>
        <w:tc>
          <w:tcPr>
            <w:tcW w:w="904"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6.5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658" w:type="dxa"/>
            <w:gridSpan w:val="2"/>
            <w:vAlign w:val="center"/>
          </w:tcPr>
          <w:p>
            <w:pPr>
              <w:spacing w:line="4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给水管</w:t>
            </w:r>
          </w:p>
        </w:tc>
        <w:tc>
          <w:tcPr>
            <w:tcW w:w="1095"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0.5</w:t>
            </w:r>
          </w:p>
        </w:tc>
        <w:tc>
          <w:tcPr>
            <w:tcW w:w="990"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0.5</w:t>
            </w:r>
          </w:p>
        </w:tc>
        <w:tc>
          <w:tcPr>
            <w:tcW w:w="945"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0.5</w:t>
            </w:r>
          </w:p>
        </w:tc>
        <w:tc>
          <w:tcPr>
            <w:tcW w:w="930"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1.0</w:t>
            </w:r>
          </w:p>
        </w:tc>
        <w:tc>
          <w:tcPr>
            <w:tcW w:w="904"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658" w:type="dxa"/>
            <w:gridSpan w:val="2"/>
            <w:vAlign w:val="center"/>
          </w:tcPr>
          <w:p>
            <w:pPr>
              <w:spacing w:line="4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污水、雨水排水管</w:t>
            </w:r>
          </w:p>
        </w:tc>
        <w:tc>
          <w:tcPr>
            <w:tcW w:w="1095"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1.0</w:t>
            </w:r>
          </w:p>
        </w:tc>
        <w:tc>
          <w:tcPr>
            <w:tcW w:w="990"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1.2</w:t>
            </w:r>
          </w:p>
        </w:tc>
        <w:tc>
          <w:tcPr>
            <w:tcW w:w="945"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1.2</w:t>
            </w:r>
          </w:p>
        </w:tc>
        <w:tc>
          <w:tcPr>
            <w:tcW w:w="930"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1.5</w:t>
            </w:r>
          </w:p>
        </w:tc>
        <w:tc>
          <w:tcPr>
            <w:tcW w:w="904"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486" w:type="dxa"/>
            <w:vMerge w:val="restart"/>
            <w:vAlign w:val="center"/>
          </w:tcPr>
          <w:p>
            <w:pPr>
              <w:spacing w:line="4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电力电缆（含电车电缆）</w:t>
            </w:r>
          </w:p>
        </w:tc>
        <w:tc>
          <w:tcPr>
            <w:tcW w:w="2172" w:type="dxa"/>
            <w:vAlign w:val="center"/>
          </w:tcPr>
          <w:p>
            <w:pPr>
              <w:spacing w:line="4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直埋</w:t>
            </w:r>
          </w:p>
        </w:tc>
        <w:tc>
          <w:tcPr>
            <w:tcW w:w="1095"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0.5</w:t>
            </w:r>
          </w:p>
        </w:tc>
        <w:tc>
          <w:tcPr>
            <w:tcW w:w="990"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0.5</w:t>
            </w:r>
          </w:p>
        </w:tc>
        <w:tc>
          <w:tcPr>
            <w:tcW w:w="945"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0.5</w:t>
            </w:r>
          </w:p>
        </w:tc>
        <w:tc>
          <w:tcPr>
            <w:tcW w:w="930"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1.0</w:t>
            </w:r>
          </w:p>
        </w:tc>
        <w:tc>
          <w:tcPr>
            <w:tcW w:w="904"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486" w:type="dxa"/>
            <w:vMerge w:val="continue"/>
            <w:vAlign w:val="center"/>
          </w:tcPr>
          <w:p>
            <w:pPr>
              <w:spacing w:line="400" w:lineRule="exact"/>
              <w:jc w:val="center"/>
              <w:rPr>
                <w:rFonts w:hint="eastAsia" w:ascii="宋体" w:hAnsi="宋体" w:eastAsia="宋体" w:cs="宋体"/>
                <w:color w:val="auto"/>
                <w:szCs w:val="21"/>
                <w:highlight w:val="none"/>
              </w:rPr>
            </w:pPr>
          </w:p>
        </w:tc>
        <w:tc>
          <w:tcPr>
            <w:tcW w:w="2172" w:type="dxa"/>
            <w:vAlign w:val="center"/>
          </w:tcPr>
          <w:p>
            <w:pPr>
              <w:spacing w:line="4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在导管内</w:t>
            </w:r>
          </w:p>
        </w:tc>
        <w:tc>
          <w:tcPr>
            <w:tcW w:w="1095"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1.0</w:t>
            </w:r>
          </w:p>
        </w:tc>
        <w:tc>
          <w:tcPr>
            <w:tcW w:w="990"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1.0</w:t>
            </w:r>
          </w:p>
        </w:tc>
        <w:tc>
          <w:tcPr>
            <w:tcW w:w="945"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1.0</w:t>
            </w:r>
          </w:p>
        </w:tc>
        <w:tc>
          <w:tcPr>
            <w:tcW w:w="930"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1.0</w:t>
            </w:r>
          </w:p>
        </w:tc>
        <w:tc>
          <w:tcPr>
            <w:tcW w:w="904"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486" w:type="dxa"/>
            <w:vMerge w:val="restart"/>
            <w:vAlign w:val="center"/>
          </w:tcPr>
          <w:p>
            <w:pPr>
              <w:spacing w:line="4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通信电缆</w:t>
            </w:r>
          </w:p>
        </w:tc>
        <w:tc>
          <w:tcPr>
            <w:tcW w:w="2172" w:type="dxa"/>
            <w:vAlign w:val="center"/>
          </w:tcPr>
          <w:p>
            <w:pPr>
              <w:spacing w:line="4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直埋</w:t>
            </w:r>
          </w:p>
        </w:tc>
        <w:tc>
          <w:tcPr>
            <w:tcW w:w="1095"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0.5</w:t>
            </w:r>
          </w:p>
        </w:tc>
        <w:tc>
          <w:tcPr>
            <w:tcW w:w="990"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0.5</w:t>
            </w:r>
          </w:p>
        </w:tc>
        <w:tc>
          <w:tcPr>
            <w:tcW w:w="945"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0.5</w:t>
            </w:r>
          </w:p>
        </w:tc>
        <w:tc>
          <w:tcPr>
            <w:tcW w:w="930"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1.0</w:t>
            </w:r>
          </w:p>
        </w:tc>
        <w:tc>
          <w:tcPr>
            <w:tcW w:w="904"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486" w:type="dxa"/>
            <w:vMerge w:val="continue"/>
            <w:vAlign w:val="center"/>
          </w:tcPr>
          <w:p>
            <w:pPr>
              <w:spacing w:line="400" w:lineRule="exact"/>
              <w:jc w:val="center"/>
              <w:rPr>
                <w:rFonts w:hint="eastAsia" w:ascii="宋体" w:hAnsi="宋体" w:eastAsia="宋体" w:cs="宋体"/>
                <w:color w:val="auto"/>
                <w:szCs w:val="21"/>
                <w:highlight w:val="none"/>
              </w:rPr>
            </w:pPr>
          </w:p>
        </w:tc>
        <w:tc>
          <w:tcPr>
            <w:tcW w:w="2172" w:type="dxa"/>
            <w:vAlign w:val="center"/>
          </w:tcPr>
          <w:p>
            <w:pPr>
              <w:spacing w:line="4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在导管内</w:t>
            </w:r>
          </w:p>
        </w:tc>
        <w:tc>
          <w:tcPr>
            <w:tcW w:w="1095"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1.0</w:t>
            </w:r>
          </w:p>
        </w:tc>
        <w:tc>
          <w:tcPr>
            <w:tcW w:w="990"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1.0</w:t>
            </w:r>
          </w:p>
        </w:tc>
        <w:tc>
          <w:tcPr>
            <w:tcW w:w="945"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1.0</w:t>
            </w:r>
          </w:p>
        </w:tc>
        <w:tc>
          <w:tcPr>
            <w:tcW w:w="930"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1.0</w:t>
            </w:r>
          </w:p>
        </w:tc>
        <w:tc>
          <w:tcPr>
            <w:tcW w:w="904"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486" w:type="dxa"/>
            <w:vMerge w:val="restart"/>
            <w:vAlign w:val="center"/>
          </w:tcPr>
          <w:p>
            <w:pPr>
              <w:spacing w:line="4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其他燃气管道</w:t>
            </w:r>
          </w:p>
        </w:tc>
        <w:tc>
          <w:tcPr>
            <w:tcW w:w="2172" w:type="dxa"/>
            <w:vAlign w:val="center"/>
          </w:tcPr>
          <w:p>
            <w:pPr>
              <w:spacing w:line="4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DN</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300mm</w:t>
            </w:r>
          </w:p>
        </w:tc>
        <w:tc>
          <w:tcPr>
            <w:tcW w:w="1095"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0.4</w:t>
            </w:r>
          </w:p>
        </w:tc>
        <w:tc>
          <w:tcPr>
            <w:tcW w:w="990"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0.4</w:t>
            </w:r>
          </w:p>
        </w:tc>
        <w:tc>
          <w:tcPr>
            <w:tcW w:w="945"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0.4</w:t>
            </w:r>
          </w:p>
        </w:tc>
        <w:tc>
          <w:tcPr>
            <w:tcW w:w="930"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0.4</w:t>
            </w:r>
          </w:p>
        </w:tc>
        <w:tc>
          <w:tcPr>
            <w:tcW w:w="904"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0.4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486" w:type="dxa"/>
            <w:vMerge w:val="continue"/>
            <w:vAlign w:val="center"/>
          </w:tcPr>
          <w:p>
            <w:pPr>
              <w:spacing w:line="400" w:lineRule="exact"/>
              <w:jc w:val="center"/>
              <w:rPr>
                <w:rFonts w:hint="eastAsia" w:ascii="宋体" w:hAnsi="宋体" w:eastAsia="宋体" w:cs="宋体"/>
                <w:color w:val="auto"/>
                <w:szCs w:val="21"/>
                <w:highlight w:val="none"/>
              </w:rPr>
            </w:pPr>
          </w:p>
        </w:tc>
        <w:tc>
          <w:tcPr>
            <w:tcW w:w="2172" w:type="dxa"/>
            <w:vAlign w:val="center"/>
          </w:tcPr>
          <w:p>
            <w:pPr>
              <w:spacing w:line="4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DN</w:t>
            </w: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300mm</w:t>
            </w:r>
          </w:p>
        </w:tc>
        <w:tc>
          <w:tcPr>
            <w:tcW w:w="1095"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0.5</w:t>
            </w:r>
          </w:p>
        </w:tc>
        <w:tc>
          <w:tcPr>
            <w:tcW w:w="990"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0.5</w:t>
            </w:r>
          </w:p>
        </w:tc>
        <w:tc>
          <w:tcPr>
            <w:tcW w:w="945"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0.5</w:t>
            </w:r>
          </w:p>
        </w:tc>
        <w:tc>
          <w:tcPr>
            <w:tcW w:w="930"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0.5</w:t>
            </w:r>
          </w:p>
        </w:tc>
        <w:tc>
          <w:tcPr>
            <w:tcW w:w="904"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486" w:type="dxa"/>
            <w:vMerge w:val="restart"/>
            <w:vAlign w:val="center"/>
          </w:tcPr>
          <w:p>
            <w:pPr>
              <w:spacing w:line="4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热力管</w:t>
            </w:r>
          </w:p>
        </w:tc>
        <w:tc>
          <w:tcPr>
            <w:tcW w:w="2172" w:type="dxa"/>
            <w:vAlign w:val="center"/>
          </w:tcPr>
          <w:p>
            <w:pPr>
              <w:spacing w:line="4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直埋</w:t>
            </w:r>
          </w:p>
        </w:tc>
        <w:tc>
          <w:tcPr>
            <w:tcW w:w="1095"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1.0</w:t>
            </w:r>
          </w:p>
        </w:tc>
        <w:tc>
          <w:tcPr>
            <w:tcW w:w="990"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1.0</w:t>
            </w:r>
          </w:p>
        </w:tc>
        <w:tc>
          <w:tcPr>
            <w:tcW w:w="945"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1.0</w:t>
            </w:r>
          </w:p>
        </w:tc>
        <w:tc>
          <w:tcPr>
            <w:tcW w:w="930"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1.5</w:t>
            </w:r>
          </w:p>
        </w:tc>
        <w:tc>
          <w:tcPr>
            <w:tcW w:w="904"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486" w:type="dxa"/>
            <w:vMerge w:val="continue"/>
            <w:vAlign w:val="center"/>
          </w:tcPr>
          <w:p>
            <w:pPr>
              <w:spacing w:line="400" w:lineRule="exact"/>
              <w:jc w:val="center"/>
              <w:rPr>
                <w:rFonts w:hint="eastAsia" w:ascii="宋体" w:hAnsi="宋体" w:eastAsia="宋体" w:cs="宋体"/>
                <w:color w:val="auto"/>
                <w:szCs w:val="21"/>
                <w:highlight w:val="none"/>
              </w:rPr>
            </w:pPr>
          </w:p>
        </w:tc>
        <w:tc>
          <w:tcPr>
            <w:tcW w:w="2172" w:type="dxa"/>
            <w:vAlign w:val="center"/>
          </w:tcPr>
          <w:p>
            <w:pPr>
              <w:spacing w:line="4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在管沟内（至外壁）</w:t>
            </w:r>
          </w:p>
        </w:tc>
        <w:tc>
          <w:tcPr>
            <w:tcW w:w="1095"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1.0</w:t>
            </w:r>
          </w:p>
        </w:tc>
        <w:tc>
          <w:tcPr>
            <w:tcW w:w="990" w:type="dxa"/>
            <w:vAlign w:val="center"/>
          </w:tcPr>
          <w:p>
            <w:pPr>
              <w:keepNext w:val="0"/>
              <w:keepLines w:val="0"/>
              <w:pageBreakBefore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1.5</w:t>
            </w:r>
          </w:p>
        </w:tc>
        <w:tc>
          <w:tcPr>
            <w:tcW w:w="945" w:type="dxa"/>
            <w:vAlign w:val="center"/>
          </w:tcPr>
          <w:p>
            <w:pPr>
              <w:keepNext w:val="0"/>
              <w:keepLines w:val="0"/>
              <w:pageBreakBefore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1.5</w:t>
            </w:r>
          </w:p>
        </w:tc>
        <w:tc>
          <w:tcPr>
            <w:tcW w:w="930" w:type="dxa"/>
            <w:vAlign w:val="center"/>
          </w:tcPr>
          <w:p>
            <w:pPr>
              <w:keepNext w:val="0"/>
              <w:keepLines w:val="0"/>
              <w:pageBreakBefore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2.0</w:t>
            </w:r>
          </w:p>
        </w:tc>
        <w:tc>
          <w:tcPr>
            <w:tcW w:w="904" w:type="dxa"/>
            <w:vAlign w:val="center"/>
          </w:tcPr>
          <w:p>
            <w:pPr>
              <w:keepNext w:val="0"/>
              <w:keepLines w:val="0"/>
              <w:pageBreakBefore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486" w:type="dxa"/>
            <w:vMerge w:val="restart"/>
            <w:vAlign w:val="center"/>
          </w:tcPr>
          <w:p>
            <w:pPr>
              <w:spacing w:line="4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电杆（塔）的基础</w:t>
            </w:r>
          </w:p>
        </w:tc>
        <w:tc>
          <w:tcPr>
            <w:tcW w:w="2172" w:type="dxa"/>
            <w:vAlign w:val="center"/>
          </w:tcPr>
          <w:p>
            <w:pPr>
              <w:spacing w:line="4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35k</w:t>
            </w:r>
            <w:r>
              <w:rPr>
                <w:rFonts w:hint="eastAsia" w:ascii="宋体" w:hAnsi="宋体" w:eastAsia="宋体" w:cs="宋体"/>
                <w:color w:val="auto"/>
                <w:szCs w:val="21"/>
                <w:highlight w:val="none"/>
                <w:lang w:val="en-US" w:eastAsia="zh-CN"/>
              </w:rPr>
              <w:t>V</w:t>
            </w:r>
          </w:p>
        </w:tc>
        <w:tc>
          <w:tcPr>
            <w:tcW w:w="1095"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1.0</w:t>
            </w:r>
          </w:p>
        </w:tc>
        <w:tc>
          <w:tcPr>
            <w:tcW w:w="990" w:type="dxa"/>
            <w:vAlign w:val="center"/>
          </w:tcPr>
          <w:p>
            <w:pPr>
              <w:keepNext w:val="0"/>
              <w:keepLines w:val="0"/>
              <w:pageBreakBefore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1.0</w:t>
            </w:r>
          </w:p>
        </w:tc>
        <w:tc>
          <w:tcPr>
            <w:tcW w:w="945" w:type="dxa"/>
            <w:vAlign w:val="center"/>
          </w:tcPr>
          <w:p>
            <w:pPr>
              <w:keepNext w:val="0"/>
              <w:keepLines w:val="0"/>
              <w:pageBreakBefore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1.0</w:t>
            </w:r>
          </w:p>
        </w:tc>
        <w:tc>
          <w:tcPr>
            <w:tcW w:w="930" w:type="dxa"/>
            <w:vAlign w:val="center"/>
          </w:tcPr>
          <w:p>
            <w:pPr>
              <w:keepNext w:val="0"/>
              <w:keepLines w:val="0"/>
              <w:pageBreakBefore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1.0</w:t>
            </w:r>
          </w:p>
        </w:tc>
        <w:tc>
          <w:tcPr>
            <w:tcW w:w="904" w:type="dxa"/>
            <w:vAlign w:val="center"/>
          </w:tcPr>
          <w:p>
            <w:pPr>
              <w:keepNext w:val="0"/>
              <w:keepLines w:val="0"/>
              <w:pageBreakBefore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486" w:type="dxa"/>
            <w:vMerge w:val="continue"/>
            <w:vAlign w:val="center"/>
          </w:tcPr>
          <w:p>
            <w:pPr>
              <w:spacing w:line="400" w:lineRule="exact"/>
              <w:jc w:val="center"/>
              <w:rPr>
                <w:rFonts w:hint="eastAsia" w:ascii="宋体" w:hAnsi="宋体" w:eastAsia="宋体" w:cs="宋体"/>
                <w:color w:val="auto"/>
                <w:szCs w:val="21"/>
                <w:highlight w:val="none"/>
              </w:rPr>
            </w:pPr>
          </w:p>
        </w:tc>
        <w:tc>
          <w:tcPr>
            <w:tcW w:w="2172" w:type="dxa"/>
            <w:vAlign w:val="center"/>
          </w:tcPr>
          <w:p>
            <w:pPr>
              <w:spacing w:line="4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lang w:eastAsia="zh-CN"/>
              </w:rPr>
              <w:t>＞</w:t>
            </w:r>
            <w:r>
              <w:rPr>
                <w:rFonts w:hint="eastAsia" w:ascii="宋体" w:hAnsi="宋体" w:eastAsia="宋体" w:cs="宋体"/>
                <w:color w:val="auto"/>
                <w:szCs w:val="21"/>
                <w:highlight w:val="none"/>
              </w:rPr>
              <w:t>35k</w:t>
            </w:r>
            <w:r>
              <w:rPr>
                <w:rFonts w:hint="eastAsia" w:ascii="宋体" w:hAnsi="宋体" w:eastAsia="宋体" w:cs="宋体"/>
                <w:color w:val="auto"/>
                <w:szCs w:val="21"/>
                <w:highlight w:val="none"/>
                <w:lang w:val="en-US" w:eastAsia="zh-CN"/>
              </w:rPr>
              <w:t>V</w:t>
            </w:r>
          </w:p>
        </w:tc>
        <w:tc>
          <w:tcPr>
            <w:tcW w:w="1095"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2.0</w:t>
            </w:r>
          </w:p>
        </w:tc>
        <w:tc>
          <w:tcPr>
            <w:tcW w:w="990" w:type="dxa"/>
            <w:vAlign w:val="center"/>
          </w:tcPr>
          <w:p>
            <w:pPr>
              <w:keepNext w:val="0"/>
              <w:keepLines w:val="0"/>
              <w:pageBreakBefore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2.0</w:t>
            </w:r>
          </w:p>
        </w:tc>
        <w:tc>
          <w:tcPr>
            <w:tcW w:w="945" w:type="dxa"/>
            <w:vAlign w:val="center"/>
          </w:tcPr>
          <w:p>
            <w:pPr>
              <w:keepNext w:val="0"/>
              <w:keepLines w:val="0"/>
              <w:pageBreakBefore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2.0</w:t>
            </w:r>
          </w:p>
        </w:tc>
        <w:tc>
          <w:tcPr>
            <w:tcW w:w="930" w:type="dxa"/>
            <w:vAlign w:val="center"/>
          </w:tcPr>
          <w:p>
            <w:pPr>
              <w:keepNext w:val="0"/>
              <w:keepLines w:val="0"/>
              <w:pageBreakBefore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5.0</w:t>
            </w:r>
          </w:p>
        </w:tc>
        <w:tc>
          <w:tcPr>
            <w:tcW w:w="904" w:type="dxa"/>
            <w:vAlign w:val="center"/>
          </w:tcPr>
          <w:p>
            <w:pPr>
              <w:keepNext w:val="0"/>
              <w:keepLines w:val="0"/>
              <w:pageBreakBefore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658" w:type="dxa"/>
            <w:gridSpan w:val="2"/>
            <w:vAlign w:val="center"/>
          </w:tcPr>
          <w:p>
            <w:pPr>
              <w:spacing w:line="4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通讯照明电杆（指电杆中心）</w:t>
            </w:r>
          </w:p>
        </w:tc>
        <w:tc>
          <w:tcPr>
            <w:tcW w:w="1095"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1.0</w:t>
            </w:r>
          </w:p>
        </w:tc>
        <w:tc>
          <w:tcPr>
            <w:tcW w:w="990" w:type="dxa"/>
            <w:vAlign w:val="center"/>
          </w:tcPr>
          <w:p>
            <w:pPr>
              <w:keepNext w:val="0"/>
              <w:keepLines w:val="0"/>
              <w:pageBreakBefore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1.0</w:t>
            </w:r>
          </w:p>
        </w:tc>
        <w:tc>
          <w:tcPr>
            <w:tcW w:w="945" w:type="dxa"/>
            <w:vAlign w:val="center"/>
          </w:tcPr>
          <w:p>
            <w:pPr>
              <w:keepNext w:val="0"/>
              <w:keepLines w:val="0"/>
              <w:pageBreakBefore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1.0</w:t>
            </w:r>
          </w:p>
        </w:tc>
        <w:tc>
          <w:tcPr>
            <w:tcW w:w="930" w:type="dxa"/>
            <w:vAlign w:val="center"/>
          </w:tcPr>
          <w:p>
            <w:pPr>
              <w:keepNext w:val="0"/>
              <w:keepLines w:val="0"/>
              <w:pageBreakBefore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1.0</w:t>
            </w:r>
          </w:p>
        </w:tc>
        <w:tc>
          <w:tcPr>
            <w:tcW w:w="904" w:type="dxa"/>
            <w:vAlign w:val="center"/>
          </w:tcPr>
          <w:p>
            <w:pPr>
              <w:keepNext w:val="0"/>
              <w:keepLines w:val="0"/>
              <w:pageBreakBefore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658" w:type="dxa"/>
            <w:gridSpan w:val="2"/>
            <w:vAlign w:val="center"/>
          </w:tcPr>
          <w:p>
            <w:pPr>
              <w:spacing w:line="4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铁路路堤坡脚</w:t>
            </w:r>
          </w:p>
        </w:tc>
        <w:tc>
          <w:tcPr>
            <w:tcW w:w="1095"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5.0</w:t>
            </w:r>
          </w:p>
        </w:tc>
        <w:tc>
          <w:tcPr>
            <w:tcW w:w="990" w:type="dxa"/>
            <w:vAlign w:val="center"/>
          </w:tcPr>
          <w:p>
            <w:pPr>
              <w:keepNext w:val="0"/>
              <w:keepLines w:val="0"/>
              <w:pageBreakBefore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5.0</w:t>
            </w:r>
          </w:p>
        </w:tc>
        <w:tc>
          <w:tcPr>
            <w:tcW w:w="945" w:type="dxa"/>
            <w:vAlign w:val="center"/>
          </w:tcPr>
          <w:p>
            <w:pPr>
              <w:keepNext w:val="0"/>
              <w:keepLines w:val="0"/>
              <w:pageBreakBefore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5.0</w:t>
            </w:r>
          </w:p>
        </w:tc>
        <w:tc>
          <w:tcPr>
            <w:tcW w:w="930" w:type="dxa"/>
            <w:vAlign w:val="center"/>
          </w:tcPr>
          <w:p>
            <w:pPr>
              <w:keepNext w:val="0"/>
              <w:keepLines w:val="0"/>
              <w:pageBreakBefore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5.0</w:t>
            </w:r>
          </w:p>
        </w:tc>
        <w:tc>
          <w:tcPr>
            <w:tcW w:w="904" w:type="dxa"/>
            <w:vAlign w:val="center"/>
          </w:tcPr>
          <w:p>
            <w:pPr>
              <w:keepNext w:val="0"/>
              <w:keepLines w:val="0"/>
              <w:pageBreakBefore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658" w:type="dxa"/>
            <w:gridSpan w:val="2"/>
            <w:vAlign w:val="center"/>
          </w:tcPr>
          <w:p>
            <w:pPr>
              <w:spacing w:line="4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有轨电车钢轨</w:t>
            </w:r>
          </w:p>
        </w:tc>
        <w:tc>
          <w:tcPr>
            <w:tcW w:w="1095"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2.0</w:t>
            </w:r>
          </w:p>
        </w:tc>
        <w:tc>
          <w:tcPr>
            <w:tcW w:w="990" w:type="dxa"/>
            <w:vAlign w:val="center"/>
          </w:tcPr>
          <w:p>
            <w:pPr>
              <w:keepNext w:val="0"/>
              <w:keepLines w:val="0"/>
              <w:pageBreakBefore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2.0</w:t>
            </w:r>
          </w:p>
        </w:tc>
        <w:tc>
          <w:tcPr>
            <w:tcW w:w="945" w:type="dxa"/>
            <w:vAlign w:val="center"/>
          </w:tcPr>
          <w:p>
            <w:pPr>
              <w:keepNext w:val="0"/>
              <w:keepLines w:val="0"/>
              <w:pageBreakBefore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2.0</w:t>
            </w:r>
          </w:p>
        </w:tc>
        <w:tc>
          <w:tcPr>
            <w:tcW w:w="930" w:type="dxa"/>
            <w:vAlign w:val="center"/>
          </w:tcPr>
          <w:p>
            <w:pPr>
              <w:keepNext w:val="0"/>
              <w:keepLines w:val="0"/>
              <w:pageBreakBefore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2.0</w:t>
            </w:r>
          </w:p>
        </w:tc>
        <w:tc>
          <w:tcPr>
            <w:tcW w:w="904" w:type="dxa"/>
            <w:vAlign w:val="center"/>
          </w:tcPr>
          <w:p>
            <w:pPr>
              <w:keepNext w:val="0"/>
              <w:keepLines w:val="0"/>
              <w:pageBreakBefore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658" w:type="dxa"/>
            <w:gridSpan w:val="2"/>
            <w:vAlign w:val="center"/>
          </w:tcPr>
          <w:p>
            <w:pPr>
              <w:spacing w:line="400" w:lineRule="exact"/>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街树（至树中心）</w:t>
            </w:r>
          </w:p>
        </w:tc>
        <w:tc>
          <w:tcPr>
            <w:tcW w:w="1095" w:type="dxa"/>
            <w:vAlign w:val="center"/>
          </w:tcPr>
          <w:p>
            <w:pPr>
              <w:keepNext w:val="0"/>
              <w:keepLines w:val="0"/>
              <w:pageBreakBefore w:val="0"/>
              <w:widowControl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0.75</w:t>
            </w:r>
          </w:p>
        </w:tc>
        <w:tc>
          <w:tcPr>
            <w:tcW w:w="990" w:type="dxa"/>
            <w:vAlign w:val="center"/>
          </w:tcPr>
          <w:p>
            <w:pPr>
              <w:keepNext w:val="0"/>
              <w:keepLines w:val="0"/>
              <w:pageBreakBefore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0.75</w:t>
            </w:r>
          </w:p>
        </w:tc>
        <w:tc>
          <w:tcPr>
            <w:tcW w:w="945" w:type="dxa"/>
            <w:vAlign w:val="center"/>
          </w:tcPr>
          <w:p>
            <w:pPr>
              <w:keepNext w:val="0"/>
              <w:keepLines w:val="0"/>
              <w:pageBreakBefore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0.75</w:t>
            </w:r>
          </w:p>
        </w:tc>
        <w:tc>
          <w:tcPr>
            <w:tcW w:w="930" w:type="dxa"/>
            <w:vAlign w:val="center"/>
          </w:tcPr>
          <w:p>
            <w:pPr>
              <w:keepNext w:val="0"/>
              <w:keepLines w:val="0"/>
              <w:pageBreakBefore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1.2</w:t>
            </w:r>
          </w:p>
        </w:tc>
        <w:tc>
          <w:tcPr>
            <w:tcW w:w="904" w:type="dxa"/>
            <w:vAlign w:val="center"/>
          </w:tcPr>
          <w:p>
            <w:pPr>
              <w:keepNext w:val="0"/>
              <w:keepLines w:val="0"/>
              <w:pageBreakBefore w:val="0"/>
              <w:kinsoku/>
              <w:wordWrap/>
              <w:overflowPunct/>
              <w:topLinePunct w:val="0"/>
              <w:autoSpaceDE/>
              <w:autoSpaceDN/>
              <w:bidi w:val="0"/>
              <w:adjustRightInd/>
              <w:snapToGrid/>
              <w:spacing w:before="0" w:beforeLines="0" w:after="0" w:afterLines="0" w:line="400" w:lineRule="exact"/>
              <w:ind w:left="0" w:leftChars="0" w:right="0" w:rightChars="0" w:firstLine="0" w:firstLineChars="0"/>
              <w:jc w:val="center"/>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1.2</w:t>
            </w:r>
          </w:p>
        </w:tc>
      </w:tr>
    </w:tbl>
    <w:p>
      <w:pPr>
        <w:spacing w:line="560" w:lineRule="exact"/>
        <w:ind w:firstLine="480" w:firstLineChars="200"/>
        <w:rPr>
          <w:rFonts w:hint="eastAsia" w:ascii="宋体" w:hAnsi="宋体" w:eastAsia="宋体" w:cs="宋体"/>
          <w:color w:val="auto"/>
          <w:sz w:val="24"/>
          <w:highlight w:val="none"/>
          <w:lang w:eastAsia="zh-CN"/>
        </w:rPr>
      </w:pPr>
    </w:p>
    <w:p>
      <w:pPr>
        <w:spacing w:line="560" w:lineRule="exact"/>
        <w:ind w:firstLine="480" w:firstLineChars="200"/>
        <w:rPr>
          <w:rFonts w:hint="eastAsia" w:ascii="宋体" w:hAnsi="宋体" w:eastAsia="宋体" w:cs="宋体"/>
          <w:color w:val="auto"/>
          <w:sz w:val="24"/>
          <w:highlight w:val="none"/>
          <w:lang w:eastAsia="zh-CN"/>
        </w:rPr>
      </w:pPr>
    </w:p>
    <w:p>
      <w:pPr>
        <w:spacing w:line="560" w:lineRule="exact"/>
        <w:ind w:firstLine="480" w:firstLineChars="200"/>
        <w:rPr>
          <w:rFonts w:hint="eastAsia" w:ascii="宋体" w:hAnsi="宋体" w:eastAsia="宋体" w:cs="宋体"/>
          <w:color w:val="auto"/>
          <w:sz w:val="24"/>
          <w:highlight w:val="none"/>
          <w:lang w:eastAsia="zh-CN"/>
        </w:rPr>
      </w:pPr>
    </w:p>
    <w:p>
      <w:pPr>
        <w:spacing w:line="56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rPr>
        <w:t>地下燃气管道与构筑物或相邻管道之间的垂直净距（m）</w:t>
      </w:r>
    </w:p>
    <w:tbl>
      <w:tblPr>
        <w:tblStyle w:val="20"/>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1"/>
        <w:gridCol w:w="42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blHeader/>
          <w:jc w:val="center"/>
        </w:trPr>
        <w:tc>
          <w:tcPr>
            <w:tcW w:w="4261" w:type="dxa"/>
            <w:gridSpan w:val="2"/>
            <w:shd w:val="clear" w:color="auto" w:fill="BEBEBE"/>
            <w:vAlign w:val="top"/>
          </w:tcPr>
          <w:p>
            <w:pPr>
              <w:keepNext w:val="0"/>
              <w:keepLines w:val="0"/>
              <w:pageBreakBefore w:val="0"/>
              <w:widowControl w:val="0"/>
              <w:kinsoku/>
              <w:wordWrap/>
              <w:overflowPunct/>
              <w:topLinePunct w:val="0"/>
              <w:autoSpaceDE/>
              <w:autoSpaceDN/>
              <w:bidi w:val="0"/>
              <w:adjustRightInd/>
              <w:snapToGrid/>
              <w:spacing w:line="400" w:lineRule="exact"/>
              <w:ind w:left="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项      目</w:t>
            </w:r>
          </w:p>
        </w:tc>
        <w:tc>
          <w:tcPr>
            <w:tcW w:w="4261" w:type="dxa"/>
            <w:shd w:val="clear" w:color="auto" w:fill="BEBEBE"/>
            <w:vAlign w:val="top"/>
          </w:tcPr>
          <w:p>
            <w:pPr>
              <w:keepNext w:val="0"/>
              <w:keepLines w:val="0"/>
              <w:pageBreakBefore w:val="0"/>
              <w:widowControl w:val="0"/>
              <w:kinsoku/>
              <w:wordWrap/>
              <w:overflowPunct/>
              <w:topLinePunct w:val="0"/>
              <w:autoSpaceDE/>
              <w:autoSpaceDN/>
              <w:bidi w:val="0"/>
              <w:adjustRightInd/>
              <w:snapToGrid/>
              <w:spacing w:line="400" w:lineRule="exact"/>
              <w:ind w:left="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地下燃气管道（当有套管时，以套管计）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261" w:type="dxa"/>
            <w:gridSpan w:val="2"/>
            <w:vAlign w:val="top"/>
          </w:tcPr>
          <w:p>
            <w:pPr>
              <w:keepNext w:val="0"/>
              <w:keepLines w:val="0"/>
              <w:pageBreakBefore w:val="0"/>
              <w:widowControl w:val="0"/>
              <w:kinsoku/>
              <w:wordWrap/>
              <w:overflowPunct/>
              <w:topLinePunct w:val="0"/>
              <w:autoSpaceDE/>
              <w:autoSpaceDN/>
              <w:bidi w:val="0"/>
              <w:adjustRightInd/>
              <w:snapToGrid/>
              <w:spacing w:line="400" w:lineRule="exact"/>
              <w:ind w:left="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给水管、排水管或其它燃气管道</w:t>
            </w:r>
          </w:p>
        </w:tc>
        <w:tc>
          <w:tcPr>
            <w:tcW w:w="4261"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0.15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261" w:type="dxa"/>
            <w:gridSpan w:val="2"/>
            <w:vAlign w:val="top"/>
          </w:tcPr>
          <w:p>
            <w:pPr>
              <w:keepNext w:val="0"/>
              <w:keepLines w:val="0"/>
              <w:pageBreakBefore w:val="0"/>
              <w:widowControl w:val="0"/>
              <w:kinsoku/>
              <w:wordWrap/>
              <w:overflowPunct/>
              <w:topLinePunct w:val="0"/>
              <w:autoSpaceDE/>
              <w:autoSpaceDN/>
              <w:bidi w:val="0"/>
              <w:adjustRightInd/>
              <w:snapToGrid/>
              <w:spacing w:line="400" w:lineRule="exact"/>
              <w:ind w:left="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热力管的管沟底（或顶）</w:t>
            </w:r>
          </w:p>
        </w:tc>
        <w:tc>
          <w:tcPr>
            <w:tcW w:w="4261"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0.15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130" w:type="dxa"/>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ind w:left="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电  缆</w:t>
            </w:r>
          </w:p>
        </w:tc>
        <w:tc>
          <w:tcPr>
            <w:tcW w:w="2131"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直  埋</w:t>
            </w:r>
          </w:p>
        </w:tc>
        <w:tc>
          <w:tcPr>
            <w:tcW w:w="4261"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0.50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130"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ind w:left="0" w:firstLine="0" w:firstLineChars="0"/>
              <w:jc w:val="center"/>
              <w:textAlignment w:val="auto"/>
              <w:outlineLvl w:val="9"/>
              <w:rPr>
                <w:rFonts w:hint="eastAsia" w:ascii="宋体" w:hAnsi="宋体" w:eastAsia="宋体" w:cs="宋体"/>
                <w:color w:val="auto"/>
                <w:szCs w:val="21"/>
                <w:highlight w:val="none"/>
              </w:rPr>
            </w:pPr>
          </w:p>
        </w:tc>
        <w:tc>
          <w:tcPr>
            <w:tcW w:w="2131"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在导管内</w:t>
            </w:r>
          </w:p>
        </w:tc>
        <w:tc>
          <w:tcPr>
            <w:tcW w:w="4261"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0.15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261"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ind w:left="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铁路轨底</w:t>
            </w:r>
          </w:p>
        </w:tc>
        <w:tc>
          <w:tcPr>
            <w:tcW w:w="4261"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1.20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261" w:type="dxa"/>
            <w:gridSpan w:val="2"/>
            <w:vAlign w:val="center"/>
          </w:tcPr>
          <w:p>
            <w:pPr>
              <w:keepNext w:val="0"/>
              <w:keepLines w:val="0"/>
              <w:pageBreakBefore w:val="0"/>
              <w:widowControl w:val="0"/>
              <w:kinsoku/>
              <w:wordWrap/>
              <w:overflowPunct/>
              <w:topLinePunct w:val="0"/>
              <w:autoSpaceDE/>
              <w:autoSpaceDN/>
              <w:bidi w:val="0"/>
              <w:adjustRightInd/>
              <w:snapToGrid/>
              <w:spacing w:line="400" w:lineRule="exact"/>
              <w:ind w:left="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有轨电车轨道</w:t>
            </w:r>
          </w:p>
        </w:tc>
        <w:tc>
          <w:tcPr>
            <w:tcW w:w="4261"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firstLine="0" w:firstLine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1.00</w:t>
            </w:r>
          </w:p>
        </w:tc>
      </w:tr>
    </w:tbl>
    <w:p>
      <w:pPr>
        <w:spacing w:line="560" w:lineRule="exact"/>
        <w:ind w:firstLine="420" w:firstLineChars="200"/>
        <w:rPr>
          <w:rFonts w:hint="eastAsia" w:ascii="宋体" w:hAnsi="宋体" w:eastAsia="宋体" w:cs="宋体"/>
          <w:color w:val="auto"/>
          <w:sz w:val="24"/>
          <w:highlight w:val="none"/>
          <w:lang w:val="en-US" w:eastAsia="zh-CN"/>
        </w:rPr>
      </w:pPr>
      <w:bookmarkStart w:id="11" w:name="_Toc444681434"/>
      <w:bookmarkStart w:id="12" w:name="_Toc444682644"/>
      <w:bookmarkStart w:id="13" w:name="_Toc444651997"/>
      <w:r>
        <w:rPr>
          <w:rFonts w:hint="eastAsia" w:ascii="宋体" w:hAnsi="宋体" w:eastAsia="宋体" w:cs="宋体"/>
          <w:color w:val="auto"/>
          <w:sz w:val="21"/>
          <w:szCs w:val="21"/>
          <w:highlight w:val="none"/>
          <w:lang w:val="en-US" w:eastAsia="zh-CN"/>
        </w:rPr>
        <w:t>注：上述两表中燃气管道为压力不大于1.6MPa的燃气管道。</w:t>
      </w:r>
    </w:p>
    <w:p>
      <w:pPr>
        <w:spacing w:line="56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lang w:val="en-US" w:eastAsia="zh-CN"/>
        </w:rPr>
        <w:t>4、</w:t>
      </w:r>
      <w:r>
        <w:rPr>
          <w:rFonts w:hint="eastAsia" w:ascii="宋体" w:hAnsi="宋体" w:eastAsia="宋体" w:cs="宋体"/>
          <w:color w:val="auto"/>
          <w:sz w:val="24"/>
          <w:highlight w:val="none"/>
        </w:rPr>
        <w:t>管道防腐</w:t>
      </w:r>
    </w:p>
    <w:p>
      <w:pPr>
        <w:spacing w:line="560" w:lineRule="exact"/>
        <w:ind w:firstLine="480" w:firstLineChars="200"/>
        <w:rPr>
          <w:rFonts w:hint="eastAsia" w:ascii="宋体" w:hAnsi="宋体" w:eastAsia="宋体" w:cs="宋体"/>
          <w:color w:val="auto"/>
          <w:sz w:val="24"/>
          <w:highlight w:val="none"/>
          <w:lang w:val="en-US" w:eastAsia="zh-CN"/>
        </w:rPr>
      </w:pPr>
      <w:r>
        <w:rPr>
          <w:rFonts w:hint="eastAsia" w:ascii="宋体" w:hAnsi="宋体" w:eastAsia="宋体" w:cs="宋体"/>
          <w:color w:val="auto"/>
          <w:sz w:val="24"/>
          <w:highlight w:val="none"/>
        </w:rPr>
        <w:t>燃气管道腐蚀后会蚀穿、断裂。漏气后会着火、爆炸。破坏正常平稳供气，影响用户的生产和生活。不仅造成经济财产损失，也会威胁人民的生命安全。因此，</w:t>
      </w:r>
      <w:r>
        <w:rPr>
          <w:rFonts w:hint="eastAsia" w:ascii="宋体" w:hAnsi="宋体" w:eastAsia="宋体" w:cs="宋体"/>
          <w:color w:val="auto"/>
          <w:sz w:val="24"/>
          <w:highlight w:val="none"/>
          <w:lang w:val="en-US" w:eastAsia="zh-CN"/>
        </w:rPr>
        <w:t>燃气管道的防腐至关重要，必须做好。</w:t>
      </w:r>
    </w:p>
    <w:p>
      <w:pPr>
        <w:spacing w:line="560" w:lineRule="exact"/>
        <w:ind w:firstLine="480" w:firstLineChars="200"/>
        <w:rPr>
          <w:rFonts w:hint="eastAsia" w:ascii="宋体" w:hAnsi="宋体" w:eastAsia="宋体" w:cs="宋体"/>
          <w:color w:val="auto"/>
          <w:sz w:val="24"/>
          <w:highlight w:val="none"/>
          <w:lang w:val="en-US" w:eastAsia="zh-CN"/>
        </w:rPr>
      </w:pPr>
      <w:r>
        <w:rPr>
          <w:rFonts w:hint="eastAsia" w:ascii="宋体" w:hAnsi="宋体" w:eastAsia="宋体" w:cs="宋体"/>
          <w:color w:val="auto"/>
          <w:sz w:val="24"/>
          <w:highlight w:val="none"/>
          <w:lang w:val="en-US" w:eastAsia="zh-CN"/>
        </w:rPr>
        <w:t>钢制管道防腐层是控制管道腐蚀，保证管道使用寿命的一项重要措施，而防腐层材料的选择是极其关键的。借鉴国内近年来钢制管道外防腐层材料的应用情况和技术发展状况，立足技术先进、经济合理和施工方便的可行性，结合管道的工况条件和管道沿线的自然地理环境，从而选择适宜管道敷设环境的外防腐层，确保管道在使用寿命期限内安全、稳定的运行。规划管道外防腐层的选择应遵循以下原则：</w:t>
      </w:r>
    </w:p>
    <w:p>
      <w:pPr>
        <w:spacing w:line="560" w:lineRule="exact"/>
        <w:ind w:firstLine="480" w:firstLineChars="200"/>
        <w:rPr>
          <w:rFonts w:hint="eastAsia" w:ascii="宋体" w:hAnsi="宋体" w:eastAsia="宋体" w:cs="宋体"/>
          <w:color w:val="auto"/>
          <w:sz w:val="24"/>
          <w:highlight w:val="none"/>
          <w:lang w:val="en-US" w:eastAsia="zh-CN"/>
        </w:rPr>
      </w:pPr>
      <w:r>
        <w:rPr>
          <w:rFonts w:hint="eastAsia" w:ascii="宋体" w:hAnsi="宋体" w:eastAsia="宋体" w:cs="宋体"/>
          <w:color w:val="auto"/>
          <w:sz w:val="24"/>
          <w:highlight w:val="none"/>
          <w:lang w:val="en-US" w:eastAsia="zh-CN"/>
        </w:rPr>
        <w:t>（1）适用于管道经过地段的地质环境，具有优良的物理机械性能，耐土壤腐蚀能力强，尤其是抗冲击性要好；</w:t>
      </w:r>
    </w:p>
    <w:p>
      <w:pPr>
        <w:spacing w:line="560" w:lineRule="exact"/>
        <w:ind w:firstLine="480" w:firstLineChars="200"/>
        <w:rPr>
          <w:rFonts w:hint="eastAsia" w:ascii="宋体" w:hAnsi="宋体" w:eastAsia="宋体" w:cs="宋体"/>
          <w:color w:val="auto"/>
          <w:sz w:val="24"/>
          <w:highlight w:val="none"/>
          <w:lang w:val="en-US" w:eastAsia="zh-CN"/>
        </w:rPr>
      </w:pPr>
      <w:r>
        <w:rPr>
          <w:rFonts w:hint="eastAsia" w:ascii="宋体" w:hAnsi="宋体" w:eastAsia="宋体" w:cs="宋体"/>
          <w:color w:val="auto"/>
          <w:sz w:val="24"/>
          <w:highlight w:val="none"/>
          <w:lang w:val="en-US" w:eastAsia="zh-CN"/>
        </w:rPr>
        <w:t>（2）耐植物根茎穿透，吸水率低，电绝缘性、耐阴极剥离性好；</w:t>
      </w:r>
    </w:p>
    <w:p>
      <w:pPr>
        <w:spacing w:line="560" w:lineRule="exact"/>
        <w:ind w:firstLine="480" w:firstLineChars="200"/>
        <w:rPr>
          <w:rFonts w:hint="eastAsia" w:ascii="宋体" w:hAnsi="宋体" w:eastAsia="宋体" w:cs="宋体"/>
          <w:color w:val="auto"/>
          <w:sz w:val="24"/>
          <w:highlight w:val="none"/>
          <w:lang w:val="en-US" w:eastAsia="zh-CN"/>
        </w:rPr>
      </w:pPr>
      <w:r>
        <w:rPr>
          <w:rFonts w:hint="eastAsia" w:ascii="宋体" w:hAnsi="宋体" w:eastAsia="宋体" w:cs="宋体"/>
          <w:color w:val="auto"/>
          <w:sz w:val="24"/>
          <w:highlight w:val="none"/>
          <w:lang w:val="en-US" w:eastAsia="zh-CN"/>
        </w:rPr>
        <w:t>（3）对金属表面的附着力好，使用寿命长（&gt;30年）；</w:t>
      </w:r>
    </w:p>
    <w:p>
      <w:pPr>
        <w:spacing w:line="560" w:lineRule="exact"/>
        <w:ind w:firstLine="480" w:firstLineChars="200"/>
        <w:rPr>
          <w:rFonts w:hint="eastAsia" w:ascii="宋体" w:hAnsi="宋体" w:eastAsia="宋体" w:cs="宋体"/>
          <w:color w:val="auto"/>
          <w:sz w:val="24"/>
          <w:highlight w:val="none"/>
          <w:lang w:val="en-US" w:eastAsia="zh-CN"/>
        </w:rPr>
      </w:pPr>
      <w:r>
        <w:rPr>
          <w:rFonts w:hint="eastAsia" w:ascii="宋体" w:hAnsi="宋体" w:eastAsia="宋体" w:cs="宋体"/>
          <w:color w:val="auto"/>
          <w:sz w:val="24"/>
          <w:highlight w:val="none"/>
          <w:lang w:val="en-US" w:eastAsia="zh-CN"/>
        </w:rPr>
        <w:t>（4）防腐材料来源广泛，易于机械化施工，无污染或污染很小；</w:t>
      </w:r>
    </w:p>
    <w:p>
      <w:pPr>
        <w:spacing w:line="560" w:lineRule="exact"/>
        <w:ind w:firstLine="480" w:firstLineChars="200"/>
        <w:rPr>
          <w:rFonts w:hint="eastAsia" w:ascii="宋体" w:hAnsi="宋体" w:eastAsia="宋体" w:cs="宋体"/>
          <w:color w:val="auto"/>
          <w:sz w:val="24"/>
          <w:highlight w:val="none"/>
          <w:lang w:val="en-US" w:eastAsia="zh-CN"/>
        </w:rPr>
      </w:pPr>
      <w:r>
        <w:rPr>
          <w:rFonts w:hint="eastAsia" w:ascii="宋体" w:hAnsi="宋体" w:eastAsia="宋体" w:cs="宋体"/>
          <w:color w:val="auto"/>
          <w:sz w:val="24"/>
          <w:highlight w:val="none"/>
          <w:lang w:val="en-US" w:eastAsia="zh-CN"/>
        </w:rPr>
        <w:t>（5）涂敷工艺成熟，涂层质量易保证和控制，易于预制、运输和补口；</w:t>
      </w:r>
    </w:p>
    <w:p>
      <w:pPr>
        <w:spacing w:line="560" w:lineRule="exact"/>
        <w:ind w:firstLine="480" w:firstLineChars="200"/>
        <w:rPr>
          <w:rFonts w:hint="eastAsia" w:ascii="宋体" w:hAnsi="宋体" w:eastAsia="宋体" w:cs="宋体"/>
          <w:color w:val="auto"/>
          <w:sz w:val="24"/>
          <w:highlight w:val="none"/>
          <w:lang w:val="en-US" w:eastAsia="zh-CN"/>
        </w:rPr>
      </w:pPr>
      <w:r>
        <w:rPr>
          <w:rFonts w:hint="eastAsia" w:ascii="宋体" w:hAnsi="宋体" w:eastAsia="宋体" w:cs="宋体"/>
          <w:color w:val="auto"/>
          <w:sz w:val="24"/>
          <w:highlight w:val="none"/>
          <w:lang w:val="en-US" w:eastAsia="zh-CN"/>
        </w:rPr>
        <w:t>（6）防腐性能好，价格合理。</w:t>
      </w:r>
    </w:p>
    <w:p>
      <w:pPr>
        <w:spacing w:line="560" w:lineRule="exact"/>
        <w:ind w:firstLine="480" w:firstLineChars="200"/>
        <w:rPr>
          <w:rFonts w:hint="eastAsia" w:ascii="宋体" w:hAnsi="宋体" w:eastAsia="宋体" w:cs="宋体"/>
          <w:color w:val="auto"/>
          <w:sz w:val="24"/>
          <w:highlight w:val="none"/>
          <w:lang w:val="en-US" w:eastAsia="zh-CN"/>
        </w:rPr>
      </w:pPr>
      <w:r>
        <w:rPr>
          <w:rFonts w:hint="eastAsia" w:ascii="宋体" w:hAnsi="宋体" w:eastAsia="宋体" w:cs="宋体"/>
          <w:color w:val="auto"/>
          <w:sz w:val="24"/>
          <w:highlight w:val="none"/>
          <w:lang w:val="en-US" w:eastAsia="zh-CN"/>
        </w:rPr>
        <w:t>目前，最为常用防腐材料有：聚乙烯三层复合结构防腐层（简称三层PE）、挤塑聚乙烯（二夹克）、熔结环氧粉末、煤焦油瓷漆、聚乙烯胶带、环氧煤沥青、石油沥青、双层熔结环氧粉末涂层等。各种防腐层的主要优缺点见下表。</w:t>
      </w:r>
    </w:p>
    <w:p>
      <w:pPr>
        <w:pStyle w:val="16"/>
        <w:keepNext w:val="0"/>
        <w:keepLines w:val="0"/>
        <w:pageBreakBefore w:val="0"/>
        <w:widowControl w:val="0"/>
        <w:kinsoku/>
        <w:wordWrap/>
        <w:overflowPunct/>
        <w:topLinePunct w:val="0"/>
        <w:autoSpaceDE/>
        <w:autoSpaceDN/>
        <w:bidi w:val="0"/>
        <w:adjustRightInd/>
        <w:spacing w:after="0" w:afterLines="0" w:line="560" w:lineRule="exact"/>
        <w:ind w:left="0" w:leftChars="0" w:right="0" w:rightChars="0" w:firstLine="480" w:firstLineChars="200"/>
        <w:jc w:val="both"/>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常用涂层对比表</w:t>
      </w:r>
    </w:p>
    <w:tbl>
      <w:tblPr>
        <w:tblStyle w:val="20"/>
        <w:tblW w:w="8805"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328"/>
        <w:gridCol w:w="3879"/>
        <w:gridCol w:w="3598"/>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tblHeader/>
        </w:trPr>
        <w:tc>
          <w:tcPr>
            <w:tcW w:w="1328" w:type="dxa"/>
            <w:shd w:val="clear" w:color="auto" w:fill="BEBEBE"/>
            <w:vAlign w:val="center"/>
          </w:tcPr>
          <w:p>
            <w:pPr>
              <w:keepNext w:val="0"/>
              <w:keepLines w:val="0"/>
              <w:pageBreakBefore w:val="0"/>
              <w:widowControl w:val="0"/>
              <w:kinsoku/>
              <w:wordWrap/>
              <w:overflowPunct/>
              <w:topLinePunct w:val="0"/>
              <w:autoSpaceDE/>
              <w:autoSpaceDN/>
              <w:bidi w:val="0"/>
              <w:adjustRightInd/>
              <w:snapToGrid/>
              <w:spacing w:line="380" w:lineRule="exact"/>
              <w:ind w:left="0" w:left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涂层</w:t>
            </w:r>
          </w:p>
        </w:tc>
        <w:tc>
          <w:tcPr>
            <w:tcW w:w="3879" w:type="dxa"/>
            <w:shd w:val="clear" w:color="auto" w:fill="BEBEBE"/>
            <w:vAlign w:val="center"/>
          </w:tcPr>
          <w:p>
            <w:pPr>
              <w:keepNext w:val="0"/>
              <w:keepLines w:val="0"/>
              <w:pageBreakBefore w:val="0"/>
              <w:widowControl w:val="0"/>
              <w:kinsoku/>
              <w:wordWrap/>
              <w:overflowPunct/>
              <w:topLinePunct w:val="0"/>
              <w:autoSpaceDE/>
              <w:autoSpaceDN/>
              <w:bidi w:val="0"/>
              <w:adjustRightInd/>
              <w:snapToGrid/>
              <w:spacing w:line="380" w:lineRule="exact"/>
              <w:ind w:left="0" w:left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优点</w:t>
            </w:r>
          </w:p>
        </w:tc>
        <w:tc>
          <w:tcPr>
            <w:tcW w:w="3598" w:type="dxa"/>
            <w:shd w:val="clear" w:color="auto" w:fill="BEBEBE"/>
            <w:vAlign w:val="center"/>
          </w:tcPr>
          <w:p>
            <w:pPr>
              <w:keepNext w:val="0"/>
              <w:keepLines w:val="0"/>
              <w:pageBreakBefore w:val="0"/>
              <w:widowControl w:val="0"/>
              <w:kinsoku/>
              <w:wordWrap/>
              <w:overflowPunct/>
              <w:topLinePunct w:val="0"/>
              <w:autoSpaceDE/>
              <w:autoSpaceDN/>
              <w:bidi w:val="0"/>
              <w:adjustRightInd/>
              <w:snapToGrid/>
              <w:spacing w:line="380" w:lineRule="exact"/>
              <w:ind w:left="0" w:left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缺点</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28" w:type="dxa"/>
            <w:vAlign w:val="center"/>
          </w:tcPr>
          <w:p>
            <w:pPr>
              <w:keepNext w:val="0"/>
              <w:keepLines w:val="0"/>
              <w:pageBreakBefore w:val="0"/>
              <w:widowControl w:val="0"/>
              <w:kinsoku/>
              <w:wordWrap/>
              <w:overflowPunct/>
              <w:topLinePunct w:val="0"/>
              <w:autoSpaceDE/>
              <w:autoSpaceDN/>
              <w:bidi w:val="0"/>
              <w:adjustRightInd/>
              <w:snapToGrid/>
              <w:spacing w:line="380" w:lineRule="exact"/>
              <w:ind w:left="0" w:left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熔结环氧</w:t>
            </w:r>
          </w:p>
        </w:tc>
        <w:tc>
          <w:tcPr>
            <w:tcW w:w="3879" w:type="dxa"/>
            <w:vAlign w:val="center"/>
          </w:tcPr>
          <w:p>
            <w:pPr>
              <w:pStyle w:val="11"/>
              <w:keepNext w:val="0"/>
              <w:keepLines w:val="0"/>
              <w:pageBreakBefore w:val="0"/>
              <w:widowControl w:val="0"/>
              <w:kinsoku/>
              <w:wordWrap/>
              <w:overflowPunct/>
              <w:topLinePunct w:val="0"/>
              <w:autoSpaceDE/>
              <w:autoSpaceDN/>
              <w:bidi w:val="0"/>
              <w:adjustRightInd/>
              <w:snapToGrid/>
              <w:spacing w:before="0" w:after="0" w:line="380" w:lineRule="exact"/>
              <w:ind w:left="0" w:leftChars="0" w:right="0" w:rightChars="0" w:firstLine="0" w:firstLineChars="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与钢管粘结力高、耐化学介质浸泡绝缘性能好、使用温度范围宽，磨擦系数小，与阴极保护配合好。</w:t>
            </w:r>
          </w:p>
        </w:tc>
        <w:tc>
          <w:tcPr>
            <w:tcW w:w="3598" w:type="dxa"/>
            <w:vAlign w:val="center"/>
          </w:tcPr>
          <w:p>
            <w:pPr>
              <w:keepNext w:val="0"/>
              <w:keepLines w:val="0"/>
              <w:pageBreakBefore w:val="0"/>
              <w:widowControl w:val="0"/>
              <w:kinsoku/>
              <w:wordWrap/>
              <w:overflowPunct/>
              <w:topLinePunct w:val="0"/>
              <w:autoSpaceDE/>
              <w:autoSpaceDN/>
              <w:bidi w:val="0"/>
              <w:adjustRightInd/>
              <w:snapToGrid/>
              <w:spacing w:line="380" w:lineRule="exact"/>
              <w:ind w:left="0" w:leftChars="0"/>
              <w:jc w:val="both"/>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涂层太薄，装卸、运输、施工极易受伤，补口、补伤工艺复杂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28" w:type="dxa"/>
            <w:vAlign w:val="center"/>
          </w:tcPr>
          <w:p>
            <w:pPr>
              <w:keepNext w:val="0"/>
              <w:keepLines w:val="0"/>
              <w:pageBreakBefore w:val="0"/>
              <w:widowControl w:val="0"/>
              <w:kinsoku/>
              <w:wordWrap/>
              <w:overflowPunct/>
              <w:topLinePunct w:val="0"/>
              <w:autoSpaceDE/>
              <w:autoSpaceDN/>
              <w:bidi w:val="0"/>
              <w:adjustRightInd/>
              <w:snapToGrid/>
              <w:spacing w:line="380" w:lineRule="exact"/>
              <w:ind w:left="0" w:left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三层PE</w:t>
            </w:r>
          </w:p>
        </w:tc>
        <w:tc>
          <w:tcPr>
            <w:tcW w:w="3879" w:type="dxa"/>
            <w:vAlign w:val="center"/>
          </w:tcPr>
          <w:p>
            <w:pPr>
              <w:keepNext w:val="0"/>
              <w:keepLines w:val="0"/>
              <w:pageBreakBefore w:val="0"/>
              <w:widowControl w:val="0"/>
              <w:kinsoku/>
              <w:wordWrap/>
              <w:overflowPunct/>
              <w:topLinePunct w:val="0"/>
              <w:autoSpaceDE/>
              <w:autoSpaceDN/>
              <w:bidi w:val="0"/>
              <w:adjustRightInd/>
              <w:snapToGrid/>
              <w:spacing w:line="380" w:lineRule="exact"/>
              <w:ind w:left="0" w:leftChars="0"/>
              <w:jc w:val="both"/>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与钢管粘结力高，机械物理性能好，耐化学介质浸泡、绝缘电阻高、修补方便</w:t>
            </w:r>
          </w:p>
        </w:tc>
        <w:tc>
          <w:tcPr>
            <w:tcW w:w="3598" w:type="dxa"/>
            <w:vAlign w:val="center"/>
          </w:tcPr>
          <w:p>
            <w:pPr>
              <w:keepNext w:val="0"/>
              <w:keepLines w:val="0"/>
              <w:pageBreakBefore w:val="0"/>
              <w:widowControl w:val="0"/>
              <w:kinsoku/>
              <w:wordWrap/>
              <w:overflowPunct/>
              <w:topLinePunct w:val="0"/>
              <w:autoSpaceDE/>
              <w:autoSpaceDN/>
              <w:bidi w:val="0"/>
              <w:adjustRightInd/>
              <w:snapToGrid/>
              <w:spacing w:line="380" w:lineRule="exact"/>
              <w:ind w:left="0" w:leftChars="0"/>
              <w:jc w:val="both"/>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预制工艺复杂、造价较高，补口质量达不到三层结构PE的质量要求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28" w:type="dxa"/>
            <w:vAlign w:val="center"/>
          </w:tcPr>
          <w:p>
            <w:pPr>
              <w:keepNext w:val="0"/>
              <w:keepLines w:val="0"/>
              <w:pageBreakBefore w:val="0"/>
              <w:widowControl w:val="0"/>
              <w:kinsoku/>
              <w:wordWrap/>
              <w:overflowPunct/>
              <w:topLinePunct w:val="0"/>
              <w:autoSpaceDE/>
              <w:autoSpaceDN/>
              <w:bidi w:val="0"/>
              <w:adjustRightInd/>
              <w:snapToGrid/>
              <w:spacing w:line="380" w:lineRule="exact"/>
              <w:ind w:left="0" w:left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煤焦油瓷漆</w:t>
            </w:r>
          </w:p>
        </w:tc>
        <w:tc>
          <w:tcPr>
            <w:tcW w:w="3879" w:type="dxa"/>
            <w:vAlign w:val="center"/>
          </w:tcPr>
          <w:p>
            <w:pPr>
              <w:keepNext w:val="0"/>
              <w:keepLines w:val="0"/>
              <w:pageBreakBefore w:val="0"/>
              <w:widowControl w:val="0"/>
              <w:kinsoku/>
              <w:wordWrap/>
              <w:overflowPunct/>
              <w:topLinePunct w:val="0"/>
              <w:autoSpaceDE/>
              <w:autoSpaceDN/>
              <w:bidi w:val="0"/>
              <w:adjustRightInd/>
              <w:snapToGrid/>
              <w:spacing w:line="380" w:lineRule="exact"/>
              <w:ind w:left="0" w:leftChars="0"/>
              <w:jc w:val="both"/>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防腐性能好、耐化学介质浸泡，不怕植物根扎，修补方便</w:t>
            </w:r>
          </w:p>
        </w:tc>
        <w:tc>
          <w:tcPr>
            <w:tcW w:w="3598" w:type="dxa"/>
            <w:vAlign w:val="center"/>
          </w:tcPr>
          <w:p>
            <w:pPr>
              <w:keepNext w:val="0"/>
              <w:keepLines w:val="0"/>
              <w:pageBreakBefore w:val="0"/>
              <w:widowControl w:val="0"/>
              <w:kinsoku/>
              <w:wordWrap/>
              <w:overflowPunct/>
              <w:topLinePunct w:val="0"/>
              <w:autoSpaceDE/>
              <w:autoSpaceDN/>
              <w:bidi w:val="0"/>
              <w:adjustRightInd/>
              <w:snapToGrid/>
              <w:spacing w:line="380" w:lineRule="exact"/>
              <w:ind w:left="0" w:leftChars="0"/>
              <w:jc w:val="both"/>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绝缘电阻不高、机械性能差，低温发脆、易污染环境、维修工作量大</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28" w:type="dxa"/>
            <w:vAlign w:val="center"/>
          </w:tcPr>
          <w:p>
            <w:pPr>
              <w:keepNext w:val="0"/>
              <w:keepLines w:val="0"/>
              <w:pageBreakBefore w:val="0"/>
              <w:widowControl w:val="0"/>
              <w:kinsoku/>
              <w:wordWrap/>
              <w:overflowPunct/>
              <w:topLinePunct w:val="0"/>
              <w:autoSpaceDE/>
              <w:autoSpaceDN/>
              <w:bidi w:val="0"/>
              <w:adjustRightInd/>
              <w:snapToGrid/>
              <w:spacing w:line="380" w:lineRule="exact"/>
              <w:ind w:left="0" w:left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聚乙烯胶带</w:t>
            </w:r>
          </w:p>
        </w:tc>
        <w:tc>
          <w:tcPr>
            <w:tcW w:w="3879" w:type="dxa"/>
            <w:vAlign w:val="center"/>
          </w:tcPr>
          <w:p>
            <w:pPr>
              <w:keepNext w:val="0"/>
              <w:keepLines w:val="0"/>
              <w:pageBreakBefore w:val="0"/>
              <w:widowControl w:val="0"/>
              <w:kinsoku/>
              <w:wordWrap/>
              <w:overflowPunct/>
              <w:topLinePunct w:val="0"/>
              <w:autoSpaceDE/>
              <w:autoSpaceDN/>
              <w:bidi w:val="0"/>
              <w:adjustRightInd/>
              <w:snapToGrid/>
              <w:spacing w:line="380" w:lineRule="exact"/>
              <w:ind w:left="0" w:leftChars="0"/>
              <w:jc w:val="both"/>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易于机械化施工、绝缘电阻较高</w:t>
            </w:r>
          </w:p>
        </w:tc>
        <w:tc>
          <w:tcPr>
            <w:tcW w:w="3598" w:type="dxa"/>
            <w:vAlign w:val="center"/>
          </w:tcPr>
          <w:p>
            <w:pPr>
              <w:pStyle w:val="11"/>
              <w:keepNext w:val="0"/>
              <w:keepLines w:val="0"/>
              <w:pageBreakBefore w:val="0"/>
              <w:widowControl w:val="0"/>
              <w:kinsoku/>
              <w:wordWrap/>
              <w:overflowPunct/>
              <w:topLinePunct w:val="0"/>
              <w:autoSpaceDE/>
              <w:autoSpaceDN/>
              <w:bidi w:val="0"/>
              <w:adjustRightInd/>
              <w:snapToGrid/>
              <w:spacing w:line="380" w:lineRule="exact"/>
              <w:ind w:left="0" w:leftChars="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机械性能较差、不耐机械损伤</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28" w:type="dxa"/>
            <w:vAlign w:val="center"/>
          </w:tcPr>
          <w:p>
            <w:pPr>
              <w:keepNext w:val="0"/>
              <w:keepLines w:val="0"/>
              <w:pageBreakBefore w:val="0"/>
              <w:widowControl w:val="0"/>
              <w:kinsoku/>
              <w:wordWrap/>
              <w:overflowPunct/>
              <w:topLinePunct w:val="0"/>
              <w:autoSpaceDE/>
              <w:autoSpaceDN/>
              <w:bidi w:val="0"/>
              <w:adjustRightInd/>
              <w:snapToGrid/>
              <w:spacing w:line="380" w:lineRule="exact"/>
              <w:ind w:left="0" w:left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石油沥青</w:t>
            </w:r>
          </w:p>
        </w:tc>
        <w:tc>
          <w:tcPr>
            <w:tcW w:w="3879" w:type="dxa"/>
            <w:vAlign w:val="center"/>
          </w:tcPr>
          <w:p>
            <w:pPr>
              <w:keepNext w:val="0"/>
              <w:keepLines w:val="0"/>
              <w:pageBreakBefore w:val="0"/>
              <w:widowControl w:val="0"/>
              <w:kinsoku/>
              <w:wordWrap/>
              <w:overflowPunct/>
              <w:topLinePunct w:val="0"/>
              <w:autoSpaceDE/>
              <w:autoSpaceDN/>
              <w:bidi w:val="0"/>
              <w:adjustRightInd/>
              <w:snapToGrid/>
              <w:spacing w:line="380" w:lineRule="exact"/>
              <w:ind w:left="0" w:leftChars="0"/>
              <w:jc w:val="both"/>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造价低，施工技术成熟，修补方便</w:t>
            </w:r>
          </w:p>
        </w:tc>
        <w:tc>
          <w:tcPr>
            <w:tcW w:w="3598" w:type="dxa"/>
            <w:vAlign w:val="center"/>
          </w:tcPr>
          <w:p>
            <w:pPr>
              <w:keepNext w:val="0"/>
              <w:keepLines w:val="0"/>
              <w:pageBreakBefore w:val="0"/>
              <w:widowControl w:val="0"/>
              <w:kinsoku/>
              <w:wordWrap/>
              <w:overflowPunct/>
              <w:topLinePunct w:val="0"/>
              <w:autoSpaceDE/>
              <w:autoSpaceDN/>
              <w:bidi w:val="0"/>
              <w:adjustRightInd/>
              <w:snapToGrid/>
              <w:spacing w:line="380" w:lineRule="exact"/>
              <w:ind w:left="0" w:leftChars="0"/>
              <w:jc w:val="both"/>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绝缘电阻不高，机械性能差，不耐细菌侵蚀、植物根系易穿入、使用寿命不长、维护工作量大、易污染环境</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28" w:type="dxa"/>
            <w:vAlign w:val="center"/>
          </w:tcPr>
          <w:p>
            <w:pPr>
              <w:keepNext w:val="0"/>
              <w:keepLines w:val="0"/>
              <w:pageBreakBefore w:val="0"/>
              <w:widowControl w:val="0"/>
              <w:kinsoku/>
              <w:wordWrap/>
              <w:overflowPunct/>
              <w:topLinePunct w:val="0"/>
              <w:autoSpaceDE/>
              <w:autoSpaceDN/>
              <w:bidi w:val="0"/>
              <w:adjustRightInd/>
              <w:snapToGrid/>
              <w:spacing w:line="380" w:lineRule="exact"/>
              <w:ind w:left="0" w:left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环氧煤沥青</w:t>
            </w:r>
          </w:p>
        </w:tc>
        <w:tc>
          <w:tcPr>
            <w:tcW w:w="3879" w:type="dxa"/>
            <w:vAlign w:val="center"/>
          </w:tcPr>
          <w:p>
            <w:pPr>
              <w:keepNext w:val="0"/>
              <w:keepLines w:val="0"/>
              <w:pageBreakBefore w:val="0"/>
              <w:widowControl w:val="0"/>
              <w:kinsoku/>
              <w:wordWrap/>
              <w:overflowPunct/>
              <w:topLinePunct w:val="0"/>
              <w:autoSpaceDE/>
              <w:autoSpaceDN/>
              <w:bidi w:val="0"/>
              <w:adjustRightInd/>
              <w:snapToGrid/>
              <w:spacing w:line="380" w:lineRule="exact"/>
              <w:ind w:left="0" w:leftChars="0"/>
              <w:jc w:val="both"/>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具有环氧树脂优良的物理、化学性能和煤焦油沥青优良的耐水、抗生物性能</w:t>
            </w:r>
          </w:p>
        </w:tc>
        <w:tc>
          <w:tcPr>
            <w:tcW w:w="3598" w:type="dxa"/>
            <w:vAlign w:val="center"/>
          </w:tcPr>
          <w:p>
            <w:pPr>
              <w:keepNext w:val="0"/>
              <w:keepLines w:val="0"/>
              <w:pageBreakBefore w:val="0"/>
              <w:widowControl w:val="0"/>
              <w:kinsoku/>
              <w:wordWrap/>
              <w:overflowPunct/>
              <w:topLinePunct w:val="0"/>
              <w:autoSpaceDE/>
              <w:autoSpaceDN/>
              <w:bidi w:val="0"/>
              <w:adjustRightInd/>
              <w:snapToGrid/>
              <w:spacing w:line="380" w:lineRule="exact"/>
              <w:ind w:left="0" w:leftChars="0"/>
              <w:jc w:val="both"/>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双组分，施工质量不易保证。</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28" w:type="dxa"/>
            <w:vAlign w:val="center"/>
          </w:tcPr>
          <w:p>
            <w:pPr>
              <w:keepNext w:val="0"/>
              <w:keepLines w:val="0"/>
              <w:pageBreakBefore w:val="0"/>
              <w:widowControl w:val="0"/>
              <w:kinsoku/>
              <w:wordWrap/>
              <w:overflowPunct/>
              <w:topLinePunct w:val="0"/>
              <w:autoSpaceDE/>
              <w:autoSpaceDN/>
              <w:bidi w:val="0"/>
              <w:adjustRightInd/>
              <w:snapToGrid/>
              <w:spacing w:line="380" w:lineRule="exact"/>
              <w:ind w:left="0" w:left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二层挤塑聚乙烯</w:t>
            </w:r>
          </w:p>
        </w:tc>
        <w:tc>
          <w:tcPr>
            <w:tcW w:w="3879" w:type="dxa"/>
            <w:vAlign w:val="center"/>
          </w:tcPr>
          <w:p>
            <w:pPr>
              <w:keepNext w:val="0"/>
              <w:keepLines w:val="0"/>
              <w:pageBreakBefore w:val="0"/>
              <w:widowControl w:val="0"/>
              <w:kinsoku/>
              <w:wordWrap/>
              <w:overflowPunct/>
              <w:topLinePunct w:val="0"/>
              <w:autoSpaceDE/>
              <w:autoSpaceDN/>
              <w:bidi w:val="0"/>
              <w:adjustRightInd/>
              <w:snapToGrid/>
              <w:spacing w:line="380" w:lineRule="exact"/>
              <w:ind w:left="0" w:leftChars="0"/>
              <w:jc w:val="both"/>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机械性能好，化学稳定性高、绝缘电阻高，抗人为损坏和运输损伤能力强，易于修补，价格较便宜。</w:t>
            </w:r>
          </w:p>
        </w:tc>
        <w:tc>
          <w:tcPr>
            <w:tcW w:w="3598" w:type="dxa"/>
            <w:vAlign w:val="center"/>
          </w:tcPr>
          <w:p>
            <w:pPr>
              <w:pStyle w:val="11"/>
              <w:keepNext w:val="0"/>
              <w:keepLines w:val="0"/>
              <w:pageBreakBefore w:val="0"/>
              <w:widowControl w:val="0"/>
              <w:kinsoku/>
              <w:wordWrap/>
              <w:overflowPunct/>
              <w:topLinePunct w:val="0"/>
              <w:autoSpaceDE/>
              <w:autoSpaceDN/>
              <w:bidi w:val="0"/>
              <w:adjustRightInd/>
              <w:snapToGrid/>
              <w:spacing w:line="380" w:lineRule="exact"/>
              <w:ind w:left="0" w:leftChars="0"/>
              <w:jc w:val="both"/>
              <w:textAlignment w:val="auto"/>
              <w:outlineLvl w:val="9"/>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一旦粘结剂与钢管表面脱落，脱落处又破损，电介质从破损处浸入，易造成夹缝腐蚀。</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28" w:type="dxa"/>
            <w:vAlign w:val="center"/>
          </w:tcPr>
          <w:p>
            <w:pPr>
              <w:keepNext w:val="0"/>
              <w:keepLines w:val="0"/>
              <w:pageBreakBefore w:val="0"/>
              <w:widowControl w:val="0"/>
              <w:kinsoku/>
              <w:wordWrap/>
              <w:overflowPunct/>
              <w:topLinePunct w:val="0"/>
              <w:autoSpaceDE/>
              <w:autoSpaceDN/>
              <w:bidi w:val="0"/>
              <w:adjustRightInd/>
              <w:snapToGrid/>
              <w:spacing w:line="380" w:lineRule="exact"/>
              <w:ind w:left="0" w:left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双层熔结</w:t>
            </w:r>
          </w:p>
          <w:p>
            <w:pPr>
              <w:keepNext w:val="0"/>
              <w:keepLines w:val="0"/>
              <w:pageBreakBefore w:val="0"/>
              <w:widowControl w:val="0"/>
              <w:kinsoku/>
              <w:wordWrap/>
              <w:overflowPunct/>
              <w:topLinePunct w:val="0"/>
              <w:autoSpaceDE/>
              <w:autoSpaceDN/>
              <w:bidi w:val="0"/>
              <w:adjustRightInd/>
              <w:snapToGrid/>
              <w:spacing w:line="380" w:lineRule="exact"/>
              <w:ind w:left="0" w:leftChars="0"/>
              <w:jc w:val="center"/>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环氧</w:t>
            </w:r>
          </w:p>
        </w:tc>
        <w:tc>
          <w:tcPr>
            <w:tcW w:w="3879" w:type="dxa"/>
            <w:vAlign w:val="center"/>
          </w:tcPr>
          <w:p>
            <w:pPr>
              <w:keepNext w:val="0"/>
              <w:keepLines w:val="0"/>
              <w:pageBreakBefore w:val="0"/>
              <w:widowControl w:val="0"/>
              <w:kinsoku/>
              <w:wordWrap/>
              <w:overflowPunct/>
              <w:topLinePunct w:val="0"/>
              <w:autoSpaceDE/>
              <w:autoSpaceDN/>
              <w:bidi w:val="0"/>
              <w:adjustRightInd/>
              <w:snapToGrid/>
              <w:spacing w:line="380" w:lineRule="exact"/>
              <w:ind w:left="0" w:leftChars="0"/>
              <w:jc w:val="both"/>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与钢管粘结力高，机械物理能性好，耐化学介质浸泡，绝缘电阻高，现场补口、补伤，可保证与管线涂层的一致</w:t>
            </w:r>
          </w:p>
        </w:tc>
        <w:tc>
          <w:tcPr>
            <w:tcW w:w="3598" w:type="dxa"/>
            <w:vAlign w:val="center"/>
          </w:tcPr>
          <w:p>
            <w:pPr>
              <w:keepNext w:val="0"/>
              <w:keepLines w:val="0"/>
              <w:pageBreakBefore w:val="0"/>
              <w:widowControl w:val="0"/>
              <w:kinsoku/>
              <w:wordWrap/>
              <w:overflowPunct/>
              <w:topLinePunct w:val="0"/>
              <w:autoSpaceDE/>
              <w:autoSpaceDN/>
              <w:bidi w:val="0"/>
              <w:adjustRightInd/>
              <w:snapToGrid/>
              <w:spacing w:line="380" w:lineRule="exact"/>
              <w:ind w:left="0" w:leftChars="0"/>
              <w:jc w:val="both"/>
              <w:textAlignment w:val="auto"/>
              <w:outlineLvl w:val="9"/>
              <w:rPr>
                <w:rFonts w:hint="eastAsia" w:ascii="宋体" w:hAnsi="宋体" w:eastAsia="宋体" w:cs="宋体"/>
                <w:color w:val="auto"/>
                <w:szCs w:val="21"/>
                <w:highlight w:val="none"/>
              </w:rPr>
            </w:pPr>
            <w:r>
              <w:rPr>
                <w:rFonts w:hint="eastAsia" w:ascii="宋体" w:hAnsi="宋体" w:eastAsia="宋体" w:cs="宋体"/>
                <w:color w:val="auto"/>
                <w:szCs w:val="21"/>
                <w:highlight w:val="none"/>
              </w:rPr>
              <w:t>弯曲性较差，价格高</w:t>
            </w:r>
          </w:p>
        </w:tc>
      </w:tr>
    </w:tbl>
    <w:p>
      <w:pPr>
        <w:pStyle w:val="16"/>
        <w:keepNext w:val="0"/>
        <w:keepLines w:val="0"/>
        <w:pageBreakBefore w:val="0"/>
        <w:widowControl w:val="0"/>
        <w:kinsoku/>
        <w:wordWrap/>
        <w:overflowPunct/>
        <w:topLinePunct w:val="0"/>
        <w:autoSpaceDE/>
        <w:autoSpaceDN/>
        <w:bidi w:val="0"/>
        <w:adjustRightInd/>
        <w:spacing w:after="0" w:afterLines="0" w:line="560" w:lineRule="exact"/>
        <w:ind w:left="0" w:leftChars="0" w:right="0" w:rightChars="0" w:firstLine="480" w:firstLineChars="200"/>
        <w:jc w:val="both"/>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根据以上防腐层的性能比较，并结合周边城镇的实际应用经验，钢制燃气管道防腐采用</w:t>
      </w:r>
      <w:r>
        <w:rPr>
          <w:rFonts w:hint="eastAsia" w:ascii="宋体" w:hAnsi="宋体" w:eastAsia="宋体" w:cs="宋体"/>
          <w:color w:val="auto"/>
          <w:sz w:val="24"/>
          <w:szCs w:val="24"/>
          <w:highlight w:val="none"/>
          <w:lang w:eastAsia="zh-CN"/>
        </w:rPr>
        <w:t>三</w:t>
      </w:r>
      <w:r>
        <w:rPr>
          <w:rFonts w:hint="eastAsia" w:ascii="宋体" w:hAnsi="宋体" w:eastAsia="宋体" w:cs="宋体"/>
          <w:color w:val="auto"/>
          <w:sz w:val="24"/>
          <w:szCs w:val="24"/>
          <w:highlight w:val="none"/>
        </w:rPr>
        <w:t>层</w:t>
      </w:r>
      <w:r>
        <w:rPr>
          <w:rFonts w:hint="eastAsia" w:ascii="宋体" w:hAnsi="宋体" w:eastAsia="宋体" w:cs="宋体"/>
          <w:color w:val="auto"/>
          <w:sz w:val="24"/>
          <w:szCs w:val="24"/>
          <w:highlight w:val="none"/>
          <w:lang w:val="en-US" w:eastAsia="zh-CN"/>
        </w:rPr>
        <w:t>PE</w:t>
      </w:r>
      <w:r>
        <w:rPr>
          <w:rFonts w:hint="eastAsia" w:ascii="宋体" w:hAnsi="宋体" w:eastAsia="宋体" w:cs="宋体"/>
          <w:color w:val="auto"/>
          <w:sz w:val="24"/>
          <w:szCs w:val="24"/>
          <w:highlight w:val="none"/>
        </w:rPr>
        <w:t>防腐层，防腐等级采用加强级。</w:t>
      </w:r>
    </w:p>
    <w:p>
      <w:pPr>
        <w:pStyle w:val="9"/>
        <w:keepNext w:val="0"/>
        <w:keepLines w:val="0"/>
        <w:pageBreakBefore w:val="0"/>
        <w:widowControl w:val="0"/>
        <w:kinsoku/>
        <w:wordWrap/>
        <w:overflowPunct/>
        <w:topLinePunct w:val="0"/>
        <w:autoSpaceDE/>
        <w:autoSpaceDN/>
        <w:bidi w:val="0"/>
        <w:adjustRightInd/>
        <w:snapToGrid w:val="0"/>
        <w:spacing w:after="0" w:afterLines="0" w:line="560" w:lineRule="exact"/>
        <w:ind w:left="0" w:leftChars="0" w:right="0" w:rightChars="0" w:firstLine="480" w:firstLineChars="200"/>
        <w:jc w:val="both"/>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rPr>
        <w:t>PE管不做防腐处理，因其本身具有很强的抗腐蚀性。对于场、站内埋地管道和穿越公路的管道，其外防腐层要特别加强。</w:t>
      </w:r>
    </w:p>
    <w:p>
      <w:pPr>
        <w:pStyle w:val="9"/>
        <w:keepNext w:val="0"/>
        <w:keepLines w:val="0"/>
        <w:pageBreakBefore w:val="0"/>
        <w:widowControl w:val="0"/>
        <w:kinsoku/>
        <w:wordWrap/>
        <w:overflowPunct/>
        <w:topLinePunct w:val="0"/>
        <w:autoSpaceDE/>
        <w:autoSpaceDN/>
        <w:bidi w:val="0"/>
        <w:adjustRightInd/>
        <w:snapToGrid w:val="0"/>
        <w:spacing w:after="0" w:afterLines="0" w:line="560" w:lineRule="exact"/>
        <w:ind w:left="0" w:leftChars="0" w:right="0" w:rightChars="0" w:firstLine="480" w:firstLineChars="200"/>
        <w:jc w:val="both"/>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lang w:eastAsia="zh-CN"/>
        </w:rPr>
        <w:t>对于施工现场制作的钢管可采用沥青防腐处理。</w:t>
      </w:r>
    </w:p>
    <w:p>
      <w:pPr>
        <w:spacing w:line="560" w:lineRule="exact"/>
        <w:ind w:firstLine="480" w:firstLineChars="200"/>
        <w:rPr>
          <w:rFonts w:hint="eastAsia" w:ascii="宋体" w:hAnsi="宋体" w:eastAsia="宋体" w:cs="宋体"/>
          <w:color w:val="auto"/>
          <w:sz w:val="24"/>
          <w:highlight w:val="none"/>
          <w:lang w:val="en-US" w:eastAsia="zh-CN"/>
        </w:rPr>
      </w:pPr>
      <w:r>
        <w:rPr>
          <w:rFonts w:hint="eastAsia" w:ascii="宋体" w:hAnsi="宋体" w:eastAsia="宋体" w:cs="宋体"/>
          <w:color w:val="auto"/>
          <w:sz w:val="24"/>
          <w:highlight w:val="none"/>
          <w:lang w:val="en-US" w:eastAsia="zh-CN"/>
        </w:rPr>
        <w:t>不大于4.0MPa的高压</w:t>
      </w:r>
      <w:r>
        <w:rPr>
          <w:rFonts w:hint="eastAsia" w:ascii="宋体" w:hAnsi="宋体" w:eastAsia="宋体" w:cs="宋体"/>
          <w:color w:val="auto"/>
          <w:sz w:val="24"/>
          <w:highlight w:val="none"/>
          <w:lang w:eastAsia="zh-CN"/>
        </w:rPr>
        <w:t>燃气管道地区等级划分按照《城镇燃气设计规范》</w:t>
      </w:r>
      <w:r>
        <w:rPr>
          <w:rFonts w:hint="eastAsia" w:ascii="宋体" w:hAnsi="宋体" w:eastAsia="宋体" w:cs="宋体"/>
          <w:color w:val="auto"/>
          <w:sz w:val="24"/>
          <w:highlight w:val="none"/>
          <w:lang w:val="en-US" w:eastAsia="zh-CN"/>
        </w:rPr>
        <w:t>GB50028进行划分，燃气管道与建（构）筑物间距按照规范要求敷设。</w:t>
      </w:r>
    </w:p>
    <w:p>
      <w:pPr>
        <w:pStyle w:val="9"/>
        <w:keepNext w:val="0"/>
        <w:keepLines w:val="0"/>
        <w:pageBreakBefore w:val="0"/>
        <w:widowControl w:val="0"/>
        <w:kinsoku/>
        <w:wordWrap/>
        <w:overflowPunct/>
        <w:topLinePunct w:val="0"/>
        <w:autoSpaceDE/>
        <w:autoSpaceDN/>
        <w:bidi w:val="0"/>
        <w:adjustRightInd/>
        <w:snapToGrid w:val="0"/>
        <w:spacing w:after="0" w:afterLines="0" w:line="560" w:lineRule="exact"/>
        <w:ind w:left="0" w:leftChars="0" w:right="0" w:rightChars="0" w:firstLine="480" w:firstLineChars="200"/>
        <w:jc w:val="both"/>
        <w:textAlignment w:val="auto"/>
        <w:rPr>
          <w:rFonts w:hint="eastAsia" w:ascii="宋体" w:hAnsi="宋体" w:eastAsia="宋体" w:cs="宋体"/>
          <w:color w:val="auto"/>
          <w:sz w:val="24"/>
          <w:highlight w:val="none"/>
        </w:rPr>
      </w:pPr>
      <w:r>
        <w:rPr>
          <w:rFonts w:hint="eastAsia" w:ascii="宋体" w:hAnsi="宋体" w:eastAsia="宋体" w:cs="宋体"/>
          <w:color w:val="auto"/>
          <w:sz w:val="24"/>
          <w:highlight w:val="none"/>
          <w:lang w:val="en-US" w:eastAsia="zh-CN"/>
        </w:rPr>
        <w:t>城区外地下高压燃气管道沿线应设置里程桩、转角桩、交叉和警示牌等永久性标签；城区内地下高压燃气管道应设立管位警示标志，在距管顶不小于500m处应埋设警示带。</w:t>
      </w:r>
    </w:p>
    <w:p>
      <w:pPr>
        <w:spacing w:line="560" w:lineRule="exact"/>
        <w:ind w:firstLine="480" w:firstLineChars="200"/>
        <w:rPr>
          <w:rFonts w:hint="eastAsia" w:ascii="宋体" w:hAnsi="宋体" w:eastAsia="宋体" w:cs="宋体"/>
          <w:color w:val="auto"/>
          <w:sz w:val="24"/>
          <w:highlight w:val="none"/>
          <w:lang w:val="en-US" w:eastAsia="zh-CN"/>
        </w:rPr>
      </w:pPr>
      <w:r>
        <w:rPr>
          <w:rFonts w:hint="eastAsia" w:ascii="宋体" w:hAnsi="宋体" w:eastAsia="宋体" w:cs="宋体"/>
          <w:color w:val="auto"/>
          <w:sz w:val="24"/>
          <w:highlight w:val="none"/>
          <w:lang w:val="en-US" w:eastAsia="zh-CN"/>
        </w:rPr>
        <w:t>燃气供气系统作为重要的基础设施支撑体系，是生命线工程的一部分，燃气设施、管网应按照规范要求进行抗震设防。无极县地震动峰值加速度值为0.10g，反应谱特征周期值为0.45s，相当于地震烈度Ⅶ度区。规划燃气设施、管线应按抗震设防</w:t>
      </w:r>
      <w:r>
        <w:rPr>
          <w:rFonts w:hint="eastAsia" w:ascii="宋体" w:hAnsi="宋体" w:eastAsia="宋体" w:cs="宋体"/>
          <w:color w:val="auto"/>
          <w:sz w:val="24"/>
          <w:highlight w:val="none"/>
          <w:lang w:val="en-US" w:eastAsia="zh-CN"/>
        </w:rPr>
        <w:fldChar w:fldCharType="begin"/>
      </w:r>
      <w:r>
        <w:rPr>
          <w:rFonts w:hint="eastAsia" w:ascii="宋体" w:hAnsi="宋体" w:eastAsia="宋体" w:cs="宋体"/>
          <w:color w:val="auto"/>
          <w:sz w:val="24"/>
          <w:highlight w:val="none"/>
          <w:lang w:val="en-US" w:eastAsia="zh-CN"/>
        </w:rPr>
        <w:instrText xml:space="preserve"> = 8 \* ROMAN \* MERGEFORMAT </w:instrText>
      </w:r>
      <w:r>
        <w:rPr>
          <w:rFonts w:hint="eastAsia" w:ascii="宋体" w:hAnsi="宋体" w:eastAsia="宋体" w:cs="宋体"/>
          <w:color w:val="auto"/>
          <w:sz w:val="24"/>
          <w:highlight w:val="none"/>
          <w:lang w:val="en-US" w:eastAsia="zh-CN"/>
        </w:rPr>
        <w:fldChar w:fldCharType="separate"/>
      </w:r>
      <w:r>
        <w:rPr>
          <w:rFonts w:hint="eastAsia" w:ascii="宋体" w:hAnsi="宋体" w:eastAsia="宋体" w:cs="宋体"/>
          <w:color w:val="auto"/>
          <w:sz w:val="24"/>
          <w:highlight w:val="none"/>
          <w:lang w:val="en-US" w:eastAsia="zh-CN"/>
        </w:rPr>
        <w:t>VIII</w:t>
      </w:r>
      <w:r>
        <w:rPr>
          <w:rFonts w:hint="eastAsia" w:ascii="宋体" w:hAnsi="宋体" w:eastAsia="宋体" w:cs="宋体"/>
          <w:color w:val="auto"/>
          <w:sz w:val="24"/>
          <w:highlight w:val="none"/>
          <w:lang w:val="en-US" w:eastAsia="zh-CN"/>
        </w:rPr>
        <w:fldChar w:fldCharType="end"/>
      </w:r>
      <w:r>
        <w:rPr>
          <w:rFonts w:hint="eastAsia" w:ascii="宋体" w:hAnsi="宋体" w:eastAsia="宋体" w:cs="宋体"/>
          <w:color w:val="auto"/>
          <w:sz w:val="24"/>
          <w:highlight w:val="none"/>
          <w:lang w:val="en-US" w:eastAsia="zh-CN"/>
        </w:rPr>
        <w:t>度进行设计，不得随意降低燃气工程的抗震设防要求。</w:t>
      </w:r>
    </w:p>
    <w:p>
      <w:pPr>
        <w:pStyle w:val="31"/>
        <w:numPr>
          <w:ilvl w:val="0"/>
          <w:numId w:val="3"/>
        </w:numPr>
        <w:jc w:val="left"/>
        <w:rPr>
          <w:rFonts w:hint="eastAsia" w:ascii="宋体" w:hAnsi="宋体" w:eastAsia="宋体" w:cs="宋体"/>
          <w:color w:val="auto"/>
          <w:szCs w:val="28"/>
        </w:rPr>
      </w:pPr>
      <w:r>
        <w:rPr>
          <w:rFonts w:hint="eastAsia" w:ascii="宋体" w:hAnsi="宋体" w:eastAsia="宋体" w:cs="宋体"/>
          <w:color w:val="auto"/>
          <w:szCs w:val="28"/>
          <w:lang w:val="en-US" w:eastAsia="zh-CN"/>
        </w:rPr>
        <w:t>消防安全措施</w:t>
      </w:r>
    </w:p>
    <w:bookmarkEnd w:id="11"/>
    <w:bookmarkEnd w:id="12"/>
    <w:bookmarkEnd w:id="13"/>
    <w:p>
      <w:pPr>
        <w:spacing w:line="560" w:lineRule="exact"/>
        <w:ind w:firstLine="480" w:firstLineChars="200"/>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rPr>
        <w:t>1</w:t>
      </w:r>
      <w:r>
        <w:rPr>
          <w:rFonts w:hint="eastAsia" w:ascii="宋体" w:hAnsi="宋体" w:eastAsia="宋体" w:cs="宋体"/>
          <w:color w:val="auto"/>
          <w:sz w:val="24"/>
          <w:highlight w:val="none"/>
          <w:lang w:eastAsia="zh-CN"/>
        </w:rPr>
        <w:t>、场站消防设计</w:t>
      </w:r>
    </w:p>
    <w:p>
      <w:pPr>
        <w:spacing w:line="56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lang w:eastAsia="zh-CN"/>
        </w:rPr>
        <w:t>高中压调压</w:t>
      </w:r>
      <w:r>
        <w:rPr>
          <w:rFonts w:hint="eastAsia" w:ascii="宋体" w:hAnsi="宋体" w:eastAsia="宋体" w:cs="宋体"/>
          <w:color w:val="auto"/>
          <w:sz w:val="24"/>
          <w:highlight w:val="none"/>
        </w:rPr>
        <w:t>站和</w:t>
      </w:r>
      <w:r>
        <w:rPr>
          <w:rFonts w:hint="eastAsia" w:ascii="宋体" w:hAnsi="宋体" w:eastAsia="宋体" w:cs="宋体"/>
          <w:color w:val="auto"/>
          <w:sz w:val="24"/>
          <w:highlight w:val="none"/>
          <w:lang w:eastAsia="zh-CN"/>
        </w:rPr>
        <w:t>储气站</w:t>
      </w:r>
      <w:r>
        <w:rPr>
          <w:rFonts w:hint="eastAsia" w:ascii="宋体" w:hAnsi="宋体" w:eastAsia="宋体" w:cs="宋体"/>
          <w:color w:val="auto"/>
          <w:sz w:val="24"/>
          <w:highlight w:val="none"/>
        </w:rPr>
        <w:t>，皆为甲类生产</w:t>
      </w:r>
      <w:r>
        <w:rPr>
          <w:rFonts w:hint="eastAsia" w:ascii="宋体" w:hAnsi="宋体" w:eastAsia="宋体" w:cs="宋体"/>
          <w:color w:val="auto"/>
          <w:sz w:val="24"/>
          <w:highlight w:val="none"/>
          <w:lang w:eastAsia="zh-CN"/>
        </w:rPr>
        <w:t>场站</w:t>
      </w:r>
      <w:r>
        <w:rPr>
          <w:rFonts w:hint="eastAsia" w:ascii="宋体" w:hAnsi="宋体" w:eastAsia="宋体" w:cs="宋体"/>
          <w:color w:val="auto"/>
          <w:sz w:val="24"/>
          <w:highlight w:val="none"/>
        </w:rPr>
        <w:t>，属于火灾爆炸危险场所。与周围建筑物的安全间距及站内总图布置必须符合《建筑设计防火规范》和《城镇燃气设计规范》的规定。站内具有火灾爆炸危险性建、构筑物耐火等级不低于《建筑设计防火规范》规定的二级；建筑物结构型式采用钢筋混凝土框架结构；设置足够的泄压面积；门、窗一律外开；封闭式建筑物采用机械通风。</w:t>
      </w:r>
    </w:p>
    <w:p>
      <w:pPr>
        <w:spacing w:line="56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lang w:eastAsia="zh-CN"/>
        </w:rPr>
        <w:t>高中压调压站、储气站应</w:t>
      </w:r>
      <w:r>
        <w:rPr>
          <w:rFonts w:hint="eastAsia" w:ascii="宋体" w:hAnsi="宋体" w:eastAsia="宋体" w:cs="宋体"/>
          <w:color w:val="auto"/>
          <w:sz w:val="24"/>
          <w:highlight w:val="none"/>
        </w:rPr>
        <w:t>分区布置，包括调压计量区、储罐区等生产性区域，以及变配电室、综合楼、水泵房、水池等辅助区。总平面布置保证各工艺生产流程合理、有序。同时满足总平面运输，为车行、人行提供便利。站区消防是保证生产、生活安全的关键环节。站内除设置必需的</w:t>
      </w:r>
      <w:bookmarkStart w:id="15" w:name="_GoBack"/>
      <w:bookmarkEnd w:id="15"/>
      <w:r>
        <w:rPr>
          <w:rFonts w:hint="eastAsia" w:ascii="宋体" w:hAnsi="宋体" w:eastAsia="宋体" w:cs="宋体"/>
          <w:color w:val="auto"/>
          <w:sz w:val="24"/>
          <w:highlight w:val="none"/>
        </w:rPr>
        <w:t>消防设施以外，在站内甲类建、构筑物周围均设有消防通道，道路路宽为4米。LNG储罐组四周必须设置周边封闭的不燃烧体实体防护墙。其容量和高度应满足有关规范的要求，以挡住事故LNG泄漏向四周扩散。</w:t>
      </w:r>
    </w:p>
    <w:p>
      <w:pPr>
        <w:spacing w:line="560" w:lineRule="exact"/>
        <w:ind w:firstLine="480" w:firstLineChars="200"/>
        <w:rPr>
          <w:rFonts w:hint="eastAsia" w:ascii="宋体" w:hAnsi="宋体" w:eastAsia="宋体" w:cs="宋体"/>
          <w:color w:val="auto"/>
          <w:sz w:val="24"/>
          <w:highlight w:val="none"/>
        </w:rPr>
      </w:pPr>
      <w:bookmarkStart w:id="14" w:name="_Toc343621696"/>
      <w:r>
        <w:rPr>
          <w:rFonts w:hint="eastAsia" w:ascii="宋体" w:hAnsi="宋体" w:eastAsia="宋体" w:cs="宋体"/>
          <w:color w:val="auto"/>
          <w:sz w:val="24"/>
          <w:highlight w:val="none"/>
        </w:rPr>
        <w:t>2</w:t>
      </w:r>
      <w:r>
        <w:rPr>
          <w:rFonts w:hint="eastAsia" w:ascii="宋体" w:hAnsi="宋体" w:eastAsia="宋体" w:cs="宋体"/>
          <w:color w:val="auto"/>
          <w:sz w:val="24"/>
          <w:highlight w:val="none"/>
          <w:lang w:eastAsia="zh-CN"/>
        </w:rPr>
        <w:t>、</w:t>
      </w:r>
      <w:r>
        <w:rPr>
          <w:rFonts w:hint="eastAsia" w:ascii="宋体" w:hAnsi="宋体" w:eastAsia="宋体" w:cs="宋体"/>
          <w:color w:val="auto"/>
          <w:sz w:val="24"/>
          <w:highlight w:val="none"/>
        </w:rPr>
        <w:t>管网系统</w:t>
      </w:r>
      <w:bookmarkEnd w:id="14"/>
      <w:r>
        <w:rPr>
          <w:rFonts w:hint="eastAsia" w:ascii="宋体" w:hAnsi="宋体" w:eastAsia="宋体" w:cs="宋体"/>
          <w:color w:val="auto"/>
          <w:sz w:val="24"/>
          <w:highlight w:val="none"/>
          <w:lang w:eastAsia="zh-CN"/>
        </w:rPr>
        <w:t>消防设计</w:t>
      </w:r>
    </w:p>
    <w:p>
      <w:pPr>
        <w:spacing w:line="56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lang w:eastAsia="zh-CN"/>
        </w:rPr>
        <w:t>（</w:t>
      </w:r>
      <w:r>
        <w:rPr>
          <w:rFonts w:hint="eastAsia" w:ascii="宋体" w:hAnsi="宋体" w:eastAsia="宋体" w:cs="宋体"/>
          <w:color w:val="auto"/>
          <w:sz w:val="24"/>
          <w:highlight w:val="none"/>
          <w:lang w:val="en-US" w:eastAsia="zh-CN"/>
        </w:rPr>
        <w:t>1</w:t>
      </w:r>
      <w:r>
        <w:rPr>
          <w:rFonts w:hint="eastAsia" w:ascii="宋体" w:hAnsi="宋体" w:eastAsia="宋体" w:cs="宋体"/>
          <w:color w:val="auto"/>
          <w:sz w:val="24"/>
          <w:highlight w:val="none"/>
          <w:lang w:eastAsia="zh-CN"/>
        </w:rPr>
        <w:t>）</w:t>
      </w:r>
      <w:r>
        <w:rPr>
          <w:rFonts w:hint="eastAsia" w:ascii="宋体" w:hAnsi="宋体" w:eastAsia="宋体" w:cs="宋体"/>
          <w:color w:val="auto"/>
          <w:sz w:val="24"/>
          <w:highlight w:val="none"/>
        </w:rPr>
        <w:t>燃气输配系统采用SCADA系统，调度中心设在</w:t>
      </w:r>
      <w:r>
        <w:rPr>
          <w:rFonts w:hint="eastAsia" w:ascii="宋体" w:hAnsi="宋体" w:eastAsia="宋体" w:cs="宋体"/>
          <w:color w:val="auto"/>
          <w:sz w:val="24"/>
          <w:highlight w:val="none"/>
          <w:lang w:eastAsia="zh-CN"/>
        </w:rPr>
        <w:t>燃气办公区域</w:t>
      </w:r>
      <w:r>
        <w:rPr>
          <w:rFonts w:hint="eastAsia" w:ascii="宋体" w:hAnsi="宋体" w:eastAsia="宋体" w:cs="宋体"/>
          <w:color w:val="auto"/>
          <w:sz w:val="24"/>
          <w:highlight w:val="none"/>
        </w:rPr>
        <w:t>，</w:t>
      </w:r>
      <w:r>
        <w:rPr>
          <w:rFonts w:hint="eastAsia" w:ascii="宋体" w:hAnsi="宋体" w:eastAsia="宋体" w:cs="宋体"/>
          <w:color w:val="auto"/>
          <w:sz w:val="24"/>
          <w:highlight w:val="none"/>
          <w:lang w:eastAsia="zh-CN"/>
        </w:rPr>
        <w:t>高中压调压站</w:t>
      </w:r>
      <w:r>
        <w:rPr>
          <w:rFonts w:hint="eastAsia" w:ascii="宋体" w:hAnsi="宋体" w:eastAsia="宋体" w:cs="宋体"/>
          <w:color w:val="auto"/>
          <w:sz w:val="24"/>
          <w:highlight w:val="none"/>
        </w:rPr>
        <w:t>、储</w:t>
      </w:r>
      <w:r>
        <w:rPr>
          <w:rFonts w:hint="eastAsia" w:ascii="宋体" w:hAnsi="宋体" w:eastAsia="宋体" w:cs="宋体"/>
          <w:color w:val="auto"/>
          <w:sz w:val="24"/>
          <w:highlight w:val="none"/>
          <w:lang w:eastAsia="zh-CN"/>
        </w:rPr>
        <w:t>气</w:t>
      </w:r>
      <w:r>
        <w:rPr>
          <w:rFonts w:hint="eastAsia" w:ascii="宋体" w:hAnsi="宋体" w:eastAsia="宋体" w:cs="宋体"/>
          <w:color w:val="auto"/>
          <w:sz w:val="24"/>
          <w:highlight w:val="none"/>
        </w:rPr>
        <w:t>站、部分中低压调压装置设置远程终端站(RTU)，中压管道设置压力监测点，实现输配系统现代化监控管理，保证安全可靠地向各类用户供气。</w:t>
      </w:r>
    </w:p>
    <w:p>
      <w:pPr>
        <w:spacing w:line="56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lang w:eastAsia="zh-CN"/>
        </w:rPr>
        <w:t>（</w:t>
      </w:r>
      <w:r>
        <w:rPr>
          <w:rFonts w:hint="eastAsia" w:ascii="宋体" w:hAnsi="宋体" w:eastAsia="宋体" w:cs="宋体"/>
          <w:color w:val="auto"/>
          <w:sz w:val="24"/>
          <w:highlight w:val="none"/>
          <w:lang w:val="en-US" w:eastAsia="zh-CN"/>
        </w:rPr>
        <w:t>2</w:t>
      </w:r>
      <w:r>
        <w:rPr>
          <w:rFonts w:hint="eastAsia" w:ascii="宋体" w:hAnsi="宋体" w:eastAsia="宋体" w:cs="宋体"/>
          <w:color w:val="auto"/>
          <w:sz w:val="24"/>
          <w:highlight w:val="none"/>
          <w:lang w:eastAsia="zh-CN"/>
        </w:rPr>
        <w:t>）</w:t>
      </w:r>
      <w:r>
        <w:rPr>
          <w:rFonts w:hint="eastAsia" w:ascii="宋体" w:hAnsi="宋体" w:eastAsia="宋体" w:cs="宋体"/>
          <w:color w:val="auto"/>
          <w:sz w:val="24"/>
          <w:highlight w:val="none"/>
        </w:rPr>
        <w:t>天然气管道是埋在地下的燃气设施，敷设严格按《城镇燃气设计规范》的要求设计与施工，并加强运行管理巡线检查，及时处理各种漏气事故。</w:t>
      </w:r>
    </w:p>
    <w:p>
      <w:pPr>
        <w:spacing w:line="56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lang w:eastAsia="zh-CN"/>
        </w:rPr>
        <w:t>（</w:t>
      </w:r>
      <w:r>
        <w:rPr>
          <w:rFonts w:hint="eastAsia" w:ascii="宋体" w:hAnsi="宋体" w:eastAsia="宋体" w:cs="宋体"/>
          <w:color w:val="auto"/>
          <w:sz w:val="24"/>
          <w:highlight w:val="none"/>
          <w:lang w:val="en-US" w:eastAsia="zh-CN"/>
        </w:rPr>
        <w:t>3</w:t>
      </w:r>
      <w:r>
        <w:rPr>
          <w:rFonts w:hint="eastAsia" w:ascii="宋体" w:hAnsi="宋体" w:eastAsia="宋体" w:cs="宋体"/>
          <w:color w:val="auto"/>
          <w:sz w:val="24"/>
          <w:highlight w:val="none"/>
          <w:lang w:eastAsia="zh-CN"/>
        </w:rPr>
        <w:t>）</w:t>
      </w:r>
      <w:r>
        <w:rPr>
          <w:rFonts w:hint="eastAsia" w:ascii="宋体" w:hAnsi="宋体" w:eastAsia="宋体" w:cs="宋体"/>
          <w:color w:val="auto"/>
          <w:sz w:val="24"/>
          <w:highlight w:val="none"/>
        </w:rPr>
        <w:t>天然气</w:t>
      </w:r>
      <w:r>
        <w:rPr>
          <w:rFonts w:hint="eastAsia" w:ascii="宋体" w:hAnsi="宋体" w:eastAsia="宋体" w:cs="宋体"/>
          <w:color w:val="auto"/>
          <w:sz w:val="24"/>
          <w:highlight w:val="none"/>
          <w:lang w:eastAsia="zh-CN"/>
        </w:rPr>
        <w:t>供气系统应按规范设置</w:t>
      </w:r>
      <w:r>
        <w:rPr>
          <w:rFonts w:hint="eastAsia" w:ascii="宋体" w:hAnsi="宋体" w:eastAsia="宋体" w:cs="宋体"/>
          <w:color w:val="auto"/>
          <w:sz w:val="24"/>
          <w:highlight w:val="none"/>
        </w:rPr>
        <w:t>加臭装置，一旦发生泄漏可及时察觉，及时采取有效抢救措施。</w:t>
      </w:r>
    </w:p>
    <w:p>
      <w:pPr>
        <w:spacing w:line="56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lang w:eastAsia="zh-CN"/>
        </w:rPr>
        <w:t>（</w:t>
      </w:r>
      <w:r>
        <w:rPr>
          <w:rFonts w:hint="eastAsia" w:ascii="宋体" w:hAnsi="宋体" w:eastAsia="宋体" w:cs="宋体"/>
          <w:color w:val="auto"/>
          <w:sz w:val="24"/>
          <w:highlight w:val="none"/>
          <w:lang w:val="en-US" w:eastAsia="zh-CN"/>
        </w:rPr>
        <w:t>4</w:t>
      </w:r>
      <w:r>
        <w:rPr>
          <w:rFonts w:hint="eastAsia" w:ascii="宋体" w:hAnsi="宋体" w:eastAsia="宋体" w:cs="宋体"/>
          <w:color w:val="auto"/>
          <w:sz w:val="24"/>
          <w:highlight w:val="none"/>
          <w:lang w:eastAsia="zh-CN"/>
        </w:rPr>
        <w:t>）</w:t>
      </w:r>
      <w:r>
        <w:rPr>
          <w:rFonts w:hint="eastAsia" w:ascii="宋体" w:hAnsi="宋体" w:eastAsia="宋体" w:cs="宋体"/>
          <w:color w:val="auto"/>
          <w:sz w:val="24"/>
          <w:highlight w:val="none"/>
        </w:rPr>
        <w:t>各类调压器均采用具有超压自动切断功能的产品，保证管网在正常压力工况下运行。在站内高压和中压管线上设置安全放散阀，以避免由于误操作或其它原因使管道系统超压，放散气集中至总放散管内引至高空放散。</w:t>
      </w:r>
    </w:p>
    <w:p>
      <w:pPr>
        <w:spacing w:line="56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lang w:eastAsia="zh-CN"/>
        </w:rPr>
        <w:t>（</w:t>
      </w:r>
      <w:r>
        <w:rPr>
          <w:rFonts w:hint="eastAsia" w:ascii="宋体" w:hAnsi="宋体" w:eastAsia="宋体" w:cs="宋体"/>
          <w:color w:val="auto"/>
          <w:sz w:val="24"/>
          <w:highlight w:val="none"/>
          <w:lang w:val="en-US" w:eastAsia="zh-CN"/>
        </w:rPr>
        <w:t>5</w:t>
      </w:r>
      <w:r>
        <w:rPr>
          <w:rFonts w:hint="eastAsia" w:ascii="宋体" w:hAnsi="宋体" w:eastAsia="宋体" w:cs="宋体"/>
          <w:color w:val="auto"/>
          <w:sz w:val="24"/>
          <w:highlight w:val="none"/>
          <w:lang w:eastAsia="zh-CN"/>
        </w:rPr>
        <w:t>）</w:t>
      </w:r>
      <w:r>
        <w:rPr>
          <w:rFonts w:hint="eastAsia" w:ascii="宋体" w:hAnsi="宋体" w:eastAsia="宋体" w:cs="宋体"/>
          <w:color w:val="auto"/>
          <w:sz w:val="24"/>
          <w:highlight w:val="none"/>
        </w:rPr>
        <w:t>配置管道检漏车和检漏仪，设置专人定时对天然气管线进行巡检，保证管网在完好状况下运行。</w:t>
      </w:r>
    </w:p>
    <w:p>
      <w:pPr>
        <w:spacing w:line="56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lang w:eastAsia="zh-CN"/>
        </w:rPr>
        <w:t>（</w:t>
      </w:r>
      <w:r>
        <w:rPr>
          <w:rFonts w:hint="eastAsia" w:ascii="宋体" w:hAnsi="宋体" w:eastAsia="宋体" w:cs="宋体"/>
          <w:color w:val="auto"/>
          <w:sz w:val="24"/>
          <w:highlight w:val="none"/>
          <w:lang w:val="en-US" w:eastAsia="zh-CN"/>
        </w:rPr>
        <w:t>6</w:t>
      </w:r>
      <w:r>
        <w:rPr>
          <w:rFonts w:hint="eastAsia" w:ascii="宋体" w:hAnsi="宋体" w:eastAsia="宋体" w:cs="宋体"/>
          <w:color w:val="auto"/>
          <w:sz w:val="24"/>
          <w:highlight w:val="none"/>
          <w:lang w:eastAsia="zh-CN"/>
        </w:rPr>
        <w:t>）</w:t>
      </w:r>
      <w:r>
        <w:rPr>
          <w:rFonts w:hint="eastAsia" w:ascii="宋体" w:hAnsi="宋体" w:eastAsia="宋体" w:cs="宋体"/>
          <w:color w:val="auto"/>
          <w:sz w:val="24"/>
          <w:highlight w:val="none"/>
        </w:rPr>
        <w:t>管道穿越河流、铁路、桥梁的两端设置阀门，穿越铁路、干道等设置套管、检漏管。管网系统设置分段阀门。</w:t>
      </w:r>
    </w:p>
    <w:p>
      <w:pPr>
        <w:spacing w:line="56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lang w:val="en-US" w:eastAsia="zh-CN"/>
        </w:rPr>
        <w:t>3、</w:t>
      </w:r>
      <w:r>
        <w:rPr>
          <w:rFonts w:hint="eastAsia" w:ascii="宋体" w:hAnsi="宋体" w:eastAsia="宋体" w:cs="宋体"/>
          <w:color w:val="auto"/>
          <w:sz w:val="24"/>
          <w:highlight w:val="none"/>
        </w:rPr>
        <w:t>液化石油气工程的储配站的总图要分区布置，分为生产区和辅助区。其设计要求按《建筑设计防火规范》</w:t>
      </w:r>
      <w:r>
        <w:rPr>
          <w:rFonts w:hint="eastAsia" w:ascii="宋体" w:hAnsi="宋体" w:eastAsia="宋体" w:cs="宋体"/>
          <w:color w:val="auto"/>
          <w:sz w:val="24"/>
          <w:highlight w:val="none"/>
          <w:lang w:eastAsia="zh-CN"/>
        </w:rPr>
        <w:t>（</w:t>
      </w:r>
      <w:r>
        <w:rPr>
          <w:rFonts w:hint="eastAsia" w:ascii="宋体" w:hAnsi="宋体" w:eastAsia="宋体" w:cs="宋体"/>
          <w:color w:val="auto"/>
          <w:sz w:val="24"/>
          <w:highlight w:val="none"/>
        </w:rPr>
        <w:t>GB50016</w:t>
      </w:r>
      <w:r>
        <w:rPr>
          <w:rFonts w:hint="eastAsia" w:ascii="宋体" w:hAnsi="宋体" w:eastAsia="宋体" w:cs="宋体"/>
          <w:color w:val="auto"/>
          <w:sz w:val="24"/>
          <w:highlight w:val="none"/>
          <w:lang w:eastAsia="zh-CN"/>
        </w:rPr>
        <w:t>）</w:t>
      </w:r>
      <w:r>
        <w:rPr>
          <w:rFonts w:hint="eastAsia" w:ascii="宋体" w:hAnsi="宋体" w:eastAsia="宋体" w:cs="宋体"/>
          <w:color w:val="auto"/>
          <w:sz w:val="24"/>
          <w:highlight w:val="none"/>
        </w:rPr>
        <w:t>和《城镇燃气设计规范》</w:t>
      </w:r>
      <w:r>
        <w:rPr>
          <w:rFonts w:hint="eastAsia" w:ascii="宋体" w:hAnsi="宋体" w:eastAsia="宋体" w:cs="宋体"/>
          <w:color w:val="auto"/>
          <w:sz w:val="24"/>
          <w:highlight w:val="none"/>
          <w:lang w:eastAsia="zh-CN"/>
        </w:rPr>
        <w:t>（</w:t>
      </w:r>
      <w:r>
        <w:rPr>
          <w:rFonts w:hint="eastAsia" w:ascii="宋体" w:hAnsi="宋体" w:eastAsia="宋体" w:cs="宋体"/>
          <w:color w:val="auto"/>
          <w:sz w:val="24"/>
          <w:highlight w:val="none"/>
        </w:rPr>
        <w:t>GB50028</w:t>
      </w:r>
      <w:r>
        <w:rPr>
          <w:rFonts w:hint="eastAsia" w:ascii="宋体" w:hAnsi="宋体" w:eastAsia="宋体" w:cs="宋体"/>
          <w:color w:val="auto"/>
          <w:sz w:val="24"/>
          <w:highlight w:val="none"/>
          <w:lang w:eastAsia="zh-CN"/>
        </w:rPr>
        <w:t>）</w:t>
      </w:r>
      <w:r>
        <w:rPr>
          <w:rFonts w:hint="eastAsia" w:ascii="宋体" w:hAnsi="宋体" w:eastAsia="宋体" w:cs="宋体"/>
          <w:color w:val="auto"/>
          <w:sz w:val="24"/>
          <w:highlight w:val="none"/>
        </w:rPr>
        <w:t>进行。</w:t>
      </w:r>
    </w:p>
    <w:p>
      <w:pPr>
        <w:pStyle w:val="2"/>
        <w:rPr>
          <w:rFonts w:hint="eastAsia" w:ascii="宋体" w:hAnsi="宋体" w:eastAsia="宋体" w:cs="宋体"/>
          <w:color w:val="auto"/>
        </w:rPr>
      </w:pPr>
    </w:p>
    <w:p>
      <w:pPr>
        <w:pStyle w:val="2"/>
        <w:rPr>
          <w:rFonts w:hint="eastAsia" w:ascii="宋体" w:hAnsi="宋体" w:eastAsia="宋体" w:cs="宋体"/>
          <w:color w:val="auto"/>
          <w:sz w:val="28"/>
          <w:szCs w:val="28"/>
        </w:rPr>
      </w:pPr>
    </w:p>
    <w:p>
      <w:pPr>
        <w:pStyle w:val="2"/>
        <w:rPr>
          <w:rFonts w:hint="eastAsia" w:ascii="宋体" w:hAnsi="宋体" w:eastAsia="宋体" w:cs="宋体"/>
          <w:color w:val="auto"/>
          <w:sz w:val="28"/>
          <w:szCs w:val="28"/>
        </w:rPr>
      </w:pPr>
    </w:p>
    <w:p>
      <w:pPr>
        <w:pStyle w:val="2"/>
        <w:rPr>
          <w:rFonts w:hint="eastAsia" w:ascii="宋体" w:hAnsi="宋体" w:eastAsia="宋体" w:cs="宋体"/>
          <w:color w:val="auto"/>
          <w:sz w:val="28"/>
          <w:szCs w:val="28"/>
        </w:rPr>
      </w:pPr>
    </w:p>
    <w:p>
      <w:pPr>
        <w:pStyle w:val="2"/>
        <w:rPr>
          <w:rFonts w:hint="eastAsia" w:ascii="宋体" w:hAnsi="宋体" w:eastAsia="宋体" w:cs="宋体"/>
          <w:color w:val="auto"/>
          <w:sz w:val="28"/>
          <w:szCs w:val="28"/>
        </w:rPr>
      </w:pPr>
    </w:p>
    <w:p>
      <w:pPr>
        <w:pStyle w:val="2"/>
        <w:rPr>
          <w:rFonts w:hint="eastAsia" w:ascii="宋体" w:hAnsi="宋体" w:eastAsia="宋体" w:cs="宋体"/>
          <w:color w:val="auto"/>
          <w:sz w:val="28"/>
          <w:szCs w:val="28"/>
        </w:rPr>
      </w:pPr>
    </w:p>
    <w:p>
      <w:pPr>
        <w:pStyle w:val="2"/>
        <w:ind w:firstLine="480"/>
        <w:rPr>
          <w:rFonts w:hint="eastAsia" w:ascii="宋体" w:hAnsi="宋体" w:eastAsia="宋体" w:cs="宋体"/>
          <w:color w:val="auto"/>
        </w:rPr>
      </w:pPr>
    </w:p>
    <w:p>
      <w:pPr>
        <w:pStyle w:val="2"/>
        <w:ind w:firstLine="480"/>
        <w:rPr>
          <w:rFonts w:hint="eastAsia" w:ascii="宋体" w:hAnsi="宋体" w:eastAsia="宋体" w:cs="宋体"/>
          <w:color w:val="auto"/>
        </w:rPr>
      </w:pPr>
    </w:p>
    <w:p>
      <w:pPr>
        <w:pStyle w:val="2"/>
        <w:ind w:firstLine="480"/>
        <w:rPr>
          <w:rFonts w:hint="eastAsia" w:ascii="宋体" w:hAnsi="宋体" w:eastAsia="宋体" w:cs="宋体"/>
          <w:color w:val="auto"/>
        </w:rPr>
      </w:pPr>
    </w:p>
    <w:p>
      <w:pPr>
        <w:pStyle w:val="2"/>
        <w:ind w:firstLine="480"/>
        <w:rPr>
          <w:rFonts w:hint="eastAsia" w:ascii="宋体" w:hAnsi="宋体" w:eastAsia="宋体" w:cs="宋体"/>
          <w:color w:val="auto"/>
          <w:lang w:eastAsia="zh-CN"/>
        </w:rPr>
      </w:pPr>
      <w:r>
        <w:rPr>
          <w:rFonts w:hint="eastAsia" w:ascii="宋体" w:hAnsi="宋体" w:eastAsia="宋体" w:cs="宋体"/>
          <w:color w:val="auto"/>
          <w:lang w:eastAsia="zh-CN"/>
        </w:rPr>
        <w:drawing>
          <wp:anchor distT="0" distB="0" distL="114300" distR="114300" simplePos="0" relativeHeight="251659264" behindDoc="0" locked="0" layoutInCell="1" allowOverlap="1">
            <wp:simplePos x="0" y="0"/>
            <wp:positionH relativeFrom="column">
              <wp:posOffset>180975</wp:posOffset>
            </wp:positionH>
            <wp:positionV relativeFrom="paragraph">
              <wp:posOffset>370205</wp:posOffset>
            </wp:positionV>
            <wp:extent cx="5245100" cy="7420610"/>
            <wp:effectExtent l="0" t="0" r="12700" b="8890"/>
            <wp:wrapNone/>
            <wp:docPr id="2" name="图片 2" descr="04县域燃气设施规划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04县域燃气设施规划图"/>
                    <pic:cNvPicPr>
                      <a:picLocks noChangeAspect="1"/>
                    </pic:cNvPicPr>
                  </pic:nvPicPr>
                  <pic:blipFill>
                    <a:blip r:embed="rId7"/>
                    <a:stretch>
                      <a:fillRect/>
                    </a:stretch>
                  </pic:blipFill>
                  <pic:spPr>
                    <a:xfrm>
                      <a:off x="0" y="0"/>
                      <a:ext cx="5245100" cy="7420610"/>
                    </a:xfrm>
                    <a:prstGeom prst="rect">
                      <a:avLst/>
                    </a:prstGeom>
                    <a:solidFill>
                      <a:schemeClr val="lt1"/>
                    </a:solidFill>
                  </pic:spPr>
                </pic:pic>
              </a:graphicData>
            </a:graphic>
          </wp:anchor>
        </w:drawing>
      </w:r>
    </w:p>
    <w:p>
      <w:pPr>
        <w:pStyle w:val="2"/>
        <w:ind w:firstLine="480"/>
        <w:rPr>
          <w:rFonts w:hint="eastAsia" w:ascii="宋体" w:hAnsi="宋体" w:eastAsia="宋体" w:cs="宋体"/>
          <w:color w:val="auto"/>
          <w:lang w:eastAsia="zh-CN"/>
        </w:rPr>
      </w:pPr>
    </w:p>
    <w:p>
      <w:pPr>
        <w:pStyle w:val="2"/>
        <w:ind w:firstLine="480"/>
        <w:rPr>
          <w:rFonts w:hint="eastAsia" w:ascii="宋体" w:hAnsi="宋体" w:eastAsia="宋体" w:cs="宋体"/>
          <w:color w:val="auto"/>
        </w:rPr>
      </w:pPr>
    </w:p>
    <w:p>
      <w:pPr>
        <w:pStyle w:val="2"/>
        <w:ind w:firstLine="480"/>
        <w:rPr>
          <w:rFonts w:hint="eastAsia" w:ascii="宋体" w:hAnsi="宋体" w:eastAsia="宋体" w:cs="宋体"/>
          <w:color w:val="auto"/>
        </w:rPr>
      </w:pPr>
    </w:p>
    <w:p>
      <w:pPr>
        <w:pStyle w:val="2"/>
        <w:ind w:firstLine="480"/>
        <w:rPr>
          <w:rFonts w:hint="eastAsia" w:ascii="宋体" w:hAnsi="宋体" w:eastAsia="宋体" w:cs="宋体"/>
          <w:color w:val="auto"/>
        </w:rPr>
      </w:pPr>
    </w:p>
    <w:p>
      <w:pPr>
        <w:pStyle w:val="2"/>
        <w:ind w:firstLine="480"/>
        <w:rPr>
          <w:rFonts w:hint="eastAsia" w:ascii="宋体" w:hAnsi="宋体" w:eastAsia="宋体" w:cs="宋体"/>
          <w:color w:val="auto"/>
        </w:rPr>
      </w:pPr>
    </w:p>
    <w:p>
      <w:pPr>
        <w:pStyle w:val="2"/>
        <w:ind w:firstLine="480"/>
        <w:rPr>
          <w:rFonts w:hint="eastAsia" w:ascii="宋体" w:hAnsi="宋体" w:eastAsia="宋体" w:cs="宋体"/>
          <w:color w:val="auto"/>
        </w:rPr>
      </w:pPr>
    </w:p>
    <w:p>
      <w:pPr>
        <w:pStyle w:val="2"/>
        <w:ind w:firstLine="480"/>
        <w:rPr>
          <w:rFonts w:hint="eastAsia" w:ascii="宋体" w:hAnsi="宋体" w:eastAsia="宋体" w:cs="宋体"/>
          <w:color w:val="auto"/>
        </w:rPr>
      </w:pPr>
    </w:p>
    <w:p>
      <w:pPr>
        <w:pStyle w:val="2"/>
        <w:ind w:firstLine="480"/>
        <w:rPr>
          <w:rFonts w:hint="eastAsia" w:ascii="宋体" w:hAnsi="宋体" w:eastAsia="宋体" w:cs="宋体"/>
          <w:color w:val="auto"/>
        </w:rPr>
      </w:pPr>
    </w:p>
    <w:p>
      <w:pPr>
        <w:pStyle w:val="2"/>
        <w:ind w:firstLine="480"/>
        <w:rPr>
          <w:rFonts w:hint="eastAsia" w:ascii="宋体" w:hAnsi="宋体" w:eastAsia="宋体" w:cs="宋体"/>
          <w:color w:val="auto"/>
        </w:rPr>
      </w:pPr>
    </w:p>
    <w:p>
      <w:pPr>
        <w:pStyle w:val="2"/>
        <w:ind w:firstLine="480"/>
        <w:rPr>
          <w:rFonts w:hint="eastAsia" w:ascii="宋体" w:hAnsi="宋体" w:eastAsia="宋体" w:cs="宋体"/>
          <w:color w:val="auto"/>
        </w:rPr>
      </w:pPr>
    </w:p>
    <w:p>
      <w:pPr>
        <w:pStyle w:val="2"/>
        <w:ind w:firstLine="480"/>
        <w:rPr>
          <w:rFonts w:hint="eastAsia" w:ascii="宋体" w:hAnsi="宋体" w:eastAsia="宋体" w:cs="宋体"/>
          <w:color w:val="auto"/>
        </w:rPr>
      </w:pPr>
    </w:p>
    <w:p>
      <w:pPr>
        <w:pStyle w:val="2"/>
        <w:ind w:firstLine="480"/>
        <w:rPr>
          <w:rFonts w:hint="eastAsia" w:ascii="宋体" w:hAnsi="宋体" w:eastAsia="宋体" w:cs="宋体"/>
          <w:color w:val="auto"/>
        </w:rPr>
      </w:pPr>
    </w:p>
    <w:p>
      <w:pPr>
        <w:pStyle w:val="2"/>
        <w:ind w:firstLine="480"/>
        <w:rPr>
          <w:rFonts w:hint="eastAsia" w:ascii="宋体" w:hAnsi="宋体" w:eastAsia="宋体" w:cs="宋体"/>
          <w:color w:val="auto"/>
        </w:rPr>
      </w:pPr>
    </w:p>
    <w:p>
      <w:pPr>
        <w:pStyle w:val="2"/>
        <w:ind w:firstLine="480"/>
        <w:rPr>
          <w:rFonts w:hint="eastAsia" w:ascii="宋体" w:hAnsi="宋体" w:eastAsia="宋体" w:cs="宋体"/>
          <w:color w:val="auto"/>
        </w:rPr>
      </w:pPr>
    </w:p>
    <w:p>
      <w:pPr>
        <w:pStyle w:val="2"/>
        <w:ind w:firstLine="480"/>
        <w:rPr>
          <w:rFonts w:hint="eastAsia" w:ascii="宋体" w:hAnsi="宋体" w:eastAsia="宋体" w:cs="宋体"/>
          <w:color w:val="auto"/>
        </w:rPr>
      </w:pPr>
    </w:p>
    <w:p>
      <w:pPr>
        <w:pStyle w:val="2"/>
        <w:ind w:firstLine="480"/>
        <w:rPr>
          <w:rFonts w:hint="eastAsia" w:ascii="宋体" w:hAnsi="宋体" w:eastAsia="宋体" w:cs="宋体"/>
          <w:color w:val="auto"/>
        </w:rPr>
      </w:pPr>
    </w:p>
    <w:p>
      <w:pPr>
        <w:pStyle w:val="2"/>
        <w:ind w:firstLine="480"/>
        <w:rPr>
          <w:rFonts w:hint="eastAsia" w:ascii="宋体" w:hAnsi="宋体" w:eastAsia="宋体" w:cs="宋体"/>
          <w:color w:val="auto"/>
        </w:rPr>
      </w:pPr>
      <w:r>
        <w:rPr>
          <w:rFonts w:hint="eastAsia" w:ascii="宋体" w:hAnsi="宋体" w:eastAsia="宋体" w:cs="宋体"/>
          <w:color w:val="auto"/>
          <w:lang w:eastAsia="zh-CN"/>
        </w:rPr>
        <w:drawing>
          <wp:anchor distT="0" distB="0" distL="114300" distR="114300" simplePos="0" relativeHeight="251660288" behindDoc="0" locked="0" layoutInCell="1" allowOverlap="1">
            <wp:simplePos x="0" y="0"/>
            <wp:positionH relativeFrom="column">
              <wp:posOffset>219075</wp:posOffset>
            </wp:positionH>
            <wp:positionV relativeFrom="paragraph">
              <wp:posOffset>325755</wp:posOffset>
            </wp:positionV>
            <wp:extent cx="5245100" cy="7420610"/>
            <wp:effectExtent l="0" t="0" r="12700" b="8890"/>
            <wp:wrapNone/>
            <wp:docPr id="3" name="图片 3" descr="13-中心城区燃气管网规划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13-中心城区燃气管网规划图"/>
                    <pic:cNvPicPr>
                      <a:picLocks noChangeAspect="1"/>
                    </pic:cNvPicPr>
                  </pic:nvPicPr>
                  <pic:blipFill>
                    <a:blip r:embed="rId8"/>
                    <a:stretch>
                      <a:fillRect/>
                    </a:stretch>
                  </pic:blipFill>
                  <pic:spPr>
                    <a:xfrm>
                      <a:off x="0" y="0"/>
                      <a:ext cx="5245100" cy="7420610"/>
                    </a:xfrm>
                    <a:prstGeom prst="rect">
                      <a:avLst/>
                    </a:prstGeom>
                    <a:solidFill>
                      <a:schemeClr val="lt1"/>
                    </a:solidFill>
                  </pic:spPr>
                </pic:pic>
              </a:graphicData>
            </a:graphic>
          </wp:anchor>
        </w:drawing>
      </w:r>
    </w:p>
    <w:p>
      <w:pPr>
        <w:pStyle w:val="2"/>
        <w:ind w:firstLine="480"/>
        <w:rPr>
          <w:rFonts w:hint="eastAsia" w:ascii="宋体" w:hAnsi="宋体" w:eastAsia="宋体" w:cs="宋体"/>
          <w:color w:val="auto"/>
        </w:rPr>
      </w:pPr>
    </w:p>
    <w:p>
      <w:pPr>
        <w:pStyle w:val="2"/>
        <w:ind w:firstLine="480"/>
        <w:rPr>
          <w:rFonts w:hint="eastAsia" w:ascii="宋体" w:hAnsi="宋体" w:eastAsia="宋体" w:cs="宋体"/>
          <w:color w:val="auto"/>
          <w:lang w:eastAsia="zh-CN"/>
        </w:rPr>
      </w:pPr>
    </w:p>
    <w:p>
      <w:pPr>
        <w:pStyle w:val="2"/>
        <w:ind w:firstLine="480"/>
        <w:rPr>
          <w:rFonts w:hint="eastAsia" w:ascii="宋体" w:hAnsi="宋体" w:eastAsia="宋体" w:cs="宋体"/>
          <w:color w:val="auto"/>
          <w:lang w:eastAsia="zh-CN"/>
        </w:rPr>
      </w:pPr>
    </w:p>
    <w:p>
      <w:pPr>
        <w:pStyle w:val="2"/>
        <w:ind w:firstLine="480"/>
        <w:rPr>
          <w:rFonts w:hint="eastAsia" w:ascii="宋体" w:hAnsi="宋体" w:eastAsia="宋体" w:cs="宋体"/>
          <w:color w:val="auto"/>
        </w:rPr>
      </w:pPr>
    </w:p>
    <w:p>
      <w:pPr>
        <w:pStyle w:val="2"/>
        <w:ind w:firstLine="480"/>
        <w:rPr>
          <w:rFonts w:hint="eastAsia" w:ascii="宋体" w:hAnsi="宋体" w:eastAsia="宋体" w:cs="宋体"/>
          <w:color w:val="auto"/>
        </w:rPr>
      </w:pPr>
    </w:p>
    <w:p>
      <w:pPr>
        <w:pStyle w:val="2"/>
        <w:ind w:firstLine="480"/>
        <w:rPr>
          <w:rFonts w:hint="eastAsia" w:ascii="宋体" w:hAnsi="宋体" w:eastAsia="宋体" w:cs="宋体"/>
          <w:color w:val="auto"/>
        </w:rPr>
      </w:pPr>
    </w:p>
    <w:p>
      <w:pPr>
        <w:widowControl/>
        <w:spacing w:after="0" w:line="240" w:lineRule="auto"/>
        <w:jc w:val="left"/>
        <w:rPr>
          <w:rFonts w:hint="eastAsia" w:ascii="宋体" w:hAnsi="宋体" w:eastAsia="宋体" w:cs="宋体"/>
          <w:color w:val="auto"/>
          <w:sz w:val="24"/>
        </w:rPr>
      </w:pPr>
      <w:r>
        <w:rPr>
          <w:rFonts w:hint="eastAsia" w:ascii="宋体" w:hAnsi="宋体" w:eastAsia="宋体" w:cs="宋体"/>
          <w:color w:val="auto"/>
        </w:rPr>
        <w:br w:type="page"/>
      </w:r>
    </w:p>
    <w:p>
      <w:pPr>
        <w:widowControl/>
        <w:spacing w:after="0" w:line="240" w:lineRule="auto"/>
        <w:jc w:val="left"/>
        <w:rPr>
          <w:rFonts w:hint="eastAsia" w:ascii="宋体" w:hAnsi="宋体" w:eastAsia="宋体" w:cs="宋体"/>
          <w:color w:val="auto"/>
          <w:lang w:eastAsia="zh-CN"/>
        </w:rPr>
      </w:pPr>
      <w:r>
        <w:rPr>
          <w:rFonts w:hint="eastAsia" w:ascii="宋体" w:hAnsi="宋体" w:eastAsia="宋体" w:cs="宋体"/>
          <w:color w:val="auto"/>
          <w:lang w:eastAsia="zh-CN"/>
        </w:rPr>
        <w:drawing>
          <wp:anchor distT="0" distB="0" distL="114300" distR="114300" simplePos="0" relativeHeight="251661312" behindDoc="0" locked="0" layoutInCell="1" allowOverlap="1">
            <wp:simplePos x="0" y="0"/>
            <wp:positionH relativeFrom="column">
              <wp:posOffset>123825</wp:posOffset>
            </wp:positionH>
            <wp:positionV relativeFrom="paragraph">
              <wp:posOffset>354330</wp:posOffset>
            </wp:positionV>
            <wp:extent cx="5245100" cy="7420610"/>
            <wp:effectExtent l="0" t="0" r="12700" b="8890"/>
            <wp:wrapNone/>
            <wp:docPr id="4" name="图片 4" descr="15-燃气管网近期规划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5-燃气管网近期规划图"/>
                    <pic:cNvPicPr>
                      <a:picLocks noChangeAspect="1"/>
                    </pic:cNvPicPr>
                  </pic:nvPicPr>
                  <pic:blipFill>
                    <a:blip r:embed="rId9"/>
                    <a:stretch>
                      <a:fillRect/>
                    </a:stretch>
                  </pic:blipFill>
                  <pic:spPr>
                    <a:xfrm>
                      <a:off x="0" y="0"/>
                      <a:ext cx="5245100" cy="7420610"/>
                    </a:xfrm>
                    <a:prstGeom prst="rect">
                      <a:avLst/>
                    </a:prstGeom>
                    <a:solidFill>
                      <a:schemeClr val="lt1"/>
                    </a:solidFill>
                  </pic:spPr>
                </pic:pic>
              </a:graphicData>
            </a:graphic>
          </wp:anchor>
        </w:drawing>
      </w:r>
    </w:p>
    <w:sectPr>
      <w:footerReference r:id="rId5" w:type="default"/>
      <w:pgSz w:w="11906" w:h="16838"/>
      <w:pgMar w:top="1440" w:right="1803" w:bottom="1440" w:left="1797" w:header="851" w:footer="992" w:gutter="0"/>
      <w:pgNumType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_x0000_s1027" o:spid="_x0000_s1027"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path/>
          <v:fill on="f" focussize="0,0"/>
          <v:stroke on="f" weight="0.5pt" joinstyle="miter"/>
          <v:imagedata o:title=""/>
          <o:lock v:ext="edit"/>
          <v:textbox inset="0mm,0mm,0mm,0mm" style="mso-fit-shape-to-text:t;">
            <w:txbxContent>
              <w:p>
                <w:pPr>
                  <w:pStyle w:val="13"/>
                  <w:rPr>
                    <w:sz w:val="21"/>
                    <w:szCs w:val="21"/>
                  </w:rPr>
                </w:pPr>
                <w:r>
                  <w:rPr>
                    <w:sz w:val="21"/>
                    <w:szCs w:val="21"/>
                  </w:rPr>
                  <w:fldChar w:fldCharType="begin"/>
                </w:r>
                <w:r>
                  <w:rPr>
                    <w:sz w:val="21"/>
                    <w:szCs w:val="21"/>
                  </w:rPr>
                  <w:instrText xml:space="preserve"> PAGE  \* MERGEFORMAT </w:instrText>
                </w:r>
                <w:r>
                  <w:rPr>
                    <w:sz w:val="21"/>
                    <w:szCs w:val="21"/>
                  </w:rPr>
                  <w:fldChar w:fldCharType="separate"/>
                </w:r>
                <w:r>
                  <w:rPr>
                    <w:sz w:val="21"/>
                    <w:szCs w:val="21"/>
                  </w:rPr>
                  <w:t>9</w:t>
                </w:r>
                <w:r>
                  <w:rPr>
                    <w:sz w:val="21"/>
                    <w:szCs w:val="21"/>
                  </w:rPr>
                  <w:fldChar w:fldCharType="end"/>
                </w:r>
              </w:p>
            </w:txbxContent>
          </v:textbox>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757A305"/>
    <w:multiLevelType w:val="singleLevel"/>
    <w:tmpl w:val="C757A305"/>
    <w:lvl w:ilvl="0" w:tentative="0">
      <w:start w:val="1"/>
      <w:numFmt w:val="chineseCounting"/>
      <w:pStyle w:val="3"/>
      <w:suff w:val="nothing"/>
      <w:lvlText w:val="第%1章 "/>
      <w:lvlJc w:val="left"/>
      <w:pPr>
        <w:tabs>
          <w:tab w:val="left" w:pos="998"/>
        </w:tabs>
        <w:ind w:left="998" w:firstLine="420"/>
      </w:pPr>
      <w:rPr>
        <w:rFonts w:hint="eastAsia" w:ascii="宋体" w:hAnsi="宋体" w:eastAsia="宋体" w:cs="宋体"/>
      </w:rPr>
    </w:lvl>
  </w:abstractNum>
  <w:abstractNum w:abstractNumId="1">
    <w:nsid w:val="00000010"/>
    <w:multiLevelType w:val="multilevel"/>
    <w:tmpl w:val="00000010"/>
    <w:lvl w:ilvl="0" w:tentative="0">
      <w:start w:val="1"/>
      <w:numFmt w:val="decimal"/>
      <w:pStyle w:val="5"/>
      <w:lvlText w:val="%1."/>
      <w:lvlJc w:val="left"/>
      <w:pPr>
        <w:ind w:left="420" w:hanging="420"/>
      </w:pPr>
    </w:lvl>
    <w:lvl w:ilvl="1" w:tentative="0">
      <w:start w:val="1"/>
      <w:numFmt w:val="lowerLetter"/>
      <w:lvlText w:val="%2)"/>
      <w:lvlJc w:val="left"/>
      <w:pPr>
        <w:ind w:left="682" w:hanging="420"/>
      </w:pPr>
    </w:lvl>
    <w:lvl w:ilvl="2" w:tentative="0">
      <w:start w:val="1"/>
      <w:numFmt w:val="lowerRoman"/>
      <w:lvlText w:val="%3."/>
      <w:lvlJc w:val="right"/>
      <w:pPr>
        <w:ind w:left="1102" w:hanging="420"/>
      </w:pPr>
    </w:lvl>
    <w:lvl w:ilvl="3" w:tentative="0">
      <w:start w:val="1"/>
      <w:numFmt w:val="decimal"/>
      <w:lvlText w:val="%4."/>
      <w:lvlJc w:val="left"/>
      <w:pPr>
        <w:ind w:left="1522" w:hanging="420"/>
      </w:pPr>
    </w:lvl>
    <w:lvl w:ilvl="4" w:tentative="0">
      <w:start w:val="1"/>
      <w:numFmt w:val="lowerLetter"/>
      <w:lvlText w:val="%5)"/>
      <w:lvlJc w:val="left"/>
      <w:pPr>
        <w:ind w:left="1942" w:hanging="420"/>
      </w:pPr>
    </w:lvl>
    <w:lvl w:ilvl="5" w:tentative="0">
      <w:start w:val="1"/>
      <w:numFmt w:val="lowerRoman"/>
      <w:lvlText w:val="%6."/>
      <w:lvlJc w:val="right"/>
      <w:pPr>
        <w:ind w:left="2362" w:hanging="420"/>
      </w:pPr>
    </w:lvl>
    <w:lvl w:ilvl="6" w:tentative="0">
      <w:start w:val="1"/>
      <w:numFmt w:val="decimal"/>
      <w:lvlText w:val="%7."/>
      <w:lvlJc w:val="left"/>
      <w:pPr>
        <w:ind w:left="2782" w:hanging="420"/>
      </w:pPr>
    </w:lvl>
    <w:lvl w:ilvl="7" w:tentative="0">
      <w:start w:val="1"/>
      <w:numFmt w:val="lowerLetter"/>
      <w:lvlText w:val="%8)"/>
      <w:lvlJc w:val="left"/>
      <w:pPr>
        <w:ind w:left="3202" w:hanging="420"/>
      </w:pPr>
    </w:lvl>
    <w:lvl w:ilvl="8" w:tentative="0">
      <w:start w:val="1"/>
      <w:numFmt w:val="lowerRoman"/>
      <w:lvlText w:val="%9."/>
      <w:lvlJc w:val="right"/>
      <w:pPr>
        <w:ind w:left="3622" w:hanging="420"/>
      </w:pPr>
    </w:lvl>
  </w:abstractNum>
  <w:abstractNum w:abstractNumId="2">
    <w:nsid w:val="1E2F1ED9"/>
    <w:multiLevelType w:val="multilevel"/>
    <w:tmpl w:val="1E2F1ED9"/>
    <w:lvl w:ilvl="0" w:tentative="0">
      <w:start w:val="1"/>
      <w:numFmt w:val="chineseCountingThousand"/>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
    <w:nsid w:val="680DE02B"/>
    <w:multiLevelType w:val="singleLevel"/>
    <w:tmpl w:val="680DE02B"/>
    <w:lvl w:ilvl="0" w:tentative="0">
      <w:start w:val="3"/>
      <w:numFmt w:val="decimal"/>
      <w:suff w:val="nothing"/>
      <w:lvlText w:val="%1、"/>
      <w:lvlJc w:val="left"/>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HorizontalSpacing w:val="105"/>
  <w:drawingGridVerticalSpacing w:val="156"/>
  <w:displayHorizontalDrawingGridEvery w:val="2"/>
  <w:displayVerticalDrawingGridEvery w:val="2"/>
  <w:noPunctuationKerning w:val="1"/>
  <w:characterSpacingControl w:val="compressPunctuation"/>
  <w:hdrShapeDefaults>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MzNmMDAxZTBjODgyYmM3MDEwYzljZDVlOTJjMjYwZTUifQ=="/>
  </w:docVars>
  <w:rsids>
    <w:rsidRoot w:val="001569B0"/>
    <w:rsid w:val="00001003"/>
    <w:rsid w:val="000013EE"/>
    <w:rsid w:val="0001700B"/>
    <w:rsid w:val="00025237"/>
    <w:rsid w:val="000471F2"/>
    <w:rsid w:val="00047CBE"/>
    <w:rsid w:val="0006268E"/>
    <w:rsid w:val="000758A0"/>
    <w:rsid w:val="0008171F"/>
    <w:rsid w:val="00084780"/>
    <w:rsid w:val="00090611"/>
    <w:rsid w:val="000A5C75"/>
    <w:rsid w:val="000B5780"/>
    <w:rsid w:val="000D3AAE"/>
    <w:rsid w:val="000D60C4"/>
    <w:rsid w:val="000F589D"/>
    <w:rsid w:val="000F774E"/>
    <w:rsid w:val="0010778B"/>
    <w:rsid w:val="00123ED3"/>
    <w:rsid w:val="00140D98"/>
    <w:rsid w:val="001553B5"/>
    <w:rsid w:val="001569B0"/>
    <w:rsid w:val="0017007D"/>
    <w:rsid w:val="001954FF"/>
    <w:rsid w:val="00195EAA"/>
    <w:rsid w:val="001A0225"/>
    <w:rsid w:val="001A288B"/>
    <w:rsid w:val="001A6F73"/>
    <w:rsid w:val="001C65D9"/>
    <w:rsid w:val="001D63DA"/>
    <w:rsid w:val="001E4825"/>
    <w:rsid w:val="001E6CBD"/>
    <w:rsid w:val="001E6E82"/>
    <w:rsid w:val="00203447"/>
    <w:rsid w:val="00236DE1"/>
    <w:rsid w:val="002420B9"/>
    <w:rsid w:val="00242F14"/>
    <w:rsid w:val="002509C5"/>
    <w:rsid w:val="00253BC8"/>
    <w:rsid w:val="00255A27"/>
    <w:rsid w:val="00263963"/>
    <w:rsid w:val="00273923"/>
    <w:rsid w:val="0027626B"/>
    <w:rsid w:val="002816A4"/>
    <w:rsid w:val="002867C4"/>
    <w:rsid w:val="002B1F35"/>
    <w:rsid w:val="002D05C5"/>
    <w:rsid w:val="002D246B"/>
    <w:rsid w:val="002D328D"/>
    <w:rsid w:val="002D6249"/>
    <w:rsid w:val="002E6115"/>
    <w:rsid w:val="002F14AF"/>
    <w:rsid w:val="003245A8"/>
    <w:rsid w:val="00332B0A"/>
    <w:rsid w:val="00332C2A"/>
    <w:rsid w:val="003360DD"/>
    <w:rsid w:val="0035520F"/>
    <w:rsid w:val="003560FC"/>
    <w:rsid w:val="00363308"/>
    <w:rsid w:val="0038348F"/>
    <w:rsid w:val="003B276D"/>
    <w:rsid w:val="003B437F"/>
    <w:rsid w:val="003C5723"/>
    <w:rsid w:val="003E1A5D"/>
    <w:rsid w:val="003E5BB0"/>
    <w:rsid w:val="003E778A"/>
    <w:rsid w:val="003F3A5E"/>
    <w:rsid w:val="003F6C9A"/>
    <w:rsid w:val="004105C6"/>
    <w:rsid w:val="00413A3A"/>
    <w:rsid w:val="00423547"/>
    <w:rsid w:val="00430884"/>
    <w:rsid w:val="00473C95"/>
    <w:rsid w:val="0047788D"/>
    <w:rsid w:val="004861A2"/>
    <w:rsid w:val="004867B2"/>
    <w:rsid w:val="004903FE"/>
    <w:rsid w:val="004968F6"/>
    <w:rsid w:val="004B03A0"/>
    <w:rsid w:val="004B04F2"/>
    <w:rsid w:val="004C0297"/>
    <w:rsid w:val="004E413B"/>
    <w:rsid w:val="004E739E"/>
    <w:rsid w:val="004E7792"/>
    <w:rsid w:val="004F38F2"/>
    <w:rsid w:val="004F4653"/>
    <w:rsid w:val="00500BFB"/>
    <w:rsid w:val="00503B0A"/>
    <w:rsid w:val="00525893"/>
    <w:rsid w:val="005328CA"/>
    <w:rsid w:val="00545508"/>
    <w:rsid w:val="00554110"/>
    <w:rsid w:val="00555B8E"/>
    <w:rsid w:val="00557A12"/>
    <w:rsid w:val="00561A81"/>
    <w:rsid w:val="00592431"/>
    <w:rsid w:val="00593B15"/>
    <w:rsid w:val="005B7F66"/>
    <w:rsid w:val="005C43C7"/>
    <w:rsid w:val="005E0F6A"/>
    <w:rsid w:val="005E1600"/>
    <w:rsid w:val="005E4E63"/>
    <w:rsid w:val="005E5FDB"/>
    <w:rsid w:val="005F0B4B"/>
    <w:rsid w:val="00600452"/>
    <w:rsid w:val="006031AF"/>
    <w:rsid w:val="006102B0"/>
    <w:rsid w:val="006119D3"/>
    <w:rsid w:val="0061703A"/>
    <w:rsid w:val="00622BB7"/>
    <w:rsid w:val="0062408B"/>
    <w:rsid w:val="0063506D"/>
    <w:rsid w:val="0063682C"/>
    <w:rsid w:val="00653E00"/>
    <w:rsid w:val="00656E87"/>
    <w:rsid w:val="00696DCD"/>
    <w:rsid w:val="006B184F"/>
    <w:rsid w:val="006B71D9"/>
    <w:rsid w:val="006D2072"/>
    <w:rsid w:val="00721DEE"/>
    <w:rsid w:val="00731BE1"/>
    <w:rsid w:val="00750DEF"/>
    <w:rsid w:val="00774FDD"/>
    <w:rsid w:val="00776089"/>
    <w:rsid w:val="00786093"/>
    <w:rsid w:val="007A1344"/>
    <w:rsid w:val="007A7CB2"/>
    <w:rsid w:val="007C2D8E"/>
    <w:rsid w:val="007C3692"/>
    <w:rsid w:val="007C4827"/>
    <w:rsid w:val="007F762F"/>
    <w:rsid w:val="00805018"/>
    <w:rsid w:val="008058B0"/>
    <w:rsid w:val="008134D6"/>
    <w:rsid w:val="00821316"/>
    <w:rsid w:val="008238D5"/>
    <w:rsid w:val="00864CAF"/>
    <w:rsid w:val="00894ECD"/>
    <w:rsid w:val="008A0EE2"/>
    <w:rsid w:val="008A192A"/>
    <w:rsid w:val="008A54AC"/>
    <w:rsid w:val="008C0793"/>
    <w:rsid w:val="008E2290"/>
    <w:rsid w:val="008E7157"/>
    <w:rsid w:val="008F5C65"/>
    <w:rsid w:val="00906B0E"/>
    <w:rsid w:val="009105DE"/>
    <w:rsid w:val="0091406F"/>
    <w:rsid w:val="00921E35"/>
    <w:rsid w:val="00922C5D"/>
    <w:rsid w:val="0093271F"/>
    <w:rsid w:val="00945767"/>
    <w:rsid w:val="0095160F"/>
    <w:rsid w:val="00954D9B"/>
    <w:rsid w:val="00970BC6"/>
    <w:rsid w:val="00973988"/>
    <w:rsid w:val="00992BAC"/>
    <w:rsid w:val="009B262F"/>
    <w:rsid w:val="009D191E"/>
    <w:rsid w:val="009D7F13"/>
    <w:rsid w:val="009F4039"/>
    <w:rsid w:val="00A01612"/>
    <w:rsid w:val="00A051C1"/>
    <w:rsid w:val="00A07AE3"/>
    <w:rsid w:val="00A26BF0"/>
    <w:rsid w:val="00A32F2D"/>
    <w:rsid w:val="00A341FE"/>
    <w:rsid w:val="00A421DF"/>
    <w:rsid w:val="00A53D83"/>
    <w:rsid w:val="00A57629"/>
    <w:rsid w:val="00A8516B"/>
    <w:rsid w:val="00AA428A"/>
    <w:rsid w:val="00AB31E6"/>
    <w:rsid w:val="00AD5DD9"/>
    <w:rsid w:val="00AE078B"/>
    <w:rsid w:val="00B021AC"/>
    <w:rsid w:val="00B02EDB"/>
    <w:rsid w:val="00B040CA"/>
    <w:rsid w:val="00B245EA"/>
    <w:rsid w:val="00B251C5"/>
    <w:rsid w:val="00B36E2D"/>
    <w:rsid w:val="00B53866"/>
    <w:rsid w:val="00B66321"/>
    <w:rsid w:val="00B66464"/>
    <w:rsid w:val="00B84C78"/>
    <w:rsid w:val="00B86577"/>
    <w:rsid w:val="00BC0A4E"/>
    <w:rsid w:val="00BC3D72"/>
    <w:rsid w:val="00BD0DCA"/>
    <w:rsid w:val="00BD6C75"/>
    <w:rsid w:val="00BE2887"/>
    <w:rsid w:val="00BE7D96"/>
    <w:rsid w:val="00BF12B6"/>
    <w:rsid w:val="00C0163C"/>
    <w:rsid w:val="00C35CBD"/>
    <w:rsid w:val="00C40E1E"/>
    <w:rsid w:val="00C41D7A"/>
    <w:rsid w:val="00C455CB"/>
    <w:rsid w:val="00C504BE"/>
    <w:rsid w:val="00C51973"/>
    <w:rsid w:val="00C70381"/>
    <w:rsid w:val="00CA1E06"/>
    <w:rsid w:val="00CA3087"/>
    <w:rsid w:val="00CB056F"/>
    <w:rsid w:val="00CB1A8F"/>
    <w:rsid w:val="00D133B9"/>
    <w:rsid w:val="00D25122"/>
    <w:rsid w:val="00D41235"/>
    <w:rsid w:val="00D51330"/>
    <w:rsid w:val="00D5331D"/>
    <w:rsid w:val="00D53808"/>
    <w:rsid w:val="00D54FAF"/>
    <w:rsid w:val="00D608E5"/>
    <w:rsid w:val="00D63F0C"/>
    <w:rsid w:val="00D75CEF"/>
    <w:rsid w:val="00D76D86"/>
    <w:rsid w:val="00D91F5A"/>
    <w:rsid w:val="00DA3CAB"/>
    <w:rsid w:val="00DA6576"/>
    <w:rsid w:val="00DC100D"/>
    <w:rsid w:val="00DC5622"/>
    <w:rsid w:val="00DC61B5"/>
    <w:rsid w:val="00DC64BE"/>
    <w:rsid w:val="00DE2691"/>
    <w:rsid w:val="00E06D25"/>
    <w:rsid w:val="00E11A3F"/>
    <w:rsid w:val="00E236CC"/>
    <w:rsid w:val="00E34BF2"/>
    <w:rsid w:val="00E475F7"/>
    <w:rsid w:val="00E52A8B"/>
    <w:rsid w:val="00E57E7E"/>
    <w:rsid w:val="00E735FA"/>
    <w:rsid w:val="00E77A23"/>
    <w:rsid w:val="00E96A47"/>
    <w:rsid w:val="00E96E4B"/>
    <w:rsid w:val="00EA54FA"/>
    <w:rsid w:val="00EC4C22"/>
    <w:rsid w:val="00ED3333"/>
    <w:rsid w:val="00EE2741"/>
    <w:rsid w:val="00EE5B69"/>
    <w:rsid w:val="00EF1A3E"/>
    <w:rsid w:val="00F11BA5"/>
    <w:rsid w:val="00F121D1"/>
    <w:rsid w:val="00F2051F"/>
    <w:rsid w:val="00F35BD8"/>
    <w:rsid w:val="00F36436"/>
    <w:rsid w:val="00F66035"/>
    <w:rsid w:val="00F70BAD"/>
    <w:rsid w:val="00F77EFA"/>
    <w:rsid w:val="00F82357"/>
    <w:rsid w:val="00F82D23"/>
    <w:rsid w:val="00F91581"/>
    <w:rsid w:val="00FA2B3C"/>
    <w:rsid w:val="00FA3EFC"/>
    <w:rsid w:val="00FB1109"/>
    <w:rsid w:val="00FB4F92"/>
    <w:rsid w:val="00FB66E5"/>
    <w:rsid w:val="00FE1AE5"/>
    <w:rsid w:val="00FE3C30"/>
    <w:rsid w:val="00FE45A4"/>
    <w:rsid w:val="014868D6"/>
    <w:rsid w:val="014B6DB6"/>
    <w:rsid w:val="014B7D31"/>
    <w:rsid w:val="03BE360A"/>
    <w:rsid w:val="040C7642"/>
    <w:rsid w:val="0486156C"/>
    <w:rsid w:val="049C0C5D"/>
    <w:rsid w:val="04ED321B"/>
    <w:rsid w:val="04F5403C"/>
    <w:rsid w:val="051931EE"/>
    <w:rsid w:val="059C0ED7"/>
    <w:rsid w:val="06127A7D"/>
    <w:rsid w:val="069A2306"/>
    <w:rsid w:val="06F7056F"/>
    <w:rsid w:val="06FC5918"/>
    <w:rsid w:val="08681C10"/>
    <w:rsid w:val="08C17F84"/>
    <w:rsid w:val="08E83CAC"/>
    <w:rsid w:val="09605449"/>
    <w:rsid w:val="0A1724EC"/>
    <w:rsid w:val="0A570314"/>
    <w:rsid w:val="0AB135FF"/>
    <w:rsid w:val="0B542216"/>
    <w:rsid w:val="0B6C2AAA"/>
    <w:rsid w:val="0B725406"/>
    <w:rsid w:val="0B8C1B18"/>
    <w:rsid w:val="0C082BF2"/>
    <w:rsid w:val="0C1C1816"/>
    <w:rsid w:val="0C47780E"/>
    <w:rsid w:val="0CC600A0"/>
    <w:rsid w:val="0D660E79"/>
    <w:rsid w:val="0D911EE0"/>
    <w:rsid w:val="0ECC778E"/>
    <w:rsid w:val="0F1839CA"/>
    <w:rsid w:val="0F715CCF"/>
    <w:rsid w:val="0FDD1F1C"/>
    <w:rsid w:val="10177124"/>
    <w:rsid w:val="1025597B"/>
    <w:rsid w:val="104E44E4"/>
    <w:rsid w:val="105F2674"/>
    <w:rsid w:val="10790FE5"/>
    <w:rsid w:val="107A2A82"/>
    <w:rsid w:val="10817182"/>
    <w:rsid w:val="10C34D56"/>
    <w:rsid w:val="113072D7"/>
    <w:rsid w:val="11815416"/>
    <w:rsid w:val="119231F9"/>
    <w:rsid w:val="11C3063E"/>
    <w:rsid w:val="11D9617B"/>
    <w:rsid w:val="11DC1DA7"/>
    <w:rsid w:val="127A08CF"/>
    <w:rsid w:val="131925DE"/>
    <w:rsid w:val="138E444B"/>
    <w:rsid w:val="13DE29B0"/>
    <w:rsid w:val="14A775EA"/>
    <w:rsid w:val="14D94773"/>
    <w:rsid w:val="15586EC4"/>
    <w:rsid w:val="16010BA7"/>
    <w:rsid w:val="16310DCE"/>
    <w:rsid w:val="16322E04"/>
    <w:rsid w:val="16362534"/>
    <w:rsid w:val="170571B0"/>
    <w:rsid w:val="17355AE1"/>
    <w:rsid w:val="178F4070"/>
    <w:rsid w:val="17C70888"/>
    <w:rsid w:val="183222AC"/>
    <w:rsid w:val="18555389"/>
    <w:rsid w:val="18645815"/>
    <w:rsid w:val="18693A81"/>
    <w:rsid w:val="19FB42AB"/>
    <w:rsid w:val="1A2E515C"/>
    <w:rsid w:val="1A6F0BB7"/>
    <w:rsid w:val="1A974D27"/>
    <w:rsid w:val="1A9A7650"/>
    <w:rsid w:val="1B404651"/>
    <w:rsid w:val="1B8D7D37"/>
    <w:rsid w:val="1BEA5747"/>
    <w:rsid w:val="1BF65EFA"/>
    <w:rsid w:val="1C343C9E"/>
    <w:rsid w:val="1CBC2DA9"/>
    <w:rsid w:val="1CEC2B3E"/>
    <w:rsid w:val="1D0B655C"/>
    <w:rsid w:val="1D734A0C"/>
    <w:rsid w:val="1DFB5F54"/>
    <w:rsid w:val="1E4F4610"/>
    <w:rsid w:val="2020618A"/>
    <w:rsid w:val="202A06D6"/>
    <w:rsid w:val="207B1C56"/>
    <w:rsid w:val="20E35871"/>
    <w:rsid w:val="21567046"/>
    <w:rsid w:val="217B4CED"/>
    <w:rsid w:val="21972AA0"/>
    <w:rsid w:val="22334283"/>
    <w:rsid w:val="22AC45A6"/>
    <w:rsid w:val="23DF51AB"/>
    <w:rsid w:val="248655AA"/>
    <w:rsid w:val="24FF52FB"/>
    <w:rsid w:val="25561307"/>
    <w:rsid w:val="25D00ACE"/>
    <w:rsid w:val="2629095F"/>
    <w:rsid w:val="2680320C"/>
    <w:rsid w:val="276252F3"/>
    <w:rsid w:val="279D2F43"/>
    <w:rsid w:val="28492D10"/>
    <w:rsid w:val="28A76D6D"/>
    <w:rsid w:val="28AB1AFF"/>
    <w:rsid w:val="28B12803"/>
    <w:rsid w:val="28E62EF9"/>
    <w:rsid w:val="292044B0"/>
    <w:rsid w:val="29DA269C"/>
    <w:rsid w:val="2BF308C4"/>
    <w:rsid w:val="2D915768"/>
    <w:rsid w:val="2D946079"/>
    <w:rsid w:val="2DAA2B8B"/>
    <w:rsid w:val="2E086395"/>
    <w:rsid w:val="2E9948C0"/>
    <w:rsid w:val="2FAA0CF1"/>
    <w:rsid w:val="30A316A4"/>
    <w:rsid w:val="30A532D8"/>
    <w:rsid w:val="30D7536C"/>
    <w:rsid w:val="31244B45"/>
    <w:rsid w:val="31AF717C"/>
    <w:rsid w:val="31B45C6F"/>
    <w:rsid w:val="32024E86"/>
    <w:rsid w:val="323D35C1"/>
    <w:rsid w:val="33130636"/>
    <w:rsid w:val="33341FEE"/>
    <w:rsid w:val="33D27588"/>
    <w:rsid w:val="33D51255"/>
    <w:rsid w:val="33D80194"/>
    <w:rsid w:val="33F50CB2"/>
    <w:rsid w:val="33FD4FA4"/>
    <w:rsid w:val="3488745B"/>
    <w:rsid w:val="34A87D82"/>
    <w:rsid w:val="34E6283D"/>
    <w:rsid w:val="35333637"/>
    <w:rsid w:val="3552463B"/>
    <w:rsid w:val="35660FCE"/>
    <w:rsid w:val="35A874EB"/>
    <w:rsid w:val="35C00B5B"/>
    <w:rsid w:val="35EC2D31"/>
    <w:rsid w:val="36364D84"/>
    <w:rsid w:val="363B0FB3"/>
    <w:rsid w:val="36CF1B3C"/>
    <w:rsid w:val="374161FE"/>
    <w:rsid w:val="37AD1E67"/>
    <w:rsid w:val="381A5FF7"/>
    <w:rsid w:val="389C45AA"/>
    <w:rsid w:val="399D1665"/>
    <w:rsid w:val="3B025B2A"/>
    <w:rsid w:val="3B250177"/>
    <w:rsid w:val="3B666687"/>
    <w:rsid w:val="3B681C0B"/>
    <w:rsid w:val="3B7631B2"/>
    <w:rsid w:val="3B8F2A54"/>
    <w:rsid w:val="3BA91A83"/>
    <w:rsid w:val="3BCA70A5"/>
    <w:rsid w:val="3C1772DF"/>
    <w:rsid w:val="3C7F7CBD"/>
    <w:rsid w:val="3C981355"/>
    <w:rsid w:val="3CA04AFF"/>
    <w:rsid w:val="3CD41364"/>
    <w:rsid w:val="3DA61997"/>
    <w:rsid w:val="3DFF6BF7"/>
    <w:rsid w:val="3E1371BB"/>
    <w:rsid w:val="3E16521B"/>
    <w:rsid w:val="3EA36BF7"/>
    <w:rsid w:val="3ECC63B9"/>
    <w:rsid w:val="3F1E6E6D"/>
    <w:rsid w:val="3F632CDC"/>
    <w:rsid w:val="40071D65"/>
    <w:rsid w:val="400E22FB"/>
    <w:rsid w:val="401C4AEF"/>
    <w:rsid w:val="40424CAC"/>
    <w:rsid w:val="40B62FDA"/>
    <w:rsid w:val="40DF463B"/>
    <w:rsid w:val="41675BD4"/>
    <w:rsid w:val="41870188"/>
    <w:rsid w:val="41BE0726"/>
    <w:rsid w:val="420A3106"/>
    <w:rsid w:val="42142DCB"/>
    <w:rsid w:val="42D8691F"/>
    <w:rsid w:val="42EB3C66"/>
    <w:rsid w:val="441F0ECD"/>
    <w:rsid w:val="444A2328"/>
    <w:rsid w:val="449E5491"/>
    <w:rsid w:val="44BE3998"/>
    <w:rsid w:val="44C4421D"/>
    <w:rsid w:val="45475813"/>
    <w:rsid w:val="45C60832"/>
    <w:rsid w:val="45CD7002"/>
    <w:rsid w:val="461F7CE2"/>
    <w:rsid w:val="46345196"/>
    <w:rsid w:val="47160A32"/>
    <w:rsid w:val="484B7264"/>
    <w:rsid w:val="49200EFF"/>
    <w:rsid w:val="49821651"/>
    <w:rsid w:val="4A024309"/>
    <w:rsid w:val="4A5538CD"/>
    <w:rsid w:val="4A873D23"/>
    <w:rsid w:val="4B2A6B83"/>
    <w:rsid w:val="4C064DA0"/>
    <w:rsid w:val="4C2839D8"/>
    <w:rsid w:val="4C3C35D2"/>
    <w:rsid w:val="4C5A3058"/>
    <w:rsid w:val="4CEE62DB"/>
    <w:rsid w:val="4D183853"/>
    <w:rsid w:val="4D3D554A"/>
    <w:rsid w:val="4D99525E"/>
    <w:rsid w:val="4DB44FC5"/>
    <w:rsid w:val="4DEC7B28"/>
    <w:rsid w:val="4E542C6C"/>
    <w:rsid w:val="4E727211"/>
    <w:rsid w:val="4E8F6626"/>
    <w:rsid w:val="4EF163FE"/>
    <w:rsid w:val="4F6E3703"/>
    <w:rsid w:val="50451A40"/>
    <w:rsid w:val="50D22F08"/>
    <w:rsid w:val="51F17946"/>
    <w:rsid w:val="51F660E8"/>
    <w:rsid w:val="520239B2"/>
    <w:rsid w:val="527549CA"/>
    <w:rsid w:val="52B11A81"/>
    <w:rsid w:val="53012688"/>
    <w:rsid w:val="53414504"/>
    <w:rsid w:val="53BD0D81"/>
    <w:rsid w:val="54765AEE"/>
    <w:rsid w:val="54967D01"/>
    <w:rsid w:val="55246C59"/>
    <w:rsid w:val="55886798"/>
    <w:rsid w:val="559D7335"/>
    <w:rsid w:val="56C97A64"/>
    <w:rsid w:val="575834C9"/>
    <w:rsid w:val="575907F5"/>
    <w:rsid w:val="58381B5E"/>
    <w:rsid w:val="588400F4"/>
    <w:rsid w:val="58A331DB"/>
    <w:rsid w:val="593C2292"/>
    <w:rsid w:val="59B00907"/>
    <w:rsid w:val="5A1531CD"/>
    <w:rsid w:val="5A964398"/>
    <w:rsid w:val="5AA35CD6"/>
    <w:rsid w:val="5ADB3764"/>
    <w:rsid w:val="5B773733"/>
    <w:rsid w:val="5C397D83"/>
    <w:rsid w:val="5C5D08A2"/>
    <w:rsid w:val="5C7D3A52"/>
    <w:rsid w:val="5D805C4A"/>
    <w:rsid w:val="5D941F5F"/>
    <w:rsid w:val="5DB9374A"/>
    <w:rsid w:val="5DF77510"/>
    <w:rsid w:val="5E20759F"/>
    <w:rsid w:val="5F0F2A1C"/>
    <w:rsid w:val="5F95080E"/>
    <w:rsid w:val="60375808"/>
    <w:rsid w:val="60497ED3"/>
    <w:rsid w:val="608245CC"/>
    <w:rsid w:val="60DF5334"/>
    <w:rsid w:val="61AD0EDE"/>
    <w:rsid w:val="61BA75DA"/>
    <w:rsid w:val="637A67E0"/>
    <w:rsid w:val="63F407AD"/>
    <w:rsid w:val="640C6827"/>
    <w:rsid w:val="649858D2"/>
    <w:rsid w:val="65950F58"/>
    <w:rsid w:val="65C7345A"/>
    <w:rsid w:val="65EE7207"/>
    <w:rsid w:val="66094DDC"/>
    <w:rsid w:val="66AD4244"/>
    <w:rsid w:val="671822BE"/>
    <w:rsid w:val="67F95FCD"/>
    <w:rsid w:val="67FE551B"/>
    <w:rsid w:val="681B0213"/>
    <w:rsid w:val="683664BA"/>
    <w:rsid w:val="685A6F8E"/>
    <w:rsid w:val="68A53B58"/>
    <w:rsid w:val="68CC5E33"/>
    <w:rsid w:val="6946396A"/>
    <w:rsid w:val="69483675"/>
    <w:rsid w:val="6B050FDD"/>
    <w:rsid w:val="6B2307FD"/>
    <w:rsid w:val="6B9A16B0"/>
    <w:rsid w:val="6BA430D4"/>
    <w:rsid w:val="6BC535EA"/>
    <w:rsid w:val="6C0E5989"/>
    <w:rsid w:val="6C7166E4"/>
    <w:rsid w:val="6CA642D3"/>
    <w:rsid w:val="6CD8170A"/>
    <w:rsid w:val="6D866763"/>
    <w:rsid w:val="6D917A9B"/>
    <w:rsid w:val="6D977D25"/>
    <w:rsid w:val="6DA705BD"/>
    <w:rsid w:val="6DA7736A"/>
    <w:rsid w:val="6DC4348E"/>
    <w:rsid w:val="6DD40792"/>
    <w:rsid w:val="6E6D552F"/>
    <w:rsid w:val="6E7B0778"/>
    <w:rsid w:val="6F433611"/>
    <w:rsid w:val="70D55169"/>
    <w:rsid w:val="71445DD4"/>
    <w:rsid w:val="726B4A58"/>
    <w:rsid w:val="72CA4015"/>
    <w:rsid w:val="73700BDB"/>
    <w:rsid w:val="737669FC"/>
    <w:rsid w:val="73DE2D90"/>
    <w:rsid w:val="749E7BBD"/>
    <w:rsid w:val="74E455C8"/>
    <w:rsid w:val="75132924"/>
    <w:rsid w:val="754206C3"/>
    <w:rsid w:val="759A65A9"/>
    <w:rsid w:val="75A20241"/>
    <w:rsid w:val="75BE3F05"/>
    <w:rsid w:val="7613572C"/>
    <w:rsid w:val="7619496A"/>
    <w:rsid w:val="762E04ED"/>
    <w:rsid w:val="76C73464"/>
    <w:rsid w:val="77EF1307"/>
    <w:rsid w:val="78324FE9"/>
    <w:rsid w:val="783C0FED"/>
    <w:rsid w:val="797A5272"/>
    <w:rsid w:val="7A2F7467"/>
    <w:rsid w:val="7A5A7A29"/>
    <w:rsid w:val="7A6E00EA"/>
    <w:rsid w:val="7AC666E5"/>
    <w:rsid w:val="7AD90E2B"/>
    <w:rsid w:val="7AEE270F"/>
    <w:rsid w:val="7AF86D2C"/>
    <w:rsid w:val="7B0B00B8"/>
    <w:rsid w:val="7B5176BF"/>
    <w:rsid w:val="7B611373"/>
    <w:rsid w:val="7B6B7DD6"/>
    <w:rsid w:val="7B83531F"/>
    <w:rsid w:val="7BE14791"/>
    <w:rsid w:val="7C662EE9"/>
    <w:rsid w:val="7CA80560"/>
    <w:rsid w:val="7D3B6123"/>
    <w:rsid w:val="7D5F01A3"/>
    <w:rsid w:val="7D602605"/>
    <w:rsid w:val="7D6677DC"/>
    <w:rsid w:val="7D6679D2"/>
    <w:rsid w:val="7DA84427"/>
    <w:rsid w:val="7DF84753"/>
    <w:rsid w:val="7E361F47"/>
    <w:rsid w:val="7E8A4DE0"/>
    <w:rsid w:val="7EFC7B34"/>
    <w:rsid w:val="7F4A165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iPriority="99"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after="200" w:line="276" w:lineRule="auto"/>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0"/>
    <w:pPr>
      <w:keepNext/>
      <w:keepLines/>
      <w:numPr>
        <w:ilvl w:val="0"/>
        <w:numId w:val="1"/>
      </w:numPr>
      <w:spacing w:before="340" w:after="330" w:line="576" w:lineRule="auto"/>
      <w:outlineLvl w:val="0"/>
    </w:pPr>
    <w:rPr>
      <w:b/>
      <w:kern w:val="44"/>
      <w:sz w:val="44"/>
    </w:rPr>
  </w:style>
  <w:style w:type="paragraph" w:styleId="4">
    <w:name w:val="heading 2"/>
    <w:basedOn w:val="1"/>
    <w:next w:val="1"/>
    <w:qFormat/>
    <w:uiPriority w:val="0"/>
    <w:pPr>
      <w:keepNext/>
      <w:keepLines/>
      <w:spacing w:before="260" w:after="260" w:line="415" w:lineRule="auto"/>
      <w:outlineLvl w:val="1"/>
    </w:pPr>
    <w:rPr>
      <w:rFonts w:ascii="Arial" w:hAnsi="Arial" w:eastAsia="黑体"/>
      <w:b/>
      <w:sz w:val="32"/>
    </w:rPr>
  </w:style>
  <w:style w:type="paragraph" w:styleId="5">
    <w:name w:val="heading 3"/>
    <w:basedOn w:val="1"/>
    <w:next w:val="1"/>
    <w:qFormat/>
    <w:uiPriority w:val="0"/>
    <w:pPr>
      <w:keepNext/>
      <w:keepLines/>
      <w:numPr>
        <w:ilvl w:val="0"/>
        <w:numId w:val="2"/>
      </w:numPr>
      <w:ind w:right="100" w:rightChars="100" w:firstLine="0"/>
      <w:outlineLvl w:val="2"/>
    </w:pPr>
    <w:rPr>
      <w:b/>
      <w:sz w:val="28"/>
    </w:rPr>
  </w:style>
  <w:style w:type="paragraph" w:styleId="6">
    <w:name w:val="heading 4"/>
    <w:basedOn w:val="1"/>
    <w:next w:val="1"/>
    <w:unhideWhenUsed/>
    <w:qFormat/>
    <w:uiPriority w:val="0"/>
    <w:pPr>
      <w:spacing w:beforeAutospacing="1" w:after="0" w:afterAutospacing="1"/>
      <w:jc w:val="left"/>
      <w:outlineLvl w:val="3"/>
    </w:pPr>
    <w:rPr>
      <w:rFonts w:hint="eastAsia" w:ascii="宋体" w:hAnsi="宋体" w:eastAsia="宋体" w:cs="Times New Roman"/>
      <w:b/>
      <w:bCs/>
      <w:kern w:val="0"/>
      <w:sz w:val="24"/>
    </w:rPr>
  </w:style>
  <w:style w:type="character" w:default="1" w:styleId="22">
    <w:name w:val="Default Paragraph Font"/>
    <w:unhideWhenUsed/>
    <w:qFormat/>
    <w:uiPriority w:val="1"/>
  </w:style>
  <w:style w:type="table" w:default="1" w:styleId="20">
    <w:name w:val="Normal Table"/>
    <w:unhideWhenUsed/>
    <w:qFormat/>
    <w:uiPriority w:val="99"/>
    <w:tblPr>
      <w:tblCellMar>
        <w:top w:w="0" w:type="dxa"/>
        <w:left w:w="108" w:type="dxa"/>
        <w:bottom w:w="0" w:type="dxa"/>
        <w:right w:w="108" w:type="dxa"/>
      </w:tblCellMar>
    </w:tblPr>
  </w:style>
  <w:style w:type="paragraph" w:customStyle="1" w:styleId="2">
    <w:name w:val="222"/>
    <w:basedOn w:val="1"/>
    <w:qFormat/>
    <w:uiPriority w:val="0"/>
    <w:pPr>
      <w:spacing w:line="560" w:lineRule="exact"/>
      <w:ind w:firstLine="643" w:firstLineChars="200"/>
    </w:pPr>
    <w:rPr>
      <w:rFonts w:ascii="Times New Roman" w:hAnsi="Times New Roman" w:eastAsia="宋体"/>
      <w:sz w:val="24"/>
    </w:rPr>
  </w:style>
  <w:style w:type="paragraph" w:styleId="7">
    <w:name w:val="Normal Indent"/>
    <w:basedOn w:val="1"/>
    <w:qFormat/>
    <w:uiPriority w:val="99"/>
    <w:pPr>
      <w:adjustRightInd w:val="0"/>
      <w:spacing w:after="0" w:line="360" w:lineRule="atLeast"/>
      <w:ind w:firstLine="420"/>
      <w:jc w:val="left"/>
      <w:textAlignment w:val="baseline"/>
    </w:pPr>
    <w:rPr>
      <w:rFonts w:ascii="Calibri" w:hAnsi="Calibri" w:eastAsia="宋体" w:cs="Times New Roman"/>
      <w:kern w:val="0"/>
      <w:sz w:val="25"/>
      <w:szCs w:val="20"/>
    </w:rPr>
  </w:style>
  <w:style w:type="paragraph" w:styleId="8">
    <w:name w:val="Document Map"/>
    <w:basedOn w:val="1"/>
    <w:link w:val="30"/>
    <w:qFormat/>
    <w:uiPriority w:val="0"/>
    <w:rPr>
      <w:rFonts w:ascii="宋体" w:eastAsia="宋体"/>
      <w:sz w:val="18"/>
      <w:szCs w:val="18"/>
    </w:rPr>
  </w:style>
  <w:style w:type="paragraph" w:styleId="9">
    <w:name w:val="Body Text"/>
    <w:basedOn w:val="1"/>
    <w:uiPriority w:val="0"/>
    <w:pPr>
      <w:spacing w:after="120" w:afterLines="0"/>
    </w:pPr>
  </w:style>
  <w:style w:type="paragraph" w:styleId="10">
    <w:name w:val="Body Text Indent"/>
    <w:basedOn w:val="1"/>
    <w:qFormat/>
    <w:uiPriority w:val="0"/>
    <w:pPr>
      <w:spacing w:after="120"/>
      <w:ind w:left="420" w:leftChars="200"/>
    </w:pPr>
    <w:rPr>
      <w:kern w:val="0"/>
      <w:sz w:val="20"/>
    </w:rPr>
  </w:style>
  <w:style w:type="paragraph" w:styleId="11">
    <w:name w:val="Date"/>
    <w:basedOn w:val="1"/>
    <w:next w:val="1"/>
    <w:uiPriority w:val="0"/>
    <w:pPr>
      <w:ind w:left="100" w:leftChars="2500"/>
    </w:pPr>
    <w:rPr>
      <w:rFonts w:eastAsia="仿宋_GB2312"/>
      <w:sz w:val="28"/>
    </w:rPr>
  </w:style>
  <w:style w:type="paragraph" w:styleId="12">
    <w:name w:val="Balloon Text"/>
    <w:basedOn w:val="1"/>
    <w:link w:val="33"/>
    <w:qFormat/>
    <w:uiPriority w:val="0"/>
    <w:pPr>
      <w:spacing w:after="0" w:line="240" w:lineRule="auto"/>
    </w:pPr>
    <w:rPr>
      <w:sz w:val="18"/>
      <w:szCs w:val="18"/>
    </w:rPr>
  </w:style>
  <w:style w:type="paragraph" w:styleId="13">
    <w:name w:val="footer"/>
    <w:basedOn w:val="1"/>
    <w:qFormat/>
    <w:uiPriority w:val="0"/>
    <w:pPr>
      <w:tabs>
        <w:tab w:val="center" w:pos="4153"/>
        <w:tab w:val="right" w:pos="8306"/>
      </w:tabs>
      <w:snapToGrid w:val="0"/>
      <w:jc w:val="left"/>
    </w:pPr>
    <w:rPr>
      <w:sz w:val="18"/>
      <w:szCs w:val="18"/>
    </w:rPr>
  </w:style>
  <w:style w:type="paragraph" w:styleId="14">
    <w:name w:val="header"/>
    <w:basedOn w:val="1"/>
    <w:link w:val="32"/>
    <w:qFormat/>
    <w:uiPriority w:val="99"/>
    <w:pPr>
      <w:pBdr>
        <w:bottom w:val="single" w:color="auto" w:sz="6" w:space="1"/>
      </w:pBdr>
      <w:tabs>
        <w:tab w:val="center" w:pos="4153"/>
        <w:tab w:val="right" w:pos="8306"/>
      </w:tabs>
      <w:snapToGrid w:val="0"/>
      <w:jc w:val="center"/>
    </w:pPr>
    <w:rPr>
      <w:rFonts w:ascii="Times New Roman" w:hAnsi="Times New Roman" w:eastAsia="宋体"/>
      <w:sz w:val="18"/>
      <w:szCs w:val="18"/>
    </w:rPr>
  </w:style>
  <w:style w:type="paragraph" w:styleId="15">
    <w:name w:val="toc 1"/>
    <w:basedOn w:val="1"/>
    <w:next w:val="1"/>
    <w:qFormat/>
    <w:uiPriority w:val="0"/>
  </w:style>
  <w:style w:type="paragraph" w:styleId="16">
    <w:name w:val="Body Text Indent 3"/>
    <w:basedOn w:val="1"/>
    <w:uiPriority w:val="0"/>
    <w:pPr>
      <w:spacing w:after="120" w:afterLines="0"/>
      <w:ind w:left="420" w:leftChars="200"/>
    </w:pPr>
    <w:rPr>
      <w:sz w:val="16"/>
      <w:szCs w:val="16"/>
    </w:rPr>
  </w:style>
  <w:style w:type="paragraph" w:styleId="17">
    <w:name w:val="toc 2"/>
    <w:basedOn w:val="1"/>
    <w:next w:val="1"/>
    <w:qFormat/>
    <w:uiPriority w:val="0"/>
    <w:pPr>
      <w:ind w:left="420" w:leftChars="200"/>
    </w:pPr>
  </w:style>
  <w:style w:type="paragraph" w:styleId="18">
    <w:name w:val="Normal (Web)"/>
    <w:basedOn w:val="1"/>
    <w:qFormat/>
    <w:uiPriority w:val="0"/>
    <w:pPr>
      <w:spacing w:before="100" w:beforeAutospacing="1" w:after="100" w:afterAutospacing="1"/>
      <w:jc w:val="left"/>
    </w:pPr>
    <w:rPr>
      <w:rFonts w:cs="Times New Roman"/>
      <w:kern w:val="0"/>
      <w:sz w:val="24"/>
    </w:rPr>
  </w:style>
  <w:style w:type="paragraph" w:styleId="19">
    <w:name w:val="Body Text First Indent 2"/>
    <w:basedOn w:val="10"/>
    <w:unhideWhenUsed/>
    <w:qFormat/>
    <w:uiPriority w:val="99"/>
    <w:pPr>
      <w:spacing w:before="50"/>
      <w:ind w:firstLine="200" w:firstLineChars="200"/>
    </w:pPr>
  </w:style>
  <w:style w:type="table" w:styleId="21">
    <w:name w:val="Table Grid"/>
    <w:basedOn w:val="2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3">
    <w:name w:val="Strong"/>
    <w:basedOn w:val="22"/>
    <w:qFormat/>
    <w:uiPriority w:val="0"/>
    <w:rPr>
      <w:b/>
    </w:rPr>
  </w:style>
  <w:style w:type="character" w:styleId="24">
    <w:name w:val="page number"/>
    <w:basedOn w:val="22"/>
    <w:qFormat/>
    <w:uiPriority w:val="0"/>
  </w:style>
  <w:style w:type="character" w:styleId="25">
    <w:name w:val="Emphasis"/>
    <w:basedOn w:val="22"/>
    <w:qFormat/>
    <w:uiPriority w:val="0"/>
    <w:rPr>
      <w:i/>
    </w:rPr>
  </w:style>
  <w:style w:type="character" w:styleId="26">
    <w:name w:val="Hyperlink"/>
    <w:basedOn w:val="22"/>
    <w:qFormat/>
    <w:uiPriority w:val="0"/>
    <w:rPr>
      <w:color w:val="0000FF"/>
      <w:u w:val="single"/>
    </w:rPr>
  </w:style>
  <w:style w:type="character" w:customStyle="1" w:styleId="27">
    <w:name w:val="font31"/>
    <w:basedOn w:val="22"/>
    <w:qFormat/>
    <w:uiPriority w:val="0"/>
    <w:rPr>
      <w:rFonts w:hint="eastAsia" w:ascii="宋体" w:hAnsi="宋体" w:eastAsia="宋体" w:cs="宋体"/>
      <w:color w:val="000000"/>
      <w:sz w:val="21"/>
      <w:szCs w:val="21"/>
      <w:u w:val="single"/>
    </w:rPr>
  </w:style>
  <w:style w:type="character" w:customStyle="1" w:styleId="28">
    <w:name w:val="font01"/>
    <w:basedOn w:val="22"/>
    <w:qFormat/>
    <w:uiPriority w:val="0"/>
    <w:rPr>
      <w:rFonts w:hint="eastAsia" w:ascii="宋体" w:hAnsi="宋体" w:eastAsia="宋体" w:cs="宋体"/>
      <w:color w:val="0000FF"/>
      <w:sz w:val="21"/>
      <w:szCs w:val="21"/>
      <w:u w:val="single"/>
    </w:rPr>
  </w:style>
  <w:style w:type="paragraph" w:customStyle="1" w:styleId="29">
    <w:name w:val="表格文字"/>
    <w:basedOn w:val="1"/>
    <w:qFormat/>
    <w:uiPriority w:val="0"/>
    <w:pPr>
      <w:widowControl/>
      <w:jc w:val="center"/>
    </w:pPr>
    <w:rPr>
      <w:rFonts w:ascii="Calibri" w:hAnsi="Calibri"/>
      <w:color w:val="000000"/>
      <w:kern w:val="0"/>
    </w:rPr>
  </w:style>
  <w:style w:type="character" w:customStyle="1" w:styleId="30">
    <w:name w:val="文档结构图 Char"/>
    <w:basedOn w:val="22"/>
    <w:link w:val="8"/>
    <w:qFormat/>
    <w:uiPriority w:val="0"/>
    <w:rPr>
      <w:rFonts w:ascii="宋体" w:hAnsiTheme="minorHAnsi" w:cstheme="minorBidi"/>
      <w:kern w:val="2"/>
      <w:sz w:val="18"/>
      <w:szCs w:val="18"/>
    </w:rPr>
  </w:style>
  <w:style w:type="paragraph" w:customStyle="1" w:styleId="31">
    <w:name w:val="样式 标题 2二级标题标题 （一） + Times New Roman 小三 两端对齐 段前: 6 磅 段后: 0 ...1"/>
    <w:basedOn w:val="4"/>
    <w:qFormat/>
    <w:uiPriority w:val="0"/>
    <w:pPr>
      <w:widowControl/>
      <w:spacing w:line="560" w:lineRule="exact"/>
    </w:pPr>
    <w:rPr>
      <w:rFonts w:ascii="Times New Roman" w:hAnsi="Times New Roman" w:eastAsia="宋体" w:cs="宋体"/>
      <w:kern w:val="0"/>
      <w:sz w:val="28"/>
      <w:szCs w:val="20"/>
    </w:rPr>
  </w:style>
  <w:style w:type="character" w:customStyle="1" w:styleId="32">
    <w:name w:val="页眉 Char"/>
    <w:basedOn w:val="22"/>
    <w:link w:val="14"/>
    <w:qFormat/>
    <w:uiPriority w:val="99"/>
    <w:rPr>
      <w:rFonts w:cstheme="minorBidi"/>
      <w:kern w:val="2"/>
      <w:sz w:val="18"/>
      <w:szCs w:val="18"/>
    </w:rPr>
  </w:style>
  <w:style w:type="character" w:customStyle="1" w:styleId="33">
    <w:name w:val="批注框文本 Char"/>
    <w:basedOn w:val="22"/>
    <w:link w:val="12"/>
    <w:qFormat/>
    <w:uiPriority w:val="0"/>
    <w:rPr>
      <w:rFonts w:asciiTheme="minorHAnsi" w:hAnsiTheme="minorHAnsi" w:eastAsiaTheme="minorEastAsia" w:cstheme="minorBidi"/>
      <w:kern w:val="2"/>
      <w:sz w:val="18"/>
      <w:szCs w:val="18"/>
    </w:rPr>
  </w:style>
  <w:style w:type="paragraph" w:customStyle="1" w:styleId="34">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image" Target="media/image3.jpeg"/><Relationship Id="rId8" Type="http://schemas.openxmlformats.org/officeDocument/2006/relationships/image" Target="media/image2.jpeg"/><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2.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533FDEE-E588-418D-95D0-0ABA3B7C8892}">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12</Pages>
  <Words>4634</Words>
  <Characters>4836</Characters>
  <Lines>44</Lines>
  <Paragraphs>12</Paragraphs>
  <TotalTime>0</TotalTime>
  <ScaleCrop>false</ScaleCrop>
  <LinksUpToDate>false</LinksUpToDate>
  <CharactersWithSpaces>4868</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2018-05-28T10:32:00Z</dcterms:created>
  <dc:creator>浙江省住建厅3号</dc:creator>
  <cp:lastModifiedBy>Administrator</cp:lastModifiedBy>
  <cp:lastPrinted>2024-07-24T06:52:00Z</cp:lastPrinted>
  <dcterms:modified xsi:type="dcterms:W3CDTF">2025-05-06T03:15:25Z</dcterms:modified>
  <cp:revision>68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A9DAC8591C7546828972A527B0BA3238</vt:lpwstr>
  </property>
  <property fmtid="{D5CDD505-2E9C-101B-9397-08002B2CF9AE}" pid="4" name="KSOTemplateDocerSaveRecord">
    <vt:lpwstr>eyJoZGlkIjoiMzNmMDAxZTBjODgyYmM3MDEwYzljZDVlOTJjMjYwZTUiLCJ1c2VySWQiOiI0OTM0MjA1NzQifQ==</vt:lpwstr>
  </property>
</Properties>
</file>