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9BD50C">
      <w:pPr>
        <w:spacing w:after="0" w:line="560" w:lineRule="exact"/>
        <w:jc w:val="center"/>
        <w:rPr>
          <w:rFonts w:ascii="仿宋" w:hAnsi="仿宋" w:eastAsia="仿宋" w:cstheme="minorEastAsia"/>
          <w:b/>
          <w:sz w:val="30"/>
          <w:szCs w:val="30"/>
        </w:rPr>
      </w:pPr>
      <w:bookmarkStart w:id="0" w:name="_Toc13206"/>
      <w:r>
        <w:rPr>
          <w:rFonts w:hint="eastAsia" w:ascii="仿宋" w:hAnsi="仿宋" w:eastAsia="仿宋" w:cstheme="minorEastAsia"/>
          <w:b/>
          <w:sz w:val="30"/>
          <w:szCs w:val="30"/>
        </w:rPr>
        <w:t>无极县</w:t>
      </w:r>
      <w:r>
        <w:rPr>
          <w:rFonts w:hint="eastAsia" w:ascii="仿宋" w:hAnsi="仿宋" w:eastAsia="仿宋" w:cstheme="minorEastAsia"/>
          <w:b/>
          <w:sz w:val="30"/>
          <w:szCs w:val="30"/>
          <w:lang w:val="en-US" w:eastAsia="zh-CN"/>
        </w:rPr>
        <w:t>绿地系统</w:t>
      </w:r>
      <w:r>
        <w:rPr>
          <w:rFonts w:hint="eastAsia" w:ascii="仿宋" w:hAnsi="仿宋" w:eastAsia="仿宋" w:cstheme="minorEastAsia"/>
          <w:b/>
          <w:sz w:val="30"/>
          <w:szCs w:val="30"/>
        </w:rPr>
        <w:t>专项规划（2021-2035年）主要内容</w:t>
      </w:r>
    </w:p>
    <w:p w14:paraId="767256F1">
      <w:pPr>
        <w:spacing w:after="0" w:line="560" w:lineRule="exact"/>
        <w:jc w:val="center"/>
        <w:rPr>
          <w:rFonts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（批前公示）</w:t>
      </w:r>
    </w:p>
    <w:bookmarkEnd w:id="0"/>
    <w:p w14:paraId="2D83D54C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绿地系统规划依据《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无极</w:t>
      </w:r>
      <w:r>
        <w:rPr>
          <w:rFonts w:hint="eastAsia" w:ascii="仿宋" w:hAnsi="仿宋" w:eastAsia="仿宋" w:cstheme="minorEastAsia"/>
          <w:sz w:val="28"/>
          <w:szCs w:val="28"/>
        </w:rPr>
        <w:t>县国土空间总体规划（202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theme="minorEastAsia"/>
          <w:sz w:val="28"/>
          <w:szCs w:val="28"/>
        </w:rPr>
        <w:t>—2035年）》中的城市性质、发展目标、用地布局等规定，科学制定各类城市绿地的发展指标，合理安排城市各类园林绿地建设和县域大环境绿化的空间布局，达到保护和改善城市生态环境、优化城市人居环境、促进城市可持续发展的目的。</w:t>
      </w:r>
    </w:p>
    <w:p w14:paraId="0CC7E1E5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bookmarkStart w:id="1" w:name="_Toc11257"/>
      <w:r>
        <w:rPr>
          <w:rFonts w:hint="eastAsia" w:ascii="仿宋" w:hAnsi="仿宋" w:eastAsia="仿宋" w:cstheme="minorEastAsia"/>
          <w:szCs w:val="28"/>
        </w:rPr>
        <w:t>规划期限</w:t>
      </w:r>
      <w:bookmarkEnd w:id="1"/>
    </w:p>
    <w:p w14:paraId="3FF947F2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规划期限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与国土空间规划保持一致</w:t>
      </w:r>
      <w:r>
        <w:rPr>
          <w:rFonts w:hint="eastAsia" w:ascii="仿宋" w:hAnsi="仿宋" w:eastAsia="仿宋" w:cstheme="minorEastAsia"/>
          <w:sz w:val="28"/>
          <w:szCs w:val="28"/>
        </w:rPr>
        <w:t>为202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theme="minorEastAsia"/>
          <w:sz w:val="28"/>
          <w:szCs w:val="28"/>
        </w:rPr>
        <w:t>-2035年，其中近期至2025年，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远景展望至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2050年</w:t>
      </w:r>
      <w:r>
        <w:rPr>
          <w:rFonts w:hint="eastAsia" w:ascii="仿宋" w:hAnsi="仿宋" w:eastAsia="仿宋" w:cstheme="minorEastAsia"/>
          <w:sz w:val="28"/>
          <w:szCs w:val="28"/>
        </w:rPr>
        <w:t>。</w:t>
      </w:r>
    </w:p>
    <w:p w14:paraId="49A4030B">
      <w:pPr>
        <w:spacing w:after="0" w:line="560" w:lineRule="exact"/>
        <w:ind w:firstLine="560" w:firstLineChars="200"/>
        <w:rPr>
          <w:rFonts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结合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无极</w:t>
      </w:r>
      <w:r>
        <w:rPr>
          <w:rFonts w:hint="eastAsia" w:ascii="仿宋" w:hAnsi="仿宋" w:eastAsia="仿宋" w:cstheme="minorEastAsia"/>
          <w:sz w:val="28"/>
          <w:szCs w:val="28"/>
        </w:rPr>
        <w:t>县实际情况，规划重点放在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近</w:t>
      </w:r>
      <w:r>
        <w:rPr>
          <w:rFonts w:hint="eastAsia" w:ascii="仿宋" w:hAnsi="仿宋" w:eastAsia="仿宋" w:cstheme="minorEastAsia"/>
          <w:sz w:val="28"/>
          <w:szCs w:val="28"/>
        </w:rPr>
        <w:t>期，注重绿地的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均匀分布，</w:t>
      </w:r>
      <w:r>
        <w:rPr>
          <w:rFonts w:hint="eastAsia" w:ascii="仿宋" w:hAnsi="仿宋" w:eastAsia="仿宋" w:cstheme="minorEastAsia"/>
          <w:sz w:val="28"/>
          <w:szCs w:val="28"/>
        </w:rPr>
        <w:t>改造升级，同时新增的绿地重视景观配置，增加城区绿量，提高绿化覆盖率。</w:t>
      </w:r>
    </w:p>
    <w:p w14:paraId="265107D0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bookmarkStart w:id="2" w:name="_Toc3212"/>
      <w:r>
        <w:rPr>
          <w:rFonts w:hint="eastAsia" w:ascii="仿宋" w:hAnsi="仿宋" w:eastAsia="仿宋" w:cstheme="minorEastAsia"/>
          <w:szCs w:val="28"/>
        </w:rPr>
        <w:t>规划范围</w:t>
      </w:r>
      <w:bookmarkEnd w:id="2"/>
    </w:p>
    <w:p w14:paraId="5B442966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规划分为县域和中心城区两个层次。</w:t>
      </w:r>
    </w:p>
    <w:p w14:paraId="225C9BE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其中</w:t>
      </w:r>
      <w:r>
        <w:rPr>
          <w:rFonts w:hint="eastAsia" w:ascii="仿宋" w:hAnsi="仿宋" w:eastAsia="仿宋" w:cstheme="minorEastAsia"/>
          <w:sz w:val="28"/>
          <w:szCs w:val="28"/>
        </w:rPr>
        <w:t>县域为无极县行政辖区范围，总面积501.98平方千米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，与总规保持一致</w:t>
      </w:r>
      <w:r>
        <w:rPr>
          <w:rFonts w:hint="eastAsia" w:ascii="仿宋" w:hAnsi="仿宋" w:eastAsia="仿宋" w:cstheme="minorEastAsia"/>
          <w:sz w:val="28"/>
          <w:szCs w:val="28"/>
        </w:rPr>
        <w:t>。</w:t>
      </w:r>
    </w:p>
    <w:p w14:paraId="2860C917">
      <w:pPr>
        <w:spacing w:after="0" w:line="560" w:lineRule="exact"/>
        <w:ind w:firstLine="560" w:firstLineChars="200"/>
        <w:rPr>
          <w:rFonts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本规划中心城区范围指城镇开发边界范围内建设用地，至规划期末中心城区建设用地面积为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14.40</w:t>
      </w:r>
      <w:r>
        <w:rPr>
          <w:rFonts w:hint="eastAsia" w:ascii="仿宋" w:hAnsi="仿宋" w:eastAsia="仿宋" w:cstheme="minorEastAsia"/>
          <w:sz w:val="28"/>
          <w:szCs w:val="28"/>
        </w:rPr>
        <w:t>平方公里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，人口为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14万人。</w:t>
      </w:r>
    </w:p>
    <w:p w14:paraId="08D20112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bookmarkStart w:id="3" w:name="_Toc31115"/>
      <w:r>
        <w:rPr>
          <w:rFonts w:hint="eastAsia" w:ascii="仿宋" w:hAnsi="仿宋" w:eastAsia="仿宋" w:cstheme="minorEastAsia"/>
          <w:szCs w:val="28"/>
        </w:rPr>
        <w:t>规划原则</w:t>
      </w:r>
      <w:bookmarkEnd w:id="3"/>
    </w:p>
    <w:p w14:paraId="7D3F92B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1、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以保护自然生态要素为前提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统筹山水林田湖草、锚固公园城市绿色空间本地</w:t>
      </w:r>
      <w:r>
        <w:rPr>
          <w:rFonts w:hint="eastAsia" w:ascii="仿宋" w:hAnsi="仿宋" w:eastAsia="仿宋" w:cstheme="minorEastAsia"/>
          <w:sz w:val="28"/>
          <w:szCs w:val="28"/>
        </w:rPr>
        <w:t xml:space="preserve"> </w:t>
      </w:r>
    </w:p>
    <w:p w14:paraId="2EE758FD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2、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以生物视角维系自然生境系统，构建生态廊道，保护生物多样性和生态栖息地</w:t>
      </w:r>
      <w:r>
        <w:rPr>
          <w:rFonts w:hint="eastAsia" w:ascii="仿宋" w:hAnsi="仿宋" w:eastAsia="仿宋" w:cstheme="minorEastAsia"/>
          <w:sz w:val="28"/>
          <w:szCs w:val="28"/>
        </w:rPr>
        <w:t xml:space="preserve"> </w:t>
      </w:r>
    </w:p>
    <w:p w14:paraId="1CB772CE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  <w:r>
        <w:rPr>
          <w:rFonts w:hint="eastAsia" w:ascii="仿宋" w:hAnsi="仿宋" w:eastAsia="仿宋" w:cstheme="minorEastAsia"/>
          <w:sz w:val="28"/>
          <w:szCs w:val="28"/>
        </w:rPr>
        <w:t>3、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以人民对美好生活向往为出发点，构建星罗棋布，类型多样的全域绿地体系</w:t>
      </w:r>
    </w:p>
    <w:p w14:paraId="5EC7404E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bookmarkStart w:id="4" w:name="_Toc108"/>
      <w:r>
        <w:rPr>
          <w:rFonts w:hint="eastAsia" w:ascii="仿宋" w:hAnsi="仿宋" w:eastAsia="仿宋" w:cstheme="minorEastAsia"/>
          <w:szCs w:val="28"/>
        </w:rPr>
        <w:t>规划目标</w:t>
      </w:r>
      <w:bookmarkEnd w:id="4"/>
    </w:p>
    <w:p w14:paraId="267A0D1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（一）近期（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2025年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）建设目标</w:t>
      </w:r>
    </w:p>
    <w:p w14:paraId="128F64DB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建成区绿化覆盖率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40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％，绿地率≥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35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％，人均公园绿地面积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10.15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平方米以上，达到省级园林县城的标准。</w:t>
      </w:r>
    </w:p>
    <w:p w14:paraId="20D9EF6D">
      <w:pPr>
        <w:spacing w:after="0" w:line="560" w:lineRule="exact"/>
        <w:ind w:firstLine="560" w:firstLineChars="200"/>
        <w:rPr>
          <w:rFonts w:hint="default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公园绿地布局合理、分布均匀，居民出行达到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300米见绿、500米见园的标准。</w:t>
      </w:r>
    </w:p>
    <w:p w14:paraId="1DFA7115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（二）远期（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2035年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）建设目标</w:t>
      </w:r>
    </w:p>
    <w:p w14:paraId="3409308C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建成区绿化覆盖率达到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45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％，绿地率≥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40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％，人均公园绿地面积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12.0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平方米以上，达到国家园林县城的标准。</w:t>
      </w:r>
    </w:p>
    <w:p w14:paraId="019AD781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城区公园绿地和广场用地500米服务半径覆盖居住用地的比例应大于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90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%，其中规划新区应达到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100%，旧城区应达到80%，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居民出行达到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300米见绿、500米见园的标准。</w:t>
      </w:r>
    </w:p>
    <w:p w14:paraId="6686064E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r>
        <w:rPr>
          <w:rFonts w:hint="eastAsia" w:ascii="仿宋" w:hAnsi="仿宋" w:eastAsia="仿宋" w:cstheme="minorEastAsia"/>
          <w:szCs w:val="28"/>
          <w:lang w:val="en-US" w:eastAsia="zh-CN"/>
        </w:rPr>
        <w:t>县域绿地系统规划</w:t>
      </w:r>
    </w:p>
    <w:p w14:paraId="78D7F674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县域绿地系统规划过程中要注重景观整体性的保护与营建，突出系统性、完整性与连续性，尊重自然地理特征和生态本底，因地制宜，利用现状绿楔、绿廊和网络构建“基质——斑块——廊道”的绿地生态网络。</w:t>
      </w:r>
    </w:p>
    <w:p w14:paraId="3E911A8E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结合县域自然条件及绿化现状，结合石家庄市对无极县的生态定位，提出县域绿化体系为“三廊、两带、多点”。以县域内主要河流为轴线形成防护绿带，纵贯整个无极县，成为县域通风廊道；以重大交通线路为脉络，打造交通绿色廊道，形成放射型+带状的绿色通道，构建多层次的绿地系统。</w:t>
      </w:r>
    </w:p>
    <w:p w14:paraId="07910525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）县域绿地系统网络</w:t>
      </w:r>
    </w:p>
    <w:p w14:paraId="44EDA2F2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无极县县域绿地网络主要由区域河流廊道、区域交通廊道以及区域其它防护廊道网络构成。</w:t>
      </w:r>
    </w:p>
    <w:p w14:paraId="5D06BDFF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“一核、三廊、多带多点” 的基本结构构成无极县域绿地系统生态廊道的主体框架。</w:t>
      </w:r>
    </w:p>
    <w:p w14:paraId="541C00E4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“一核”是指由无极县中心城区形成的重点绿化核心。</w:t>
      </w:r>
    </w:p>
    <w:p w14:paraId="4457096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三廊”即县域内主要河道建设的廊道，分别指磁河古道生态景观廊道、滹沱河生态景观廊道和木刀沟生态休闲廊道。重点突出河流的重要生态价值，以水环境治理和水生态修复为重点，提升河流的生态服务功能；推动沿河景观廊道及大尺度郊野公园建设，拓展居民的绿色休闲空间。</w:t>
      </w:r>
    </w:p>
    <w:p w14:paraId="4DB48467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“多带多点”即国道 G338（海天线）、国道 G515（定浚线）、津石高速、省道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S234、省道S247、省道S334、省道S335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等道路绿化带，提升道路两侧景观建设水平，提升服务功能，推动绿道建设，以及木刀沟公园、水上湿地公园和体育公园等大型生态斑块。</w:t>
      </w:r>
    </w:p>
    <w:p w14:paraId="4800C095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）县域城镇绿地系统框架</w:t>
      </w:r>
    </w:p>
    <w:p w14:paraId="674DBE3D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“一心十点”构成无极县域城镇绿地系统主体框架：</w:t>
      </w:r>
    </w:p>
    <w:p w14:paraId="547C5D0B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“一心”即县城及周边大环境构成的绿化核心；</w:t>
      </w:r>
    </w:p>
    <w:p w14:paraId="1669DFB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“十点”分别为张段固镇镇区、北苏镇镇区、郭庄镇镇区、里城道镇镇区、大陈镇镇区、七汲镇镇区，东侯坊镇镇区、郝庄乡乡政府驻地、高头回族乡乡政府驻地、南流乡乡政府驻地建设的综合公园。</w:t>
      </w:r>
    </w:p>
    <w:p w14:paraId="2E2279FC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三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）分类发展规划</w:t>
      </w:r>
    </w:p>
    <w:p w14:paraId="79A3CCDD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“一核”</w:t>
      </w:r>
    </w:p>
    <w:p w14:paraId="440D6725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通过对城区的改造、新建，完善社会服务设施，形成以县城为核心的重点绿化区。对城区的建设坚持绿化为主，改变旧有的格局，提高绿化质量，结合各类用地，突出生态环境，将无极县城建设为现代、生态的新县城。</w:t>
      </w:r>
    </w:p>
    <w:p w14:paraId="5A6B07DD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“两区”</w:t>
      </w:r>
    </w:p>
    <w:p w14:paraId="784620B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分别指西部畜牧养殖景观区、东部农业种植区，将“两区”通过交通干线互相连接，同时连接无极与周边区域，形成通路，将无极县内的生态绿地系统以及与外围生态环境相贯通，与公园绿地等各类绿地有机联系，形成高水平、高质量的绿色生态网络。</w:t>
      </w:r>
    </w:p>
    <w:p w14:paraId="57B047D6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“三廊道”</w:t>
      </w:r>
    </w:p>
    <w:p w14:paraId="3A85E14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分别是沿指磁河古道，滹沱河和木刀沟及两侧布置的滨水廊道，形成了绿色通廊，联系城市与外围，把周边新鲜空气引进城市，形成大区域范围内的绿网，积极建设生态景观，提高无极生态廊道的建设水平。</w:t>
      </w:r>
    </w:p>
    <w:p w14:paraId="3A55C229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r>
        <w:rPr>
          <w:rFonts w:hint="eastAsia" w:ascii="仿宋" w:hAnsi="仿宋" w:eastAsia="仿宋" w:cstheme="minorEastAsia"/>
          <w:szCs w:val="28"/>
          <w:lang w:val="en-US" w:eastAsia="zh-CN"/>
        </w:rPr>
        <w:t>城市中心城区绿地系统规划</w:t>
      </w:r>
    </w:p>
    <w:p w14:paraId="1DEFEB41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）规划结构</w:t>
      </w:r>
    </w:p>
    <w:p w14:paraId="3C962E1D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结合无极的自然地貌，规划城市绿地布局结构为“一廊、一环、多带、多点”。</w:t>
      </w:r>
    </w:p>
    <w:p w14:paraId="29D04D04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“一廊”：指依托木刀沟形成的生态廊道，通过开展生态修复和合理开发利用，实施生态化驳岸改造，增加木刀沟滨水绿道休闲活动空间，形成城区重要休闲活动空间，丰富滨水体验，形成城市亲水活力岸线。</w:t>
      </w:r>
    </w:p>
    <w:p w14:paraId="02C4FA41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“一环”：为沿外围环路形成的绿环，串联各类绿地，连通城市外围生态廊道和生态空间，避免城市无序扩张，留出城市通风廊道，提升生态效益。</w:t>
      </w:r>
    </w:p>
    <w:p w14:paraId="19513276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“多带”：指依托科技街、产业大道、新城三路、荣成路、希望路、千山路等道路构建城市绿道，形成兼具通风和游憩的魅力空间。</w:t>
      </w:r>
    </w:p>
    <w:p w14:paraId="21625EF6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“多点”：按照服务半径布置游园、广场等散点式绿地。</w:t>
      </w:r>
    </w:p>
    <w:p w14:paraId="1A90F71C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（二）绿地规划分区</w:t>
      </w:r>
    </w:p>
    <w:p w14:paraId="6DB0C91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规划结合城市现状和不同功能分区的空间异质性，将无极县划分为“一城三区”。</w:t>
      </w:r>
    </w:p>
    <w:p w14:paraId="30C3D48B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“一城”：指无极县中心城区。</w:t>
      </w:r>
    </w:p>
    <w:p w14:paraId="76CC8A4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“三区”：一是旧城区，建筑密度高，居住环境一般，绿地面积较少；二是近几年开发建设的居住区，环境较好，公园绿地满足服务半径需求，植物配置合理；三是工业企业用地，公园绿地基本满足服务半径。</w:t>
      </w:r>
    </w:p>
    <w:p w14:paraId="39E7A3A7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（三）规划布局</w:t>
      </w:r>
    </w:p>
    <w:p w14:paraId="503763D9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 xml:space="preserve">根据绿地系统规划的原则，结合无极县的空间布局形态，在“一廊、一环、多带、多点”的开放式绿地系统结构的城市绿地系统规划结构的指导下，进行绿地布局。绿地规划布局中充分利用现有绿地，结合点、线、面状绿地，构筑城市园林绿地。同时，在城市建设与发展中，适度优先安排绿地建设，按照绿地系统规划各个时期的绿地发展指标，科学合理地规划和建设绿地，完善无极县的绿地规划布局。 </w:t>
      </w:r>
    </w:p>
    <w:p w14:paraId="50AE93DE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结合无极县用地布局、城市规模、经济中心、行政中心和人口分布等因素，合理分布各类绿地。</w:t>
      </w:r>
    </w:p>
    <w:p w14:paraId="0DF341F7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无极县绿地在现状绿地的基础上，保留城区东南部的无极公园，因木刀沟公园在城区周边，服务于城区居民，因此将木刀沟公园确定为综合公园，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科城路南侧的林地现状具有郊野公园的服务功能，因此也确定为综合公园，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规划考虑分布均衡性，在城北产城教融合片区新规划一个经新公园，确定为综合公园，至规划期末共计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4个综合公园；保留城区西部的卫西公园、城区南部的平安公园和人和公园三个社区公园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因希望公园和洛神园在城区周边，服务于城区，因此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将洛神园和希望公园确定为社区公园，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因为木刀沟北侧的草地具有郊野公园的服务功能，因此确定为社区公园，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考虑公园服务半径，结合总体规划新设置社区公园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个，均匀分布在城区；保留城区西部民俗公园、城区东部儿童公园两个专类公园，在城区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南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侧新规划一个雕塑公园，确定为专类公园，至规划期末共计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3个专类公园；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其余均为游园，主要为沿路绿带，规划在新城三路、荣成路、希望路、千山路、科技街两侧布置沿街绿化。另结合城区内部开放空间，建设口袋公园，包括小型绿地、小公园、街心花园等绿地，丰富城区绿地系统。在城市重要的公共活动区域设置小块街头绿地，既满足人民的休憩需要，还可极大地丰富和改善城市景观。</w:t>
      </w:r>
    </w:p>
    <w:p w14:paraId="71CDB575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公园绿地规划</w:t>
      </w:r>
    </w:p>
    <w:p w14:paraId="732DF2A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现状20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20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年无极县城区人口规模为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10.26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万人，公园绿地面积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104.10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公顷，人均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10.15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平方米/人。</w:t>
      </w:r>
    </w:p>
    <w:p w14:paraId="5770AB08">
      <w:pPr>
        <w:spacing w:after="0" w:line="560" w:lineRule="exact"/>
        <w:ind w:firstLine="560" w:firstLineChars="200"/>
        <w:rPr>
          <w:rFonts w:hint="default" w:ascii="仿宋" w:hAnsi="仿宋" w:eastAsia="仿宋" w:cstheme="minorEastAsia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规划期末20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35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年城区人口规模为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14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万人，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国土空间总体规划确定的城镇开发边界内的公园绿地为121.56公顷，人均8.68平方米/人，本次规划确定的城镇开发边界内的公园绿地为129.01公顷，人均9.21平方米/人，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木刀沟公园、洛神园和希望公园在城区周边，服务于城区，所以计入城区公园绿地面积，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城区周边的郊野公园具有公园的服务功能，因此也计入公园绿地面积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，公园绿地总面积共计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172.24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公顷，人均</w:t>
      </w:r>
      <w:r>
        <w:rPr>
          <w:rFonts w:hint="eastAsia" w:ascii="仿宋" w:hAnsi="仿宋" w:eastAsia="仿宋" w:cstheme="minorEastAsia"/>
          <w:sz w:val="28"/>
          <w:szCs w:val="28"/>
          <w:lang w:val="en-US" w:eastAsia="zh-CN"/>
        </w:rPr>
        <w:t>12.30</w:t>
      </w:r>
      <w:r>
        <w:rPr>
          <w:rFonts w:hint="eastAsia" w:ascii="仿宋" w:hAnsi="仿宋" w:eastAsia="仿宋" w:cstheme="minorEastAsia"/>
          <w:sz w:val="28"/>
          <w:szCs w:val="28"/>
          <w:lang w:eastAsia="zh-CN"/>
        </w:rPr>
        <w:t>平方米/人，达到国家园林县城的标准。</w:t>
      </w:r>
    </w:p>
    <w:p w14:paraId="754FA2BC">
      <w:pPr>
        <w:pStyle w:val="29"/>
        <w:numPr>
          <w:ilvl w:val="0"/>
          <w:numId w:val="3"/>
        </w:numPr>
        <w:jc w:val="left"/>
        <w:rPr>
          <w:rFonts w:ascii="仿宋" w:hAnsi="仿宋" w:eastAsia="仿宋" w:cstheme="minorEastAsia"/>
          <w:szCs w:val="28"/>
        </w:rPr>
      </w:pPr>
      <w:r>
        <w:rPr>
          <w:rFonts w:hint="eastAsia" w:ascii="仿宋" w:hAnsi="仿宋" w:eastAsia="仿宋" w:cstheme="minorEastAsia"/>
          <w:szCs w:val="28"/>
          <w:lang w:val="en-US" w:eastAsia="zh-CN"/>
        </w:rPr>
        <w:t>公园体系规划</w:t>
      </w:r>
    </w:p>
    <w:p w14:paraId="58A919C2">
      <w:pPr>
        <w:pStyle w:val="8"/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至规划期末，保留现状无极公园、平安公园和人和公园等公园，另在城区新建雕塑公园、经新公园和智慧公园等，并在新民路、荣成路、科技街、开放路等两侧等地布置用地独立的块状游园。</w:t>
      </w:r>
    </w:p>
    <w:p w14:paraId="3728209B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（一）综合公园（G11）规划</w:t>
      </w:r>
    </w:p>
    <w:p w14:paraId="2671A365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综合公园是内容丰富，适合开展各类户外活动，具有完善的游憩和配套管理服务设施的绿地。根据城市用地布局、人口分布、交通条件、综合防灾等因素，综合公园选址在城市人文、自然景观聚集地及公共设施附近，以便市民游憩。在景观组织上，能够充分体现其园林艺术特色。</w:t>
      </w:r>
    </w:p>
    <w:p w14:paraId="69944289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本次规划根据无极县城的人口密度、规模和发展状况，确定综合公园4处，包括无极公园、木刀沟公园、科城郊野公园和经新公园。</w:t>
      </w:r>
    </w:p>
    <w:p w14:paraId="4FE420B3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规划确定无极公园和木刀沟公园在现状的基础上扩建，完善各项设施，提高绿化水平，结合周边环境，突出公园特色，实现公园的休闲服务功能。另新建经新公园完善城区综合公园布局。</w:t>
      </w:r>
    </w:p>
    <w:p w14:paraId="341E300F">
      <w:pPr>
        <w:pStyle w:val="8"/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至规划期末，综合公园总面积为56.26公顷，达到人均4.02平方米。</w:t>
      </w:r>
    </w:p>
    <w:p w14:paraId="535308FA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表7.1  综合公园规划一览表</w:t>
      </w:r>
    </w:p>
    <w:tbl>
      <w:tblPr>
        <w:tblStyle w:val="18"/>
        <w:tblW w:w="0" w:type="auto"/>
        <w:tblInd w:w="1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982"/>
        <w:gridCol w:w="1678"/>
        <w:gridCol w:w="954"/>
        <w:gridCol w:w="2793"/>
        <w:gridCol w:w="941"/>
      </w:tblGrid>
      <w:tr w14:paraId="665A0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  <w:noWrap w:val="0"/>
            <w:vAlign w:val="top"/>
          </w:tcPr>
          <w:p w14:paraId="49930192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公园绿地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中类</w:t>
            </w:r>
          </w:p>
        </w:tc>
        <w:tc>
          <w:tcPr>
            <w:tcW w:w="982" w:type="dxa"/>
            <w:noWrap w:val="0"/>
            <w:vAlign w:val="top"/>
          </w:tcPr>
          <w:p w14:paraId="573895F2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公园编号</w:t>
            </w:r>
          </w:p>
        </w:tc>
        <w:tc>
          <w:tcPr>
            <w:tcW w:w="1678" w:type="dxa"/>
            <w:noWrap w:val="0"/>
            <w:vAlign w:val="center"/>
          </w:tcPr>
          <w:p w14:paraId="604D92A0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公园名称</w:t>
            </w:r>
          </w:p>
        </w:tc>
        <w:tc>
          <w:tcPr>
            <w:tcW w:w="954" w:type="dxa"/>
            <w:noWrap w:val="0"/>
            <w:vAlign w:val="center"/>
          </w:tcPr>
          <w:p w14:paraId="77769D22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面积（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）</w:t>
            </w:r>
          </w:p>
        </w:tc>
        <w:tc>
          <w:tcPr>
            <w:tcW w:w="2793" w:type="dxa"/>
            <w:noWrap w:val="0"/>
            <w:vAlign w:val="center"/>
          </w:tcPr>
          <w:p w14:paraId="7859B174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公园位置</w:t>
            </w:r>
          </w:p>
        </w:tc>
        <w:tc>
          <w:tcPr>
            <w:tcW w:w="941" w:type="dxa"/>
            <w:noWrap w:val="0"/>
            <w:vAlign w:val="center"/>
          </w:tcPr>
          <w:p w14:paraId="7BD75347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总面积（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）</w:t>
            </w:r>
          </w:p>
        </w:tc>
      </w:tr>
      <w:tr w14:paraId="05127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011" w:type="dxa"/>
            <w:vMerge w:val="restart"/>
            <w:noWrap w:val="0"/>
            <w:vAlign w:val="top"/>
          </w:tcPr>
          <w:p w14:paraId="7FBAA524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</w:p>
          <w:p w14:paraId="66177093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综合公园</w:t>
            </w:r>
          </w:p>
          <w:p w14:paraId="3E35AEA9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G11</w:t>
            </w:r>
          </w:p>
        </w:tc>
        <w:tc>
          <w:tcPr>
            <w:tcW w:w="982" w:type="dxa"/>
            <w:noWrap w:val="0"/>
            <w:vAlign w:val="top"/>
          </w:tcPr>
          <w:p w14:paraId="7E217FF7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G11—1</w:t>
            </w:r>
          </w:p>
        </w:tc>
        <w:tc>
          <w:tcPr>
            <w:tcW w:w="1678" w:type="dxa"/>
            <w:noWrap w:val="0"/>
            <w:vAlign w:val="center"/>
          </w:tcPr>
          <w:p w14:paraId="307C1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无极公园</w:t>
            </w:r>
          </w:p>
        </w:tc>
        <w:tc>
          <w:tcPr>
            <w:tcW w:w="954" w:type="dxa"/>
            <w:noWrap w:val="0"/>
            <w:vAlign w:val="center"/>
          </w:tcPr>
          <w:p w14:paraId="3EB15F25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14.38</w:t>
            </w:r>
          </w:p>
        </w:tc>
        <w:tc>
          <w:tcPr>
            <w:tcW w:w="2793" w:type="dxa"/>
            <w:noWrap w:val="0"/>
            <w:vAlign w:val="top"/>
          </w:tcPr>
          <w:p w14:paraId="6A95F49B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 w:bidi="ar"/>
              </w:rPr>
              <w:t>千山路与产业大道交口东南</w:t>
            </w:r>
          </w:p>
        </w:tc>
        <w:tc>
          <w:tcPr>
            <w:tcW w:w="941" w:type="dxa"/>
            <w:vMerge w:val="restart"/>
            <w:noWrap w:val="0"/>
            <w:vAlign w:val="top"/>
          </w:tcPr>
          <w:p w14:paraId="2EB2885A">
            <w:pPr>
              <w:jc w:val="both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</w:p>
          <w:p w14:paraId="5F35C861">
            <w:pPr>
              <w:jc w:val="both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</w:p>
          <w:p w14:paraId="59B441DD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56.26</w:t>
            </w:r>
          </w:p>
        </w:tc>
      </w:tr>
      <w:tr w14:paraId="7A989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011" w:type="dxa"/>
            <w:vMerge w:val="continue"/>
            <w:noWrap w:val="0"/>
            <w:vAlign w:val="top"/>
          </w:tcPr>
          <w:p w14:paraId="589FB98A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982" w:type="dxa"/>
            <w:noWrap w:val="0"/>
            <w:vAlign w:val="top"/>
          </w:tcPr>
          <w:p w14:paraId="32A92868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</w:p>
          <w:p w14:paraId="0C39B324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G11—2</w:t>
            </w:r>
          </w:p>
        </w:tc>
        <w:tc>
          <w:tcPr>
            <w:tcW w:w="1678" w:type="dxa"/>
            <w:noWrap w:val="0"/>
            <w:vAlign w:val="center"/>
          </w:tcPr>
          <w:p w14:paraId="64F78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经新公园</w:t>
            </w:r>
          </w:p>
        </w:tc>
        <w:tc>
          <w:tcPr>
            <w:tcW w:w="954" w:type="dxa"/>
            <w:noWrap w:val="0"/>
            <w:vAlign w:val="center"/>
          </w:tcPr>
          <w:p w14:paraId="4DB9834C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11.69</w:t>
            </w:r>
          </w:p>
        </w:tc>
        <w:tc>
          <w:tcPr>
            <w:tcW w:w="2793" w:type="dxa"/>
            <w:noWrap w:val="0"/>
            <w:vAlign w:val="top"/>
          </w:tcPr>
          <w:p w14:paraId="30BFF87C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</w:p>
          <w:p w14:paraId="3207367D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新民路与荣成路交口东北</w:t>
            </w:r>
          </w:p>
        </w:tc>
        <w:tc>
          <w:tcPr>
            <w:tcW w:w="941" w:type="dxa"/>
            <w:vMerge w:val="continue"/>
            <w:noWrap w:val="0"/>
            <w:vAlign w:val="top"/>
          </w:tcPr>
          <w:p w14:paraId="253915CB">
            <w:pPr>
              <w:jc w:val="center"/>
              <w:rPr>
                <w:color w:val="000000"/>
                <w:sz w:val="21"/>
                <w:szCs w:val="21"/>
              </w:rPr>
            </w:pPr>
          </w:p>
        </w:tc>
      </w:tr>
      <w:tr w14:paraId="67018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  <w:vMerge w:val="continue"/>
            <w:noWrap w:val="0"/>
            <w:vAlign w:val="top"/>
          </w:tcPr>
          <w:p w14:paraId="5AF98A28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982" w:type="dxa"/>
            <w:noWrap w:val="0"/>
            <w:vAlign w:val="top"/>
          </w:tcPr>
          <w:p w14:paraId="788F1131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G11—3</w:t>
            </w:r>
          </w:p>
        </w:tc>
        <w:tc>
          <w:tcPr>
            <w:tcW w:w="1678" w:type="dxa"/>
            <w:noWrap w:val="0"/>
            <w:vAlign w:val="center"/>
          </w:tcPr>
          <w:p w14:paraId="4CD9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木刀沟公园</w:t>
            </w:r>
          </w:p>
        </w:tc>
        <w:tc>
          <w:tcPr>
            <w:tcW w:w="954" w:type="dxa"/>
            <w:noWrap w:val="0"/>
            <w:vAlign w:val="center"/>
          </w:tcPr>
          <w:p w14:paraId="5E094BA4">
            <w:pPr>
              <w:ind w:firstLine="0" w:firstLineChars="0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16.33</w:t>
            </w:r>
          </w:p>
        </w:tc>
        <w:tc>
          <w:tcPr>
            <w:tcW w:w="2793" w:type="dxa"/>
            <w:noWrap w:val="0"/>
            <w:vAlign w:val="center"/>
          </w:tcPr>
          <w:p w14:paraId="33FF3DA1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光明路与希望路交口北侧</w:t>
            </w:r>
          </w:p>
        </w:tc>
        <w:tc>
          <w:tcPr>
            <w:tcW w:w="941" w:type="dxa"/>
            <w:vMerge w:val="continue"/>
            <w:noWrap w:val="0"/>
            <w:vAlign w:val="top"/>
          </w:tcPr>
          <w:p w14:paraId="7AD84F9F">
            <w:pPr>
              <w:jc w:val="center"/>
              <w:rPr>
                <w:color w:val="000000"/>
                <w:sz w:val="21"/>
                <w:szCs w:val="21"/>
              </w:rPr>
            </w:pPr>
          </w:p>
        </w:tc>
      </w:tr>
      <w:tr w14:paraId="4D87B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1" w:type="dxa"/>
            <w:vMerge w:val="continue"/>
            <w:noWrap w:val="0"/>
            <w:vAlign w:val="top"/>
          </w:tcPr>
          <w:p w14:paraId="3446F863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982" w:type="dxa"/>
            <w:noWrap w:val="0"/>
            <w:vAlign w:val="top"/>
          </w:tcPr>
          <w:p w14:paraId="4B961D03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G11—4</w:t>
            </w:r>
          </w:p>
        </w:tc>
        <w:tc>
          <w:tcPr>
            <w:tcW w:w="1678" w:type="dxa"/>
            <w:noWrap w:val="0"/>
            <w:vAlign w:val="center"/>
          </w:tcPr>
          <w:p w14:paraId="0D6E8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科城郊野公园</w:t>
            </w:r>
          </w:p>
        </w:tc>
        <w:tc>
          <w:tcPr>
            <w:tcW w:w="954" w:type="dxa"/>
            <w:noWrap w:val="0"/>
            <w:vAlign w:val="center"/>
          </w:tcPr>
          <w:p w14:paraId="2DCBBB2A">
            <w:pPr>
              <w:ind w:firstLine="0" w:firstLineChars="0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13.86</w:t>
            </w:r>
          </w:p>
        </w:tc>
        <w:tc>
          <w:tcPr>
            <w:tcW w:w="2793" w:type="dxa"/>
            <w:noWrap w:val="0"/>
            <w:vAlign w:val="center"/>
          </w:tcPr>
          <w:p w14:paraId="22A75ECC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科城路南侧</w:t>
            </w:r>
          </w:p>
        </w:tc>
        <w:tc>
          <w:tcPr>
            <w:tcW w:w="941" w:type="dxa"/>
            <w:vMerge w:val="continue"/>
            <w:noWrap w:val="0"/>
            <w:vAlign w:val="top"/>
          </w:tcPr>
          <w:p w14:paraId="356CF5F9">
            <w:pPr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 w14:paraId="2C7043D4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 xml:space="preserve">（二）社区公园（G12）规划     </w:t>
      </w:r>
    </w:p>
    <w:p w14:paraId="3267B1B7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社区公园是指用地独立，具有基本的游憩和服务设施，主要为一定社区范围内居民就近开展日常休闲活动服务的绿地。大多设于居住区内或附近，服务对象很明确，就是小区中的居民。这类公园使用率很高，应该提供足够的场地供居民晨练、跳舞、下棋等。社区公园是小区居民的社交场所，应多设园椅等休息设施。</w:t>
      </w:r>
    </w:p>
    <w:p w14:paraId="0C32B504">
      <w:pPr>
        <w:spacing w:line="560" w:lineRule="exact"/>
        <w:ind w:firstLine="560" w:firstLineChars="200"/>
        <w:rPr>
          <w:rFonts w:hint="default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根据无极县城市用地布局和综合公园的位置，作为对综合公园的重要补充，规划期末在城市居住片区内，空间开敞、服务半径合理处建设社区公园13个，包括二中公园、街心公园等。</w:t>
      </w:r>
    </w:p>
    <w:p w14:paraId="48509534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至规划期末，社区公园总面积42.10公顷，人均3.01平方米。</w:t>
      </w:r>
    </w:p>
    <w:p w14:paraId="4080C307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表7.2  社区公园规划一览表</w:t>
      </w:r>
    </w:p>
    <w:tbl>
      <w:tblPr>
        <w:tblStyle w:val="17"/>
        <w:tblW w:w="845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1031"/>
        <w:gridCol w:w="1646"/>
        <w:gridCol w:w="945"/>
        <w:gridCol w:w="2835"/>
        <w:gridCol w:w="945"/>
      </w:tblGrid>
      <w:tr w14:paraId="175E4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056" w:type="dxa"/>
            <w:tcBorders>
              <w:bottom w:val="single" w:color="auto" w:sz="4" w:space="0"/>
            </w:tcBorders>
            <w:noWrap w:val="0"/>
            <w:vAlign w:val="center"/>
          </w:tcPr>
          <w:p w14:paraId="4D000B65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公园绿地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中类</w:t>
            </w:r>
          </w:p>
        </w:tc>
        <w:tc>
          <w:tcPr>
            <w:tcW w:w="1031" w:type="dxa"/>
            <w:noWrap w:val="0"/>
            <w:vAlign w:val="top"/>
          </w:tcPr>
          <w:p w14:paraId="3B4ED9BF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公园编号</w:t>
            </w:r>
          </w:p>
        </w:tc>
        <w:tc>
          <w:tcPr>
            <w:tcW w:w="1646" w:type="dxa"/>
            <w:noWrap w:val="0"/>
            <w:vAlign w:val="center"/>
          </w:tcPr>
          <w:p w14:paraId="7274BF33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公园名称</w:t>
            </w:r>
          </w:p>
        </w:tc>
        <w:tc>
          <w:tcPr>
            <w:tcW w:w="945" w:type="dxa"/>
            <w:noWrap w:val="0"/>
            <w:vAlign w:val="center"/>
          </w:tcPr>
          <w:p w14:paraId="64C916E2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面积（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）</w:t>
            </w:r>
          </w:p>
        </w:tc>
        <w:tc>
          <w:tcPr>
            <w:tcW w:w="2835" w:type="dxa"/>
            <w:noWrap w:val="0"/>
            <w:vAlign w:val="center"/>
          </w:tcPr>
          <w:p w14:paraId="191F151A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公园位置</w:t>
            </w:r>
          </w:p>
        </w:tc>
        <w:tc>
          <w:tcPr>
            <w:tcW w:w="945" w:type="dxa"/>
            <w:noWrap w:val="0"/>
            <w:vAlign w:val="center"/>
          </w:tcPr>
          <w:p w14:paraId="36F3B103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总面积（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）</w:t>
            </w:r>
          </w:p>
        </w:tc>
      </w:tr>
      <w:tr w14:paraId="1E00F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0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CDCD565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  <w:p w14:paraId="73D2DFF9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  <w:p w14:paraId="4547BFF2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社区</w:t>
            </w:r>
          </w:p>
          <w:p w14:paraId="7DA319D7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公园</w:t>
            </w:r>
          </w:p>
          <w:p w14:paraId="2D9013E8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</w:t>
            </w:r>
          </w:p>
          <w:p w14:paraId="6333F88E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  <w:p w14:paraId="77F5C367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center"/>
          </w:tcPr>
          <w:p w14:paraId="7AD11057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G12—1</w:t>
            </w:r>
          </w:p>
        </w:tc>
        <w:tc>
          <w:tcPr>
            <w:tcW w:w="1646" w:type="dxa"/>
            <w:noWrap w:val="0"/>
            <w:vAlign w:val="center"/>
          </w:tcPr>
          <w:p w14:paraId="36DDB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卫西公园</w:t>
            </w:r>
          </w:p>
        </w:tc>
        <w:tc>
          <w:tcPr>
            <w:tcW w:w="945" w:type="dxa"/>
            <w:noWrap w:val="0"/>
            <w:vAlign w:val="center"/>
          </w:tcPr>
          <w:p w14:paraId="75A6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3.15</w:t>
            </w:r>
          </w:p>
        </w:tc>
        <w:tc>
          <w:tcPr>
            <w:tcW w:w="2835" w:type="dxa"/>
            <w:noWrap w:val="0"/>
            <w:vAlign w:val="center"/>
          </w:tcPr>
          <w:p w14:paraId="2C4BFB8F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科技街与建设路交口东南</w:t>
            </w:r>
          </w:p>
        </w:tc>
        <w:tc>
          <w:tcPr>
            <w:tcW w:w="945" w:type="dxa"/>
            <w:vMerge w:val="restart"/>
            <w:noWrap w:val="0"/>
            <w:vAlign w:val="center"/>
          </w:tcPr>
          <w:p w14:paraId="40F09D93">
            <w:pPr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42.10</w:t>
            </w:r>
          </w:p>
        </w:tc>
      </w:tr>
      <w:tr w14:paraId="2312F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58EFC7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center"/>
          </w:tcPr>
          <w:p w14:paraId="5D34468F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G12—2</w:t>
            </w:r>
          </w:p>
        </w:tc>
        <w:tc>
          <w:tcPr>
            <w:tcW w:w="1646" w:type="dxa"/>
            <w:noWrap w:val="0"/>
            <w:vAlign w:val="center"/>
          </w:tcPr>
          <w:p w14:paraId="3483F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清香园</w:t>
            </w:r>
          </w:p>
        </w:tc>
        <w:tc>
          <w:tcPr>
            <w:tcW w:w="945" w:type="dxa"/>
            <w:noWrap w:val="0"/>
            <w:vAlign w:val="center"/>
          </w:tcPr>
          <w:p w14:paraId="1D39A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2.40</w:t>
            </w:r>
          </w:p>
        </w:tc>
        <w:tc>
          <w:tcPr>
            <w:tcW w:w="2835" w:type="dxa"/>
            <w:noWrap w:val="0"/>
            <w:vAlign w:val="center"/>
          </w:tcPr>
          <w:p w14:paraId="73016DDD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1"/>
                <w:szCs w:val="21"/>
                <w:lang w:val="en-US" w:eastAsia="zh-CN"/>
              </w:rPr>
              <w:t>科技街与中昌路交口东南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51F08F70">
            <w:pPr>
              <w:rPr>
                <w:color w:val="000000"/>
              </w:rPr>
            </w:pPr>
          </w:p>
        </w:tc>
      </w:tr>
      <w:tr w14:paraId="558A3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B5C603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center"/>
          </w:tcPr>
          <w:p w14:paraId="6E9A77F5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G12—3</w:t>
            </w:r>
          </w:p>
        </w:tc>
        <w:tc>
          <w:tcPr>
            <w:tcW w:w="1646" w:type="dxa"/>
            <w:noWrap w:val="0"/>
            <w:vAlign w:val="center"/>
          </w:tcPr>
          <w:p w14:paraId="2B4D7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平安公园</w:t>
            </w:r>
          </w:p>
        </w:tc>
        <w:tc>
          <w:tcPr>
            <w:tcW w:w="945" w:type="dxa"/>
            <w:noWrap w:val="0"/>
            <w:vAlign w:val="center"/>
          </w:tcPr>
          <w:p w14:paraId="0F1E0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3.71</w:t>
            </w:r>
          </w:p>
        </w:tc>
        <w:tc>
          <w:tcPr>
            <w:tcW w:w="2835" w:type="dxa"/>
            <w:noWrap w:val="0"/>
            <w:vAlign w:val="center"/>
          </w:tcPr>
          <w:p w14:paraId="3B883AC6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千山路与光明街交口西北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574506A6">
            <w:pPr>
              <w:rPr>
                <w:color w:val="000000"/>
              </w:rPr>
            </w:pPr>
          </w:p>
        </w:tc>
      </w:tr>
      <w:tr w14:paraId="00B2B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92F9C9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69DC3D97">
            <w:pPr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4</w:t>
            </w:r>
          </w:p>
        </w:tc>
        <w:tc>
          <w:tcPr>
            <w:tcW w:w="1646" w:type="dxa"/>
            <w:noWrap w:val="0"/>
            <w:vAlign w:val="center"/>
          </w:tcPr>
          <w:p w14:paraId="15B22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人和公园</w:t>
            </w:r>
          </w:p>
        </w:tc>
        <w:tc>
          <w:tcPr>
            <w:tcW w:w="945" w:type="dxa"/>
            <w:noWrap w:val="0"/>
            <w:vAlign w:val="center"/>
          </w:tcPr>
          <w:p w14:paraId="777DE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2.26</w:t>
            </w:r>
          </w:p>
        </w:tc>
        <w:tc>
          <w:tcPr>
            <w:tcW w:w="2835" w:type="dxa"/>
            <w:noWrap w:val="0"/>
            <w:vAlign w:val="center"/>
          </w:tcPr>
          <w:p w14:paraId="2D2F7653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千山路与人和街交口东北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0B26660E">
            <w:pPr>
              <w:rPr>
                <w:color w:val="000000"/>
              </w:rPr>
            </w:pPr>
          </w:p>
        </w:tc>
      </w:tr>
      <w:tr w14:paraId="198F6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DED2FD9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20EF9799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5</w:t>
            </w:r>
          </w:p>
        </w:tc>
        <w:tc>
          <w:tcPr>
            <w:tcW w:w="1646" w:type="dxa"/>
            <w:noWrap w:val="0"/>
            <w:vAlign w:val="center"/>
          </w:tcPr>
          <w:p w14:paraId="47D3C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智慧公园</w:t>
            </w:r>
          </w:p>
        </w:tc>
        <w:tc>
          <w:tcPr>
            <w:tcW w:w="945" w:type="dxa"/>
            <w:noWrap w:val="0"/>
            <w:vAlign w:val="center"/>
          </w:tcPr>
          <w:p w14:paraId="73DA3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2.69</w:t>
            </w:r>
          </w:p>
        </w:tc>
        <w:tc>
          <w:tcPr>
            <w:tcW w:w="2835" w:type="dxa"/>
            <w:noWrap w:val="0"/>
            <w:vAlign w:val="center"/>
          </w:tcPr>
          <w:p w14:paraId="5D9F1381"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智慧街与无极路交口西南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57ABFFA6">
            <w:pPr>
              <w:rPr>
                <w:color w:val="000000"/>
              </w:rPr>
            </w:pPr>
          </w:p>
        </w:tc>
      </w:tr>
      <w:tr w14:paraId="019E4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A77F81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775FF49B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6</w:t>
            </w:r>
          </w:p>
        </w:tc>
        <w:tc>
          <w:tcPr>
            <w:tcW w:w="1646" w:type="dxa"/>
            <w:noWrap w:val="0"/>
            <w:vAlign w:val="center"/>
          </w:tcPr>
          <w:p w14:paraId="5EE24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街心公园</w:t>
            </w:r>
          </w:p>
        </w:tc>
        <w:tc>
          <w:tcPr>
            <w:tcW w:w="945" w:type="dxa"/>
            <w:noWrap w:val="0"/>
            <w:vAlign w:val="center"/>
          </w:tcPr>
          <w:p w14:paraId="33082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1.04</w:t>
            </w:r>
          </w:p>
        </w:tc>
        <w:tc>
          <w:tcPr>
            <w:tcW w:w="2835" w:type="dxa"/>
            <w:noWrap w:val="0"/>
            <w:vAlign w:val="center"/>
          </w:tcPr>
          <w:p w14:paraId="15A23F48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幸福街与无极路交口东北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6359ABB3">
            <w:pPr>
              <w:rPr>
                <w:color w:val="000000"/>
              </w:rPr>
            </w:pPr>
          </w:p>
        </w:tc>
      </w:tr>
      <w:tr w14:paraId="0F46E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C1B307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144CD1E5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7</w:t>
            </w:r>
          </w:p>
        </w:tc>
        <w:tc>
          <w:tcPr>
            <w:tcW w:w="1646" w:type="dxa"/>
            <w:noWrap w:val="0"/>
            <w:vAlign w:val="center"/>
          </w:tcPr>
          <w:p w14:paraId="45AA4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西中铺公园</w:t>
            </w:r>
          </w:p>
        </w:tc>
        <w:tc>
          <w:tcPr>
            <w:tcW w:w="945" w:type="dxa"/>
            <w:noWrap w:val="0"/>
            <w:vAlign w:val="center"/>
          </w:tcPr>
          <w:p w14:paraId="240E3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2.29</w:t>
            </w:r>
          </w:p>
        </w:tc>
        <w:tc>
          <w:tcPr>
            <w:tcW w:w="2835" w:type="dxa"/>
            <w:noWrap w:val="0"/>
            <w:vAlign w:val="center"/>
          </w:tcPr>
          <w:p w14:paraId="4D1C1499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正义街与希望路交口东南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2D5358BA">
            <w:pPr>
              <w:rPr>
                <w:color w:val="000000"/>
              </w:rPr>
            </w:pPr>
          </w:p>
        </w:tc>
      </w:tr>
      <w:tr w14:paraId="7EF52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1A4F75A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4E7E6554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8</w:t>
            </w:r>
          </w:p>
        </w:tc>
        <w:tc>
          <w:tcPr>
            <w:tcW w:w="1646" w:type="dxa"/>
            <w:noWrap w:val="0"/>
            <w:vAlign w:val="center"/>
          </w:tcPr>
          <w:p w14:paraId="7B7FF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光明公园</w:t>
            </w:r>
          </w:p>
        </w:tc>
        <w:tc>
          <w:tcPr>
            <w:tcW w:w="945" w:type="dxa"/>
            <w:noWrap w:val="0"/>
            <w:vAlign w:val="center"/>
          </w:tcPr>
          <w:p w14:paraId="58407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4.00</w:t>
            </w:r>
          </w:p>
        </w:tc>
        <w:tc>
          <w:tcPr>
            <w:tcW w:w="2835" w:type="dxa"/>
            <w:noWrap w:val="0"/>
            <w:vAlign w:val="center"/>
          </w:tcPr>
          <w:p w14:paraId="6FA44BD1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光明街与希望路交口东北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2DCA3053">
            <w:pPr>
              <w:rPr>
                <w:color w:val="000000"/>
              </w:rPr>
            </w:pPr>
          </w:p>
        </w:tc>
      </w:tr>
      <w:tr w14:paraId="43EBE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7E8609C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4377B06D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9</w:t>
            </w:r>
          </w:p>
        </w:tc>
        <w:tc>
          <w:tcPr>
            <w:tcW w:w="1646" w:type="dxa"/>
            <w:noWrap w:val="0"/>
            <w:vAlign w:val="center"/>
          </w:tcPr>
          <w:p w14:paraId="10A58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文苑公园</w:t>
            </w:r>
          </w:p>
        </w:tc>
        <w:tc>
          <w:tcPr>
            <w:tcW w:w="945" w:type="dxa"/>
            <w:noWrap w:val="0"/>
            <w:vAlign w:val="center"/>
          </w:tcPr>
          <w:p w14:paraId="562B2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1.96</w:t>
            </w:r>
          </w:p>
        </w:tc>
        <w:tc>
          <w:tcPr>
            <w:tcW w:w="2835" w:type="dxa"/>
            <w:noWrap w:val="0"/>
            <w:vAlign w:val="center"/>
          </w:tcPr>
          <w:p w14:paraId="29034C05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光明街与花园路交口东北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5546B9A3">
            <w:pPr>
              <w:rPr>
                <w:color w:val="000000"/>
              </w:rPr>
            </w:pPr>
          </w:p>
        </w:tc>
      </w:tr>
      <w:tr w14:paraId="36244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714D91F"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60DD4CCB">
            <w:pPr>
              <w:jc w:val="center"/>
              <w:rPr>
                <w:rFonts w:hint="eastAsia" w:ascii="仿宋" w:hAnsi="仿宋" w:eastAsia="仿宋" w:cs="仿宋"/>
                <w:color w:val="000000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G12—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10</w:t>
            </w:r>
          </w:p>
        </w:tc>
        <w:tc>
          <w:tcPr>
            <w:tcW w:w="1646" w:type="dxa"/>
            <w:noWrap w:val="0"/>
            <w:vAlign w:val="center"/>
          </w:tcPr>
          <w:p w14:paraId="5767B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二中公园</w:t>
            </w:r>
          </w:p>
        </w:tc>
        <w:tc>
          <w:tcPr>
            <w:tcW w:w="945" w:type="dxa"/>
            <w:noWrap w:val="0"/>
            <w:vAlign w:val="center"/>
          </w:tcPr>
          <w:p w14:paraId="439A1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6.52</w:t>
            </w:r>
          </w:p>
        </w:tc>
        <w:tc>
          <w:tcPr>
            <w:tcW w:w="2835" w:type="dxa"/>
            <w:noWrap w:val="0"/>
            <w:vAlign w:val="center"/>
          </w:tcPr>
          <w:p w14:paraId="0A0EA8DA"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1"/>
                <w:szCs w:val="21"/>
                <w:lang w:val="en-US" w:eastAsia="zh-CN"/>
              </w:rPr>
              <w:t>希望路与智慧街交口北侧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0C3112E3">
            <w:pPr>
              <w:rPr>
                <w:color w:val="000000"/>
              </w:rPr>
            </w:pPr>
          </w:p>
        </w:tc>
      </w:tr>
      <w:tr w14:paraId="1A8C6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E0F91">
            <w:pPr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06E41FA5">
            <w:pPr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G12—11</w:t>
            </w:r>
          </w:p>
        </w:tc>
        <w:tc>
          <w:tcPr>
            <w:tcW w:w="1646" w:type="dxa"/>
            <w:noWrap w:val="0"/>
            <w:vAlign w:val="center"/>
          </w:tcPr>
          <w:p w14:paraId="3C60E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洛神园</w:t>
            </w:r>
          </w:p>
        </w:tc>
        <w:tc>
          <w:tcPr>
            <w:tcW w:w="945" w:type="dxa"/>
            <w:noWrap w:val="0"/>
            <w:vAlign w:val="center"/>
          </w:tcPr>
          <w:p w14:paraId="4B5BE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2.22</w:t>
            </w:r>
          </w:p>
        </w:tc>
        <w:tc>
          <w:tcPr>
            <w:tcW w:w="2835" w:type="dxa"/>
            <w:noWrap w:val="0"/>
            <w:vAlign w:val="center"/>
          </w:tcPr>
          <w:p w14:paraId="48050737">
            <w:pPr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希望路东延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4FE1B169">
            <w:pPr>
              <w:rPr>
                <w:color w:val="000000"/>
              </w:rPr>
            </w:pPr>
          </w:p>
        </w:tc>
      </w:tr>
      <w:tr w14:paraId="71EBC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A1DD09">
            <w:pPr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6672567A">
            <w:pPr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G12—12</w:t>
            </w:r>
          </w:p>
        </w:tc>
        <w:tc>
          <w:tcPr>
            <w:tcW w:w="1646" w:type="dxa"/>
            <w:noWrap w:val="0"/>
            <w:vAlign w:val="center"/>
          </w:tcPr>
          <w:p w14:paraId="3BBD6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希望公园</w:t>
            </w:r>
          </w:p>
        </w:tc>
        <w:tc>
          <w:tcPr>
            <w:tcW w:w="945" w:type="dxa"/>
            <w:noWrap w:val="0"/>
            <w:vAlign w:val="center"/>
          </w:tcPr>
          <w:p w14:paraId="7BC84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4.93</w:t>
            </w:r>
          </w:p>
        </w:tc>
        <w:tc>
          <w:tcPr>
            <w:tcW w:w="2835" w:type="dxa"/>
            <w:noWrap w:val="0"/>
            <w:vAlign w:val="center"/>
          </w:tcPr>
          <w:p w14:paraId="3A7A1F3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花园路与东外环路交口西北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2B353C23">
            <w:pPr>
              <w:rPr>
                <w:color w:val="000000"/>
              </w:rPr>
            </w:pPr>
          </w:p>
        </w:tc>
      </w:tr>
      <w:tr w14:paraId="48CA6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tblHeader/>
        </w:trPr>
        <w:tc>
          <w:tcPr>
            <w:tcW w:w="10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507DD4">
            <w:pPr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031" w:type="dxa"/>
            <w:tcBorders>
              <w:left w:val="single" w:color="auto" w:sz="4" w:space="0"/>
            </w:tcBorders>
            <w:noWrap w:val="0"/>
            <w:vAlign w:val="top"/>
          </w:tcPr>
          <w:p w14:paraId="7C04C4A3">
            <w:pPr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G12—13</w:t>
            </w:r>
          </w:p>
        </w:tc>
        <w:tc>
          <w:tcPr>
            <w:tcW w:w="1646" w:type="dxa"/>
            <w:noWrap w:val="0"/>
            <w:vAlign w:val="center"/>
          </w:tcPr>
          <w:p w14:paraId="13FC7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沿河郊野公园</w:t>
            </w:r>
          </w:p>
        </w:tc>
        <w:tc>
          <w:tcPr>
            <w:tcW w:w="945" w:type="dxa"/>
            <w:noWrap w:val="0"/>
            <w:vAlign w:val="center"/>
          </w:tcPr>
          <w:p w14:paraId="479E1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4.94</w:t>
            </w:r>
          </w:p>
        </w:tc>
        <w:tc>
          <w:tcPr>
            <w:tcW w:w="2835" w:type="dxa"/>
            <w:noWrap w:val="0"/>
            <w:vAlign w:val="center"/>
          </w:tcPr>
          <w:p w14:paraId="1171776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木刀沟北侧</w:t>
            </w:r>
          </w:p>
        </w:tc>
        <w:tc>
          <w:tcPr>
            <w:tcW w:w="945" w:type="dxa"/>
            <w:vMerge w:val="continue"/>
            <w:noWrap w:val="0"/>
            <w:vAlign w:val="center"/>
          </w:tcPr>
          <w:p w14:paraId="30688892">
            <w:pPr>
              <w:rPr>
                <w:color w:val="000000"/>
              </w:rPr>
            </w:pPr>
          </w:p>
        </w:tc>
      </w:tr>
    </w:tbl>
    <w:p w14:paraId="566063F7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（三）专类公园（G13）规划</w:t>
      </w:r>
    </w:p>
    <w:p w14:paraId="07A9436D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专类公园是指具有特定内容或形式，有相应的游憩和服务设施的绿地。主要包括动物园、植物园、历史名园、遗址公园、游乐公园、其他专类公园。</w:t>
      </w:r>
    </w:p>
    <w:p w14:paraId="13D4B253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本次规划确定无极县城的专类公园为雕塑公园、民俗公园和儿童公园，三个公园都是其他三类专类公园，依托无极当地特色文化进行公园设计，宣传无极文化，弘扬民族精神，结合多种多样的植物提供适宜的环境。</w:t>
      </w:r>
    </w:p>
    <w:p w14:paraId="6B066034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至规划期末，专类公园总面积为6.16公顷。</w:t>
      </w:r>
    </w:p>
    <w:p w14:paraId="36AFA146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表7.3  专类公园规划一览表</w:t>
      </w:r>
    </w:p>
    <w:tbl>
      <w:tblPr>
        <w:tblStyle w:val="17"/>
        <w:tblW w:w="917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3"/>
        <w:gridCol w:w="1162"/>
        <w:gridCol w:w="901"/>
        <w:gridCol w:w="1184"/>
        <w:gridCol w:w="969"/>
        <w:gridCol w:w="2691"/>
        <w:gridCol w:w="991"/>
      </w:tblGrid>
      <w:tr w14:paraId="0FC80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5" w:hRule="atLeast"/>
        </w:trPr>
        <w:tc>
          <w:tcPr>
            <w:tcW w:w="1273" w:type="dxa"/>
            <w:noWrap w:val="0"/>
            <w:vAlign w:val="center"/>
          </w:tcPr>
          <w:p w14:paraId="3E39AF80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公园绿地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中类</w:t>
            </w:r>
          </w:p>
        </w:tc>
        <w:tc>
          <w:tcPr>
            <w:tcW w:w="1162" w:type="dxa"/>
            <w:noWrap w:val="0"/>
            <w:vAlign w:val="center"/>
          </w:tcPr>
          <w:p w14:paraId="5F387029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公园绿地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小类</w:t>
            </w:r>
          </w:p>
        </w:tc>
        <w:tc>
          <w:tcPr>
            <w:tcW w:w="901" w:type="dxa"/>
            <w:noWrap w:val="0"/>
            <w:vAlign w:val="center"/>
          </w:tcPr>
          <w:p w14:paraId="1EFC763B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公园</w:t>
            </w:r>
          </w:p>
          <w:p w14:paraId="32DB052F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编号</w:t>
            </w:r>
          </w:p>
        </w:tc>
        <w:tc>
          <w:tcPr>
            <w:tcW w:w="1184" w:type="dxa"/>
            <w:noWrap w:val="0"/>
            <w:vAlign w:val="center"/>
          </w:tcPr>
          <w:p w14:paraId="10B969E6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公园</w:t>
            </w:r>
          </w:p>
          <w:p w14:paraId="5A938522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名称</w:t>
            </w:r>
          </w:p>
        </w:tc>
        <w:tc>
          <w:tcPr>
            <w:tcW w:w="969" w:type="dxa"/>
            <w:noWrap w:val="0"/>
            <w:vAlign w:val="center"/>
          </w:tcPr>
          <w:p w14:paraId="4A67001A">
            <w:pPr>
              <w:jc w:val="center"/>
              <w:rPr>
                <w:rFonts w:hint="eastAsia" w:ascii="仿宋" w:hAnsi="仿宋" w:eastAsia="仿宋" w:cs="仿宋"/>
                <w:color w:val="FF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面积（hm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）</w:t>
            </w:r>
          </w:p>
        </w:tc>
        <w:tc>
          <w:tcPr>
            <w:tcW w:w="2691" w:type="dxa"/>
            <w:noWrap w:val="0"/>
            <w:vAlign w:val="center"/>
          </w:tcPr>
          <w:p w14:paraId="3224C254">
            <w:pPr>
              <w:jc w:val="center"/>
              <w:rPr>
                <w:rFonts w:hint="eastAsia" w:ascii="仿宋" w:hAnsi="仿宋" w:eastAsia="仿宋" w:cs="仿宋"/>
                <w:color w:val="FF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公园位置</w:t>
            </w:r>
          </w:p>
        </w:tc>
        <w:tc>
          <w:tcPr>
            <w:tcW w:w="991" w:type="dxa"/>
            <w:noWrap w:val="0"/>
            <w:vAlign w:val="center"/>
          </w:tcPr>
          <w:p w14:paraId="76A3C228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  <w:t>总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面积</w:t>
            </w:r>
          </w:p>
          <w:p w14:paraId="0194DA29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（hm</w:t>
            </w:r>
            <w:r>
              <w:rPr>
                <w:rFonts w:hint="eastAsia" w:ascii="仿宋" w:hAnsi="仿宋" w:eastAsia="仿宋" w:cs="仿宋"/>
                <w:color w:val="000000"/>
                <w:szCs w:val="21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）</w:t>
            </w:r>
          </w:p>
        </w:tc>
      </w:tr>
      <w:tr w14:paraId="3EDCD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273" w:type="dxa"/>
            <w:vMerge w:val="restart"/>
            <w:noWrap w:val="0"/>
            <w:vAlign w:val="center"/>
          </w:tcPr>
          <w:p w14:paraId="201DAF5D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专类公园</w:t>
            </w:r>
          </w:p>
          <w:p w14:paraId="6A1B68A2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G13</w:t>
            </w:r>
          </w:p>
        </w:tc>
        <w:tc>
          <w:tcPr>
            <w:tcW w:w="1162" w:type="dxa"/>
            <w:noWrap w:val="0"/>
            <w:vAlign w:val="center"/>
          </w:tcPr>
          <w:p w14:paraId="288C2E82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  <w:t>其他专类公园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G1</w:t>
            </w: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39</w:t>
            </w:r>
          </w:p>
        </w:tc>
        <w:tc>
          <w:tcPr>
            <w:tcW w:w="901" w:type="dxa"/>
            <w:noWrap w:val="0"/>
            <w:vAlign w:val="center"/>
          </w:tcPr>
          <w:p w14:paraId="0D709C44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G13</w:t>
            </w: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9-1</w:t>
            </w:r>
          </w:p>
        </w:tc>
        <w:tc>
          <w:tcPr>
            <w:tcW w:w="1184" w:type="dxa"/>
            <w:noWrap w:val="0"/>
            <w:vAlign w:val="center"/>
          </w:tcPr>
          <w:p w14:paraId="0DE98116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  <w:lang w:eastAsia="zh-CN"/>
              </w:rPr>
              <w:t>民俗公园</w:t>
            </w:r>
          </w:p>
        </w:tc>
        <w:tc>
          <w:tcPr>
            <w:tcW w:w="969" w:type="dxa"/>
            <w:noWrap w:val="0"/>
            <w:vAlign w:val="center"/>
          </w:tcPr>
          <w:p w14:paraId="167202D8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3.59</w:t>
            </w:r>
          </w:p>
        </w:tc>
        <w:tc>
          <w:tcPr>
            <w:tcW w:w="2691" w:type="dxa"/>
            <w:noWrap w:val="0"/>
            <w:vAlign w:val="center"/>
          </w:tcPr>
          <w:p w14:paraId="6B382A91">
            <w:pPr>
              <w:jc w:val="center"/>
              <w:rPr>
                <w:rFonts w:hint="eastAsia" w:ascii="仿宋" w:hAnsi="仿宋" w:eastAsia="仿宋" w:cs="仿宋"/>
                <w:color w:val="FF000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无极路与规划二街交口西南</w:t>
            </w:r>
          </w:p>
        </w:tc>
        <w:tc>
          <w:tcPr>
            <w:tcW w:w="991" w:type="dxa"/>
            <w:vMerge w:val="restart"/>
            <w:noWrap w:val="0"/>
            <w:vAlign w:val="center"/>
          </w:tcPr>
          <w:p w14:paraId="64235DF2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6.16</w:t>
            </w:r>
          </w:p>
        </w:tc>
      </w:tr>
      <w:tr w14:paraId="60D55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273" w:type="dxa"/>
            <w:vMerge w:val="continue"/>
            <w:noWrap w:val="0"/>
            <w:vAlign w:val="center"/>
          </w:tcPr>
          <w:p w14:paraId="3DC8ABA5">
            <w:pPr>
              <w:jc w:val="center"/>
              <w:rPr>
                <w:rFonts w:hint="eastAsia" w:ascii="仿宋" w:hAnsi="仿宋" w:eastAsia="仿宋" w:cs="仿宋"/>
                <w:color w:val="FF0000"/>
                <w:szCs w:val="21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3C0EE867">
            <w:pPr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  <w:t>其他专类公园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G1</w:t>
            </w: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39</w:t>
            </w:r>
          </w:p>
          <w:p w14:paraId="2491BBBB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</w:p>
        </w:tc>
        <w:tc>
          <w:tcPr>
            <w:tcW w:w="901" w:type="dxa"/>
            <w:noWrap w:val="0"/>
            <w:vAlign w:val="center"/>
          </w:tcPr>
          <w:p w14:paraId="42ED2269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G139-2</w:t>
            </w:r>
          </w:p>
        </w:tc>
        <w:tc>
          <w:tcPr>
            <w:tcW w:w="1184" w:type="dxa"/>
            <w:noWrap w:val="0"/>
            <w:vAlign w:val="center"/>
          </w:tcPr>
          <w:p w14:paraId="78553DDB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  <w:lang w:val="en-US" w:eastAsia="zh-CN"/>
              </w:rPr>
              <w:t>雕塑</w:t>
            </w: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  <w:lang w:eastAsia="zh-CN"/>
              </w:rPr>
              <w:t>公园</w:t>
            </w:r>
          </w:p>
        </w:tc>
        <w:tc>
          <w:tcPr>
            <w:tcW w:w="969" w:type="dxa"/>
            <w:noWrap w:val="0"/>
            <w:vAlign w:val="center"/>
          </w:tcPr>
          <w:p w14:paraId="31665290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1.08</w:t>
            </w:r>
          </w:p>
        </w:tc>
        <w:tc>
          <w:tcPr>
            <w:tcW w:w="2691" w:type="dxa"/>
            <w:noWrap w:val="0"/>
            <w:vAlign w:val="center"/>
          </w:tcPr>
          <w:p w14:paraId="3F28BFBF">
            <w:pPr>
              <w:jc w:val="center"/>
              <w:rPr>
                <w:rFonts w:hint="eastAsia" w:ascii="仿宋" w:hAnsi="仿宋" w:eastAsia="仿宋" w:cs="仿宋"/>
                <w:color w:val="FF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幸福街与中昌路交口东南</w:t>
            </w:r>
          </w:p>
        </w:tc>
        <w:tc>
          <w:tcPr>
            <w:tcW w:w="991" w:type="dxa"/>
            <w:vMerge w:val="continue"/>
            <w:noWrap w:val="0"/>
            <w:vAlign w:val="center"/>
          </w:tcPr>
          <w:p w14:paraId="5A7B75CE">
            <w:pPr>
              <w:rPr>
                <w:rFonts w:hint="eastAsia"/>
                <w:color w:val="FF0000"/>
                <w:szCs w:val="21"/>
              </w:rPr>
            </w:pPr>
          </w:p>
        </w:tc>
      </w:tr>
      <w:tr w14:paraId="554F6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273" w:type="dxa"/>
            <w:vMerge w:val="continue"/>
            <w:noWrap w:val="0"/>
            <w:vAlign w:val="center"/>
          </w:tcPr>
          <w:p w14:paraId="1C0EE9BC">
            <w:pPr>
              <w:jc w:val="center"/>
              <w:rPr>
                <w:rFonts w:hint="eastAsia" w:ascii="仿宋" w:hAnsi="仿宋" w:eastAsia="仿宋" w:cs="仿宋"/>
                <w:color w:val="FF0000"/>
                <w:szCs w:val="21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5A0C6A50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eastAsia="zh-CN"/>
              </w:rPr>
              <w:t>其他专类公园</w:t>
            </w:r>
            <w:r>
              <w:rPr>
                <w:rFonts w:hint="eastAsia" w:ascii="仿宋" w:hAnsi="仿宋" w:eastAsia="仿宋" w:cs="仿宋"/>
                <w:color w:val="000000"/>
                <w:szCs w:val="21"/>
              </w:rPr>
              <w:t>G1</w:t>
            </w: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39</w:t>
            </w:r>
          </w:p>
        </w:tc>
        <w:tc>
          <w:tcPr>
            <w:tcW w:w="901" w:type="dxa"/>
            <w:noWrap w:val="0"/>
            <w:vAlign w:val="center"/>
          </w:tcPr>
          <w:p w14:paraId="34CC89F1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G139-3</w:t>
            </w:r>
          </w:p>
        </w:tc>
        <w:tc>
          <w:tcPr>
            <w:tcW w:w="1184" w:type="dxa"/>
            <w:noWrap w:val="0"/>
            <w:vAlign w:val="center"/>
          </w:tcPr>
          <w:p w14:paraId="3CDFBD0E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highlight w:val="none"/>
                <w:lang w:eastAsia="zh-CN"/>
              </w:rPr>
              <w:t>儿童公园</w:t>
            </w:r>
          </w:p>
        </w:tc>
        <w:tc>
          <w:tcPr>
            <w:tcW w:w="969" w:type="dxa"/>
            <w:noWrap w:val="0"/>
            <w:vAlign w:val="center"/>
          </w:tcPr>
          <w:p w14:paraId="2452EF94">
            <w:pPr>
              <w:jc w:val="center"/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  <w:lang w:val="en-US" w:eastAsia="zh-CN"/>
              </w:rPr>
              <w:t>1.48</w:t>
            </w:r>
          </w:p>
        </w:tc>
        <w:tc>
          <w:tcPr>
            <w:tcW w:w="2691" w:type="dxa"/>
            <w:noWrap w:val="0"/>
            <w:vAlign w:val="center"/>
          </w:tcPr>
          <w:p w14:paraId="58B7DF92">
            <w:pPr>
              <w:jc w:val="center"/>
              <w:rPr>
                <w:rFonts w:hint="eastAsia" w:ascii="仿宋" w:hAnsi="仿宋" w:eastAsia="仿宋" w:cs="仿宋"/>
                <w:color w:val="FF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花园路与智慧街交口东南</w:t>
            </w:r>
          </w:p>
        </w:tc>
        <w:tc>
          <w:tcPr>
            <w:tcW w:w="991" w:type="dxa"/>
            <w:vMerge w:val="continue"/>
            <w:noWrap w:val="0"/>
            <w:vAlign w:val="center"/>
          </w:tcPr>
          <w:p w14:paraId="44E52094">
            <w:pPr>
              <w:rPr>
                <w:rFonts w:hint="eastAsia"/>
                <w:color w:val="FF0000"/>
                <w:szCs w:val="21"/>
              </w:rPr>
            </w:pPr>
          </w:p>
        </w:tc>
      </w:tr>
    </w:tbl>
    <w:p w14:paraId="07A2616F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游园（G14）规划</w:t>
      </w:r>
    </w:p>
    <w:p w14:paraId="470A098A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游园是指除以上各种公园绿地外，用地独立，规模较小或性状多样，方便居民就近进入，具有一定游憩功能的绿地。</w:t>
      </w:r>
    </w:p>
    <w:p w14:paraId="08F48FC9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本次规划的游园包括带状公园和沿街块状绿地。</w:t>
      </w:r>
    </w:p>
    <w:p w14:paraId="413025BE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带状游园主要为沿路绿带和滨河绿带。此类绿地具有用地少、投资少、景观效果好等优点，可与城市道路建设、旧城改建、新区开发同步进行。沿街绿带指位于城市道路红线以外，宽度在12米以上，并具有一定长度的带状城市绿色开放空间。规划沿城市交通性干道和城市出入口道路布置景观性绿地，形成动态景观，城区中心考虑兼具游憩功能。规划沿新民路两侧控制30米沿街绿化，荣成路两侧控制30米沿街绿化，研学路东侧控制30米沿街绿化，文化路北侧控制30米沿街绿化，科技街两侧控制30米沿街绿化，千山路两侧控制30米沿街绿化等。</w:t>
      </w:r>
    </w:p>
    <w:p w14:paraId="65AD576B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沿街块状绿地，除现状保留绿地外，另结合部分路口，新建部分块状绿地；结合城区内部开放空间，建设口袋公园，包括小型绿地、小公园、街心花园等绿地，丰富城区绿地系统。在城市重要的公共活动区域设置小块街头绿地，既满足人民的休憩需要，还可极大地丰富和改善城市景观。</w:t>
      </w:r>
    </w:p>
    <w:p w14:paraId="68FFB11D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至规划期末，规划游园总面积为67.72公顷。</w:t>
      </w:r>
    </w:p>
    <w:p w14:paraId="5E11BBED">
      <w:pPr>
        <w:spacing w:line="560" w:lineRule="exact"/>
        <w:ind w:firstLine="560" w:firstLineChars="200"/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theme="minorEastAsia"/>
          <w:kern w:val="2"/>
          <w:sz w:val="28"/>
          <w:szCs w:val="28"/>
          <w:lang w:val="en-US" w:eastAsia="zh-CN" w:bidi="ar-SA"/>
        </w:rPr>
        <w:t>表7.4  游园规划一览表</w:t>
      </w:r>
    </w:p>
    <w:tbl>
      <w:tblPr>
        <w:tblStyle w:val="17"/>
        <w:tblW w:w="88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"/>
        <w:gridCol w:w="1170"/>
        <w:gridCol w:w="2025"/>
        <w:gridCol w:w="960"/>
        <w:gridCol w:w="2940"/>
        <w:gridCol w:w="930"/>
      </w:tblGrid>
      <w:tr w14:paraId="43336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41" w:type="dxa"/>
            <w:noWrap w:val="0"/>
            <w:vAlign w:val="center"/>
          </w:tcPr>
          <w:p w14:paraId="4B7FF65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公园绿地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中类</w:t>
            </w:r>
          </w:p>
        </w:tc>
        <w:tc>
          <w:tcPr>
            <w:tcW w:w="1170" w:type="dxa"/>
            <w:noWrap w:val="0"/>
            <w:vAlign w:val="center"/>
          </w:tcPr>
          <w:p w14:paraId="5B5495B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公园</w:t>
            </w:r>
          </w:p>
          <w:p w14:paraId="7039B7D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编号</w:t>
            </w:r>
          </w:p>
        </w:tc>
        <w:tc>
          <w:tcPr>
            <w:tcW w:w="2025" w:type="dxa"/>
            <w:noWrap w:val="0"/>
            <w:vAlign w:val="center"/>
          </w:tcPr>
          <w:p w14:paraId="2E1BDA6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公园名称</w:t>
            </w:r>
          </w:p>
        </w:tc>
        <w:tc>
          <w:tcPr>
            <w:tcW w:w="960" w:type="dxa"/>
            <w:noWrap w:val="0"/>
            <w:vAlign w:val="center"/>
          </w:tcPr>
          <w:p w14:paraId="3402BD0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面积（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</w:rPr>
              <w:t>）</w:t>
            </w:r>
          </w:p>
        </w:tc>
        <w:tc>
          <w:tcPr>
            <w:tcW w:w="2940" w:type="dxa"/>
            <w:noWrap w:val="0"/>
            <w:vAlign w:val="center"/>
          </w:tcPr>
          <w:p w14:paraId="188E354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公园位置</w:t>
            </w:r>
          </w:p>
        </w:tc>
        <w:tc>
          <w:tcPr>
            <w:tcW w:w="930" w:type="dxa"/>
            <w:noWrap w:val="0"/>
            <w:vAlign w:val="center"/>
          </w:tcPr>
          <w:p w14:paraId="5D3CFEC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总</w:t>
            </w:r>
            <w:r>
              <w:rPr>
                <w:rFonts w:hint="eastAsia" w:ascii="仿宋" w:hAnsi="仿宋" w:eastAsia="仿宋" w:cs="仿宋"/>
                <w:color w:val="000000"/>
              </w:rPr>
              <w:t>面积（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hm</w:t>
            </w:r>
            <w:r>
              <w:rPr>
                <w:rFonts w:hint="eastAsia" w:ascii="仿宋" w:hAnsi="仿宋" w:eastAsia="仿宋" w:cs="仿宋"/>
                <w:color w:val="000000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</w:rPr>
              <w:t>）</w:t>
            </w:r>
          </w:p>
        </w:tc>
      </w:tr>
      <w:tr w14:paraId="6FD36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841" w:type="dxa"/>
            <w:vMerge w:val="restart"/>
            <w:noWrap w:val="0"/>
            <w:vAlign w:val="center"/>
          </w:tcPr>
          <w:p w14:paraId="56AA7F3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50AA994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6E53D88A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3D1839C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3EC14AC4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2291C74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5A9D0F7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4EC6346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</w:p>
          <w:p w14:paraId="7ABD2FBC">
            <w:pPr>
              <w:rPr>
                <w:rFonts w:hint="eastAsia" w:ascii="仿宋" w:hAnsi="仿宋" w:eastAsia="仿宋" w:cs="仿宋"/>
              </w:rPr>
            </w:pPr>
          </w:p>
          <w:p w14:paraId="65B2EBAD">
            <w:pPr>
              <w:rPr>
                <w:rFonts w:hint="eastAsia" w:ascii="仿宋" w:hAnsi="仿宋" w:eastAsia="仿宋" w:cs="仿宋"/>
              </w:rPr>
            </w:pPr>
          </w:p>
          <w:p w14:paraId="41012C6F">
            <w:pPr>
              <w:rPr>
                <w:rFonts w:hint="eastAsia" w:ascii="仿宋" w:hAnsi="仿宋" w:eastAsia="仿宋" w:cs="仿宋"/>
              </w:rPr>
            </w:pPr>
          </w:p>
          <w:p w14:paraId="3251308B">
            <w:pPr>
              <w:rPr>
                <w:rFonts w:hint="eastAsia" w:ascii="仿宋" w:hAnsi="仿宋" w:eastAsia="仿宋" w:cs="仿宋"/>
              </w:rPr>
            </w:pPr>
          </w:p>
          <w:p w14:paraId="6CECDA4D">
            <w:pPr>
              <w:rPr>
                <w:rFonts w:hint="eastAsia" w:ascii="仿宋" w:hAnsi="仿宋" w:eastAsia="仿宋" w:cs="仿宋"/>
              </w:rPr>
            </w:pPr>
          </w:p>
          <w:p w14:paraId="3A26F34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游园</w:t>
            </w:r>
            <w:r>
              <w:rPr>
                <w:rFonts w:hint="eastAsia" w:ascii="仿宋" w:hAnsi="仿宋" w:eastAsia="仿宋" w:cs="仿宋"/>
                <w:color w:val="000000"/>
              </w:rPr>
              <w:t>G14</w:t>
            </w:r>
          </w:p>
        </w:tc>
        <w:tc>
          <w:tcPr>
            <w:tcW w:w="1170" w:type="dxa"/>
            <w:noWrap w:val="0"/>
            <w:vAlign w:val="center"/>
          </w:tcPr>
          <w:p w14:paraId="4EB3719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G14—1</w:t>
            </w:r>
          </w:p>
        </w:tc>
        <w:tc>
          <w:tcPr>
            <w:tcW w:w="2025" w:type="dxa"/>
            <w:noWrap w:val="0"/>
            <w:vAlign w:val="center"/>
          </w:tcPr>
          <w:p w14:paraId="419F1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百合游园</w:t>
            </w:r>
          </w:p>
        </w:tc>
        <w:tc>
          <w:tcPr>
            <w:tcW w:w="960" w:type="dxa"/>
            <w:noWrap w:val="0"/>
            <w:vAlign w:val="center"/>
          </w:tcPr>
          <w:p w14:paraId="42759588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0.21</w:t>
            </w:r>
          </w:p>
        </w:tc>
        <w:tc>
          <w:tcPr>
            <w:tcW w:w="2940" w:type="dxa"/>
            <w:noWrap w:val="0"/>
            <w:vAlign w:val="center"/>
          </w:tcPr>
          <w:p w14:paraId="2B829E2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规划二街与无极路交口西南</w:t>
            </w:r>
          </w:p>
        </w:tc>
        <w:tc>
          <w:tcPr>
            <w:tcW w:w="930" w:type="dxa"/>
            <w:vMerge w:val="restart"/>
            <w:noWrap w:val="0"/>
            <w:vAlign w:val="center"/>
          </w:tcPr>
          <w:p w14:paraId="7B66F13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2A7CC38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0020750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5CBF49C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02E1901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3BF6447A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1B87B76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43A8F21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</w:p>
          <w:p w14:paraId="3DD2E9CD">
            <w:pPr>
              <w:rPr>
                <w:rFonts w:hint="eastAsia" w:ascii="仿宋" w:hAnsi="仿宋" w:eastAsia="仿宋" w:cs="仿宋"/>
              </w:rPr>
            </w:pPr>
          </w:p>
          <w:p w14:paraId="4649D683">
            <w:pPr>
              <w:rPr>
                <w:rFonts w:hint="eastAsia" w:ascii="仿宋" w:hAnsi="仿宋" w:eastAsia="仿宋" w:cs="仿宋"/>
              </w:rPr>
            </w:pPr>
          </w:p>
          <w:p w14:paraId="760FB471">
            <w:pPr>
              <w:rPr>
                <w:rFonts w:hint="eastAsia" w:ascii="仿宋" w:hAnsi="仿宋" w:eastAsia="仿宋" w:cs="仿宋"/>
              </w:rPr>
            </w:pPr>
          </w:p>
          <w:p w14:paraId="08199611">
            <w:pPr>
              <w:rPr>
                <w:rFonts w:hint="eastAsia" w:ascii="仿宋" w:hAnsi="仿宋" w:eastAsia="仿宋" w:cs="仿宋"/>
              </w:rPr>
            </w:pPr>
          </w:p>
          <w:p w14:paraId="353250B0">
            <w:pPr>
              <w:rPr>
                <w:rFonts w:hint="eastAsia" w:ascii="仿宋" w:hAnsi="仿宋" w:eastAsia="仿宋" w:cs="仿宋"/>
              </w:rPr>
            </w:pPr>
          </w:p>
          <w:p w14:paraId="1F9CF95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67.72</w:t>
            </w:r>
          </w:p>
        </w:tc>
      </w:tr>
      <w:tr w14:paraId="7E259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40EA973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6CFE941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G14—2</w:t>
            </w:r>
          </w:p>
        </w:tc>
        <w:tc>
          <w:tcPr>
            <w:tcW w:w="2025" w:type="dxa"/>
            <w:noWrap w:val="0"/>
            <w:vAlign w:val="center"/>
          </w:tcPr>
          <w:p w14:paraId="13A40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华瑞游园</w:t>
            </w:r>
          </w:p>
        </w:tc>
        <w:tc>
          <w:tcPr>
            <w:tcW w:w="960" w:type="dxa"/>
            <w:noWrap w:val="0"/>
            <w:vAlign w:val="center"/>
          </w:tcPr>
          <w:p w14:paraId="16301857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0.41</w:t>
            </w:r>
          </w:p>
        </w:tc>
        <w:tc>
          <w:tcPr>
            <w:tcW w:w="2940" w:type="dxa"/>
            <w:noWrap w:val="0"/>
            <w:vAlign w:val="center"/>
          </w:tcPr>
          <w:p w14:paraId="3E45BFF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规划二街与无极路交口东南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2849291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5E79A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40085B8A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C327E8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G14—3</w:t>
            </w:r>
          </w:p>
        </w:tc>
        <w:tc>
          <w:tcPr>
            <w:tcW w:w="2025" w:type="dxa"/>
            <w:noWrap w:val="0"/>
            <w:vAlign w:val="center"/>
          </w:tcPr>
          <w:p w14:paraId="71155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正义游园</w:t>
            </w:r>
          </w:p>
        </w:tc>
        <w:tc>
          <w:tcPr>
            <w:tcW w:w="960" w:type="dxa"/>
            <w:noWrap w:val="0"/>
            <w:vAlign w:val="center"/>
          </w:tcPr>
          <w:p w14:paraId="6CB64DDF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0.48</w:t>
            </w:r>
          </w:p>
        </w:tc>
        <w:tc>
          <w:tcPr>
            <w:tcW w:w="2940" w:type="dxa"/>
            <w:noWrap w:val="0"/>
            <w:vAlign w:val="center"/>
          </w:tcPr>
          <w:p w14:paraId="0ECAB6A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正义街与中昌路交口西南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1D6091E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5FBDD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319D825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1FE58C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G14—4</w:t>
            </w:r>
          </w:p>
        </w:tc>
        <w:tc>
          <w:tcPr>
            <w:tcW w:w="2025" w:type="dxa"/>
            <w:noWrap w:val="0"/>
            <w:vAlign w:val="center"/>
          </w:tcPr>
          <w:p w14:paraId="680D8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中福游园</w:t>
            </w:r>
          </w:p>
        </w:tc>
        <w:tc>
          <w:tcPr>
            <w:tcW w:w="960" w:type="dxa"/>
            <w:noWrap w:val="0"/>
            <w:vAlign w:val="center"/>
          </w:tcPr>
          <w:p w14:paraId="216E0FDA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0.49</w:t>
            </w:r>
          </w:p>
        </w:tc>
        <w:tc>
          <w:tcPr>
            <w:tcW w:w="2940" w:type="dxa"/>
            <w:noWrap w:val="0"/>
            <w:vAlign w:val="center"/>
          </w:tcPr>
          <w:p w14:paraId="5F599AA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幸福街与中昌路交口西南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33F28EF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454AA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7F56206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DD2748A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G14—5</w:t>
            </w:r>
          </w:p>
        </w:tc>
        <w:tc>
          <w:tcPr>
            <w:tcW w:w="2025" w:type="dxa"/>
            <w:noWrap w:val="0"/>
            <w:vAlign w:val="center"/>
          </w:tcPr>
          <w:p w14:paraId="226F3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中昌游园</w:t>
            </w:r>
          </w:p>
        </w:tc>
        <w:tc>
          <w:tcPr>
            <w:tcW w:w="960" w:type="dxa"/>
            <w:noWrap w:val="0"/>
            <w:vAlign w:val="center"/>
          </w:tcPr>
          <w:p w14:paraId="7331FFFD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0.36</w:t>
            </w:r>
          </w:p>
        </w:tc>
        <w:tc>
          <w:tcPr>
            <w:tcW w:w="2940" w:type="dxa"/>
            <w:noWrap w:val="0"/>
            <w:vAlign w:val="center"/>
          </w:tcPr>
          <w:p w14:paraId="261AB12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人和街与中昌路交口东北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0E02B95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C9CC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274CDA9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4DB72AA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G14—6</w:t>
            </w:r>
          </w:p>
        </w:tc>
        <w:tc>
          <w:tcPr>
            <w:tcW w:w="2025" w:type="dxa"/>
            <w:noWrap w:val="0"/>
            <w:vAlign w:val="center"/>
          </w:tcPr>
          <w:p w14:paraId="4D125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建设游园</w:t>
            </w:r>
          </w:p>
        </w:tc>
        <w:tc>
          <w:tcPr>
            <w:tcW w:w="960" w:type="dxa"/>
            <w:noWrap w:val="0"/>
            <w:vAlign w:val="center"/>
          </w:tcPr>
          <w:p w14:paraId="0A8AD7FA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0.17</w:t>
            </w:r>
          </w:p>
        </w:tc>
        <w:tc>
          <w:tcPr>
            <w:tcW w:w="2940" w:type="dxa"/>
            <w:noWrap w:val="0"/>
            <w:vAlign w:val="center"/>
          </w:tcPr>
          <w:p w14:paraId="401F661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贸易街与无极路交口东北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14538D3A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1E7E3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7FD8034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6709540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7</w:t>
            </w:r>
          </w:p>
        </w:tc>
        <w:tc>
          <w:tcPr>
            <w:tcW w:w="2025" w:type="dxa"/>
            <w:noWrap w:val="0"/>
            <w:vAlign w:val="center"/>
          </w:tcPr>
          <w:p w14:paraId="12F12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红星游园</w:t>
            </w:r>
          </w:p>
        </w:tc>
        <w:tc>
          <w:tcPr>
            <w:tcW w:w="960" w:type="dxa"/>
            <w:noWrap w:val="0"/>
            <w:vAlign w:val="center"/>
          </w:tcPr>
          <w:p w14:paraId="7C3C87E4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0.23</w:t>
            </w:r>
          </w:p>
        </w:tc>
        <w:tc>
          <w:tcPr>
            <w:tcW w:w="2940" w:type="dxa"/>
            <w:noWrap w:val="0"/>
            <w:vAlign w:val="center"/>
          </w:tcPr>
          <w:p w14:paraId="3E0E7E6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贸易街与花园路交口西北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3FADD66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3A144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235B10A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3063B32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8</w:t>
            </w:r>
          </w:p>
        </w:tc>
        <w:tc>
          <w:tcPr>
            <w:tcW w:w="2025" w:type="dxa"/>
            <w:noWrap w:val="0"/>
            <w:vAlign w:val="center"/>
          </w:tcPr>
          <w:p w14:paraId="6B662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人防游园</w:t>
            </w:r>
          </w:p>
        </w:tc>
        <w:tc>
          <w:tcPr>
            <w:tcW w:w="960" w:type="dxa"/>
            <w:noWrap w:val="0"/>
            <w:vAlign w:val="center"/>
          </w:tcPr>
          <w:p w14:paraId="575381E7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0.26</w:t>
            </w:r>
          </w:p>
        </w:tc>
        <w:tc>
          <w:tcPr>
            <w:tcW w:w="2940" w:type="dxa"/>
            <w:noWrap w:val="0"/>
            <w:vAlign w:val="center"/>
          </w:tcPr>
          <w:p w14:paraId="0D3E4F8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正义街与花园路交口西南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01378B3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15353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52B9838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7C77CA4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9</w:t>
            </w:r>
          </w:p>
        </w:tc>
        <w:tc>
          <w:tcPr>
            <w:tcW w:w="2025" w:type="dxa"/>
            <w:noWrap w:val="0"/>
            <w:vAlign w:val="center"/>
          </w:tcPr>
          <w:p w14:paraId="58324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绿荫广场</w:t>
            </w:r>
          </w:p>
        </w:tc>
        <w:tc>
          <w:tcPr>
            <w:tcW w:w="960" w:type="dxa"/>
            <w:noWrap w:val="0"/>
            <w:vAlign w:val="center"/>
          </w:tcPr>
          <w:p w14:paraId="25FD8673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 xml:space="preserve">0.50 </w:t>
            </w:r>
          </w:p>
        </w:tc>
        <w:tc>
          <w:tcPr>
            <w:tcW w:w="2940" w:type="dxa"/>
            <w:noWrap w:val="0"/>
            <w:vAlign w:val="center"/>
          </w:tcPr>
          <w:p w14:paraId="71015D9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光明街与花园路交口西北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2F8AE4B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6ADD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2CC18BA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7AD1F9F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10</w:t>
            </w:r>
          </w:p>
        </w:tc>
        <w:tc>
          <w:tcPr>
            <w:tcW w:w="2025" w:type="dxa"/>
            <w:noWrap w:val="0"/>
            <w:vAlign w:val="center"/>
          </w:tcPr>
          <w:p w14:paraId="35AF6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东关游园</w:t>
            </w:r>
          </w:p>
        </w:tc>
        <w:tc>
          <w:tcPr>
            <w:tcW w:w="960" w:type="dxa"/>
            <w:noWrap w:val="0"/>
            <w:vAlign w:val="center"/>
          </w:tcPr>
          <w:p w14:paraId="11B9AA1B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0.38</w:t>
            </w:r>
          </w:p>
        </w:tc>
        <w:tc>
          <w:tcPr>
            <w:tcW w:w="2940" w:type="dxa"/>
            <w:noWrap w:val="0"/>
            <w:vAlign w:val="center"/>
          </w:tcPr>
          <w:p w14:paraId="297E7AB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人和街与花园路交口东北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55786FD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52BE5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37FC5BA4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7DB1DF0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11</w:t>
            </w:r>
          </w:p>
        </w:tc>
        <w:tc>
          <w:tcPr>
            <w:tcW w:w="2025" w:type="dxa"/>
            <w:noWrap w:val="0"/>
            <w:vAlign w:val="center"/>
          </w:tcPr>
          <w:p w14:paraId="77A1B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新三游园</w:t>
            </w:r>
          </w:p>
        </w:tc>
        <w:tc>
          <w:tcPr>
            <w:tcW w:w="960" w:type="dxa"/>
            <w:noWrap w:val="0"/>
            <w:vAlign w:val="center"/>
          </w:tcPr>
          <w:p w14:paraId="37EB40D3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 xml:space="preserve">0.80 </w:t>
            </w:r>
          </w:p>
        </w:tc>
        <w:tc>
          <w:tcPr>
            <w:tcW w:w="2940" w:type="dxa"/>
            <w:noWrap w:val="0"/>
            <w:vAlign w:val="center"/>
          </w:tcPr>
          <w:p w14:paraId="35E1A3B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研学路与文化路交口西南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036E37F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341AD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2C066B7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3225378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12</w:t>
            </w:r>
          </w:p>
        </w:tc>
        <w:tc>
          <w:tcPr>
            <w:tcW w:w="2025" w:type="dxa"/>
            <w:noWrap w:val="0"/>
            <w:vAlign w:val="center"/>
          </w:tcPr>
          <w:p w14:paraId="77432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科民游园</w:t>
            </w:r>
          </w:p>
        </w:tc>
        <w:tc>
          <w:tcPr>
            <w:tcW w:w="960" w:type="dxa"/>
            <w:noWrap w:val="0"/>
            <w:vAlign w:val="center"/>
          </w:tcPr>
          <w:p w14:paraId="579BC83A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0.32</w:t>
            </w:r>
          </w:p>
        </w:tc>
        <w:tc>
          <w:tcPr>
            <w:tcW w:w="2940" w:type="dxa"/>
            <w:noWrap w:val="0"/>
            <w:vAlign w:val="center"/>
          </w:tcPr>
          <w:p w14:paraId="5088CA5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科民路与北外环路交口东南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1362A19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37F32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62CE5CD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A9574C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13</w:t>
            </w:r>
          </w:p>
        </w:tc>
        <w:tc>
          <w:tcPr>
            <w:tcW w:w="2025" w:type="dxa"/>
            <w:noWrap w:val="0"/>
            <w:vAlign w:val="center"/>
          </w:tcPr>
          <w:p w14:paraId="7D1FD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新开游园</w:t>
            </w:r>
          </w:p>
        </w:tc>
        <w:tc>
          <w:tcPr>
            <w:tcW w:w="960" w:type="dxa"/>
            <w:noWrap w:val="0"/>
            <w:vAlign w:val="center"/>
          </w:tcPr>
          <w:p w14:paraId="1A85F912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3.35</w:t>
            </w:r>
          </w:p>
        </w:tc>
        <w:tc>
          <w:tcPr>
            <w:tcW w:w="2940" w:type="dxa"/>
            <w:noWrap w:val="0"/>
            <w:vAlign w:val="center"/>
          </w:tcPr>
          <w:p w14:paraId="4C5D3144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795B0C2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06DF4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40D725F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5A2D1E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14</w:t>
            </w:r>
          </w:p>
        </w:tc>
        <w:tc>
          <w:tcPr>
            <w:tcW w:w="2025" w:type="dxa"/>
            <w:noWrap w:val="0"/>
            <w:vAlign w:val="center"/>
          </w:tcPr>
          <w:p w14:paraId="3BFB8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科技街游园</w:t>
            </w:r>
          </w:p>
        </w:tc>
        <w:tc>
          <w:tcPr>
            <w:tcW w:w="960" w:type="dxa"/>
            <w:noWrap w:val="0"/>
            <w:vAlign w:val="center"/>
          </w:tcPr>
          <w:p w14:paraId="5BF1B9F1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7.66</w:t>
            </w:r>
          </w:p>
        </w:tc>
        <w:tc>
          <w:tcPr>
            <w:tcW w:w="2940" w:type="dxa"/>
            <w:noWrap w:val="0"/>
            <w:vAlign w:val="center"/>
          </w:tcPr>
          <w:p w14:paraId="661758E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620200E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0D119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20BF474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0982BD7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15</w:t>
            </w:r>
          </w:p>
        </w:tc>
        <w:tc>
          <w:tcPr>
            <w:tcW w:w="2025" w:type="dxa"/>
            <w:noWrap w:val="0"/>
            <w:vAlign w:val="center"/>
          </w:tcPr>
          <w:p w14:paraId="611C9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贸易街游园</w:t>
            </w:r>
          </w:p>
        </w:tc>
        <w:tc>
          <w:tcPr>
            <w:tcW w:w="960" w:type="dxa"/>
            <w:noWrap w:val="0"/>
            <w:vAlign w:val="center"/>
          </w:tcPr>
          <w:p w14:paraId="78BD575C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2.17</w:t>
            </w:r>
          </w:p>
        </w:tc>
        <w:tc>
          <w:tcPr>
            <w:tcW w:w="2940" w:type="dxa"/>
            <w:noWrap w:val="0"/>
            <w:vAlign w:val="center"/>
          </w:tcPr>
          <w:p w14:paraId="16C6F4E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472E7CB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D219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0CA0A96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2731214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16</w:t>
            </w:r>
          </w:p>
        </w:tc>
        <w:tc>
          <w:tcPr>
            <w:tcW w:w="2025" w:type="dxa"/>
            <w:noWrap w:val="0"/>
            <w:vAlign w:val="center"/>
          </w:tcPr>
          <w:p w14:paraId="43DDA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南环游园</w:t>
            </w:r>
          </w:p>
        </w:tc>
        <w:tc>
          <w:tcPr>
            <w:tcW w:w="960" w:type="dxa"/>
            <w:noWrap w:val="0"/>
            <w:vAlign w:val="center"/>
          </w:tcPr>
          <w:p w14:paraId="108B171B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1.25</w:t>
            </w:r>
          </w:p>
        </w:tc>
        <w:tc>
          <w:tcPr>
            <w:tcW w:w="2940" w:type="dxa"/>
            <w:noWrap w:val="0"/>
            <w:vAlign w:val="center"/>
          </w:tcPr>
          <w:p w14:paraId="0B142B5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7DB339F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04BE9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0C9B1007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0E6045E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17</w:t>
            </w:r>
          </w:p>
        </w:tc>
        <w:tc>
          <w:tcPr>
            <w:tcW w:w="2025" w:type="dxa"/>
            <w:noWrap w:val="0"/>
            <w:vAlign w:val="center"/>
          </w:tcPr>
          <w:p w14:paraId="41850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开放路游园</w:t>
            </w:r>
          </w:p>
        </w:tc>
        <w:tc>
          <w:tcPr>
            <w:tcW w:w="960" w:type="dxa"/>
            <w:noWrap w:val="0"/>
            <w:vAlign w:val="center"/>
          </w:tcPr>
          <w:p w14:paraId="6745BB8F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4.19</w:t>
            </w:r>
          </w:p>
        </w:tc>
        <w:tc>
          <w:tcPr>
            <w:tcW w:w="2940" w:type="dxa"/>
            <w:noWrap w:val="0"/>
            <w:vAlign w:val="center"/>
          </w:tcPr>
          <w:p w14:paraId="4048D94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0A79553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0925B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0DDB9B75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6283A56E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18</w:t>
            </w:r>
          </w:p>
        </w:tc>
        <w:tc>
          <w:tcPr>
            <w:tcW w:w="2025" w:type="dxa"/>
            <w:noWrap w:val="0"/>
            <w:vAlign w:val="center"/>
          </w:tcPr>
          <w:p w14:paraId="577DD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千山路游园</w:t>
            </w:r>
          </w:p>
        </w:tc>
        <w:tc>
          <w:tcPr>
            <w:tcW w:w="960" w:type="dxa"/>
            <w:noWrap w:val="0"/>
            <w:vAlign w:val="center"/>
          </w:tcPr>
          <w:p w14:paraId="1F1A1BE9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9.93</w:t>
            </w:r>
          </w:p>
        </w:tc>
        <w:tc>
          <w:tcPr>
            <w:tcW w:w="2940" w:type="dxa"/>
            <w:noWrap w:val="0"/>
            <w:vAlign w:val="center"/>
          </w:tcPr>
          <w:p w14:paraId="5B25F65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0471B41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0CA0C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6460C54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4358029F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19</w:t>
            </w:r>
          </w:p>
        </w:tc>
        <w:tc>
          <w:tcPr>
            <w:tcW w:w="2025" w:type="dxa"/>
            <w:noWrap w:val="0"/>
            <w:vAlign w:val="center"/>
          </w:tcPr>
          <w:p w14:paraId="6CF61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产业大道游园</w:t>
            </w:r>
          </w:p>
        </w:tc>
        <w:tc>
          <w:tcPr>
            <w:tcW w:w="960" w:type="dxa"/>
            <w:noWrap w:val="0"/>
            <w:vAlign w:val="center"/>
          </w:tcPr>
          <w:p w14:paraId="509CA6D8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8.52</w:t>
            </w:r>
          </w:p>
        </w:tc>
        <w:tc>
          <w:tcPr>
            <w:tcW w:w="2940" w:type="dxa"/>
            <w:noWrap w:val="0"/>
            <w:vAlign w:val="center"/>
          </w:tcPr>
          <w:p w14:paraId="32DD035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592B68E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CFBD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42DD19A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40A566B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20</w:t>
            </w:r>
          </w:p>
        </w:tc>
        <w:tc>
          <w:tcPr>
            <w:tcW w:w="2025" w:type="dxa"/>
            <w:noWrap w:val="0"/>
            <w:vAlign w:val="center"/>
          </w:tcPr>
          <w:p w14:paraId="5E7CE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荣城路游园</w:t>
            </w:r>
          </w:p>
        </w:tc>
        <w:tc>
          <w:tcPr>
            <w:tcW w:w="960" w:type="dxa"/>
            <w:noWrap w:val="0"/>
            <w:vAlign w:val="center"/>
          </w:tcPr>
          <w:p w14:paraId="62D77FFD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13.24</w:t>
            </w:r>
          </w:p>
        </w:tc>
        <w:tc>
          <w:tcPr>
            <w:tcW w:w="2940" w:type="dxa"/>
            <w:noWrap w:val="0"/>
            <w:vAlign w:val="center"/>
          </w:tcPr>
          <w:p w14:paraId="004E02E4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4D6E045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464F7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7492B57C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6CC1559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21</w:t>
            </w:r>
          </w:p>
        </w:tc>
        <w:tc>
          <w:tcPr>
            <w:tcW w:w="2025" w:type="dxa"/>
            <w:noWrap w:val="0"/>
            <w:vAlign w:val="center"/>
          </w:tcPr>
          <w:p w14:paraId="29B94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文化路游园</w:t>
            </w:r>
          </w:p>
        </w:tc>
        <w:tc>
          <w:tcPr>
            <w:tcW w:w="960" w:type="dxa"/>
            <w:noWrap w:val="0"/>
            <w:vAlign w:val="center"/>
          </w:tcPr>
          <w:p w14:paraId="60ECFEBE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3.36</w:t>
            </w:r>
          </w:p>
        </w:tc>
        <w:tc>
          <w:tcPr>
            <w:tcW w:w="2940" w:type="dxa"/>
            <w:noWrap w:val="0"/>
            <w:vAlign w:val="center"/>
          </w:tcPr>
          <w:p w14:paraId="113E43A2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2E9BF59D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AC14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6149B898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34076443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22</w:t>
            </w:r>
          </w:p>
        </w:tc>
        <w:tc>
          <w:tcPr>
            <w:tcW w:w="2025" w:type="dxa"/>
            <w:noWrap w:val="0"/>
            <w:vAlign w:val="center"/>
          </w:tcPr>
          <w:p w14:paraId="2514F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新民路游园</w:t>
            </w:r>
          </w:p>
        </w:tc>
        <w:tc>
          <w:tcPr>
            <w:tcW w:w="960" w:type="dxa"/>
            <w:noWrap w:val="0"/>
            <w:vAlign w:val="center"/>
          </w:tcPr>
          <w:p w14:paraId="195877F3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6.17</w:t>
            </w:r>
          </w:p>
        </w:tc>
        <w:tc>
          <w:tcPr>
            <w:tcW w:w="2940" w:type="dxa"/>
            <w:noWrap w:val="0"/>
            <w:vAlign w:val="center"/>
          </w:tcPr>
          <w:p w14:paraId="7A7DE7A6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19EBF2B1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 w14:paraId="793F7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1" w:type="dxa"/>
            <w:vMerge w:val="continue"/>
            <w:noWrap w:val="0"/>
            <w:vAlign w:val="center"/>
          </w:tcPr>
          <w:p w14:paraId="35602E44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7CF2E4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G14—</w:t>
            </w:r>
            <w:r>
              <w:rPr>
                <w:rFonts w:hint="eastAsia" w:ascii="仿宋" w:hAnsi="仿宋" w:eastAsia="仿宋" w:cs="仿宋"/>
                <w:color w:val="000000"/>
                <w:lang w:val="en-US" w:eastAsia="zh-CN"/>
              </w:rPr>
              <w:t>23</w:t>
            </w:r>
          </w:p>
        </w:tc>
        <w:tc>
          <w:tcPr>
            <w:tcW w:w="2025" w:type="dxa"/>
            <w:noWrap w:val="0"/>
            <w:vAlign w:val="center"/>
          </w:tcPr>
          <w:p w14:paraId="63F3B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研学路游园</w:t>
            </w:r>
          </w:p>
        </w:tc>
        <w:tc>
          <w:tcPr>
            <w:tcW w:w="960" w:type="dxa"/>
            <w:noWrap w:val="0"/>
            <w:vAlign w:val="center"/>
          </w:tcPr>
          <w:p w14:paraId="043BF36F">
            <w:pPr>
              <w:keepNext w:val="0"/>
              <w:keepLines w:val="0"/>
              <w:widowControl/>
              <w:suppressLineNumbers w:val="0"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  <w:t>3.28</w:t>
            </w:r>
          </w:p>
        </w:tc>
        <w:tc>
          <w:tcPr>
            <w:tcW w:w="2940" w:type="dxa"/>
            <w:noWrap w:val="0"/>
            <w:vAlign w:val="center"/>
          </w:tcPr>
          <w:p w14:paraId="5A7AE180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lang w:eastAsia="zh-CN"/>
              </w:rPr>
              <w:t>——</w:t>
            </w:r>
          </w:p>
        </w:tc>
        <w:tc>
          <w:tcPr>
            <w:tcW w:w="930" w:type="dxa"/>
            <w:vMerge w:val="continue"/>
            <w:noWrap w:val="0"/>
            <w:vAlign w:val="center"/>
          </w:tcPr>
          <w:p w14:paraId="16F5BBEB"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</w:tbl>
    <w:p w14:paraId="34F25E33">
      <w:pPr>
        <w:pStyle w:val="8"/>
        <w:spacing w:line="560" w:lineRule="exact"/>
        <w:ind w:firstLine="560" w:firstLineChars="200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</w:p>
    <w:p w14:paraId="6399240A">
      <w:pPr>
        <w:spacing w:after="0" w:line="560" w:lineRule="exact"/>
        <w:ind w:firstLine="560" w:firstLineChars="200"/>
        <w:rPr>
          <w:rFonts w:hint="eastAsia" w:ascii="仿宋" w:hAnsi="仿宋" w:eastAsia="仿宋" w:cstheme="minorEastAsia"/>
          <w:sz w:val="28"/>
          <w:szCs w:val="28"/>
        </w:rPr>
      </w:pPr>
    </w:p>
    <w:p w14:paraId="046B5608">
      <w:pPr>
        <w:pStyle w:val="24"/>
        <w:rPr>
          <w:rFonts w:hint="eastAsia" w:ascii="仿宋" w:hAnsi="仿宋" w:eastAsia="仿宋" w:cstheme="minorEastAsia"/>
          <w:sz w:val="28"/>
          <w:szCs w:val="28"/>
        </w:rPr>
      </w:pPr>
    </w:p>
    <w:p w14:paraId="2397656E">
      <w:pPr>
        <w:pStyle w:val="24"/>
        <w:rPr>
          <w:rFonts w:hint="eastAsia" w:ascii="仿宋" w:hAnsi="仿宋" w:eastAsia="仿宋" w:cstheme="minorEastAsia"/>
          <w:sz w:val="28"/>
          <w:szCs w:val="28"/>
        </w:rPr>
      </w:pPr>
    </w:p>
    <w:p w14:paraId="7942B0C8">
      <w:pPr>
        <w:pStyle w:val="24"/>
        <w:rPr>
          <w:rFonts w:hint="eastAsia" w:ascii="仿宋" w:hAnsi="仿宋" w:eastAsia="仿宋" w:cstheme="minorEastAsia"/>
          <w:sz w:val="28"/>
          <w:szCs w:val="28"/>
        </w:rPr>
      </w:pPr>
    </w:p>
    <w:p w14:paraId="7A4803F8">
      <w:pPr>
        <w:pStyle w:val="24"/>
        <w:rPr>
          <w:rFonts w:hint="eastAsia" w:ascii="仿宋" w:hAnsi="仿宋" w:eastAsia="仿宋" w:cstheme="minorEastAsia"/>
          <w:sz w:val="28"/>
          <w:szCs w:val="28"/>
        </w:rPr>
      </w:pPr>
    </w:p>
    <w:p w14:paraId="4EE5E679">
      <w:pPr>
        <w:pStyle w:val="24"/>
        <w:rPr>
          <w:rFonts w:hint="eastAsia" w:ascii="仿宋" w:hAnsi="仿宋" w:eastAsia="仿宋" w:cstheme="minorEastAsia"/>
          <w:sz w:val="28"/>
          <w:szCs w:val="28"/>
        </w:rPr>
      </w:pPr>
    </w:p>
    <w:p w14:paraId="53DE880B">
      <w:pPr>
        <w:pStyle w:val="24"/>
        <w:ind w:firstLine="480"/>
        <w:rPr>
          <w:rFonts w:ascii="仿宋" w:hAnsi="仿宋" w:eastAsia="仿宋"/>
        </w:rPr>
      </w:pPr>
    </w:p>
    <w:p w14:paraId="55CB1DD2">
      <w:pPr>
        <w:pStyle w:val="24"/>
        <w:ind w:firstLine="480"/>
        <w:rPr>
          <w:rFonts w:ascii="仿宋" w:hAnsi="仿宋" w:eastAsia="仿宋"/>
        </w:rPr>
      </w:pPr>
    </w:p>
    <w:p w14:paraId="03F9CCDC">
      <w:pPr>
        <w:pStyle w:val="24"/>
        <w:ind w:firstLine="480"/>
        <w:rPr>
          <w:rFonts w:ascii="仿宋" w:hAnsi="仿宋" w:eastAsia="仿宋"/>
        </w:rPr>
      </w:pPr>
    </w:p>
    <w:p w14:paraId="395E31A9">
      <w:pPr>
        <w:pStyle w:val="24"/>
        <w:ind w:firstLine="480"/>
        <w:rPr>
          <w:rFonts w:ascii="仿宋" w:hAnsi="仿宋" w:eastAsia="仿宋"/>
        </w:rPr>
      </w:pPr>
      <w:r>
        <w:rPr>
          <w:rFonts w:hint="eastAsia" w:ascii="仿宋" w:hAnsi="仿宋" w:eastAsia="仿宋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-142875</wp:posOffset>
            </wp:positionH>
            <wp:positionV relativeFrom="paragraph">
              <wp:posOffset>319405</wp:posOffset>
            </wp:positionV>
            <wp:extent cx="5655945" cy="7999095"/>
            <wp:effectExtent l="0" t="0" r="1905" b="1905"/>
            <wp:wrapNone/>
            <wp:docPr id="2" name="图片 2" descr="05-县域绿地系统规划图_看图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5-县域绿地系统规划图_看图王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55945" cy="7999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7D0DEA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1B6C1303">
      <w:pPr>
        <w:pStyle w:val="24"/>
        <w:ind w:firstLine="480"/>
        <w:rPr>
          <w:rFonts w:ascii="仿宋" w:hAnsi="仿宋" w:eastAsia="仿宋"/>
        </w:rPr>
      </w:pPr>
    </w:p>
    <w:p w14:paraId="12B4D237">
      <w:pPr>
        <w:pStyle w:val="24"/>
        <w:ind w:firstLine="480"/>
        <w:rPr>
          <w:rFonts w:ascii="仿宋" w:hAnsi="仿宋" w:eastAsia="仿宋"/>
        </w:rPr>
      </w:pPr>
    </w:p>
    <w:p w14:paraId="3C3B7EB4">
      <w:pPr>
        <w:pStyle w:val="24"/>
        <w:ind w:firstLine="480"/>
        <w:rPr>
          <w:rFonts w:ascii="仿宋" w:hAnsi="仿宋" w:eastAsia="仿宋"/>
        </w:rPr>
      </w:pPr>
    </w:p>
    <w:p w14:paraId="4BF2F2D7">
      <w:pPr>
        <w:pStyle w:val="24"/>
        <w:ind w:firstLine="480"/>
        <w:rPr>
          <w:rFonts w:ascii="仿宋" w:hAnsi="仿宋" w:eastAsia="仿宋"/>
        </w:rPr>
      </w:pPr>
    </w:p>
    <w:p w14:paraId="0A487978">
      <w:pPr>
        <w:pStyle w:val="24"/>
        <w:ind w:firstLine="480"/>
        <w:rPr>
          <w:rFonts w:ascii="仿宋" w:hAnsi="仿宋" w:eastAsia="仿宋"/>
        </w:rPr>
      </w:pPr>
    </w:p>
    <w:p w14:paraId="530D3996">
      <w:pPr>
        <w:pStyle w:val="24"/>
        <w:ind w:firstLine="480"/>
        <w:rPr>
          <w:rFonts w:ascii="仿宋" w:hAnsi="仿宋" w:eastAsia="仿宋"/>
        </w:rPr>
      </w:pPr>
    </w:p>
    <w:p w14:paraId="0F60D252">
      <w:pPr>
        <w:pStyle w:val="24"/>
        <w:ind w:firstLine="480"/>
        <w:rPr>
          <w:rFonts w:ascii="仿宋" w:hAnsi="仿宋" w:eastAsia="仿宋"/>
        </w:rPr>
      </w:pPr>
    </w:p>
    <w:p w14:paraId="482D986C">
      <w:pPr>
        <w:pStyle w:val="24"/>
        <w:ind w:firstLine="480"/>
        <w:rPr>
          <w:rFonts w:ascii="仿宋" w:hAnsi="仿宋" w:eastAsia="仿宋"/>
        </w:rPr>
      </w:pPr>
    </w:p>
    <w:p w14:paraId="782F1E84">
      <w:pPr>
        <w:pStyle w:val="24"/>
        <w:ind w:firstLine="480"/>
        <w:rPr>
          <w:rFonts w:ascii="仿宋" w:hAnsi="仿宋" w:eastAsia="仿宋"/>
        </w:rPr>
      </w:pPr>
    </w:p>
    <w:p w14:paraId="3A425EED">
      <w:pPr>
        <w:pStyle w:val="24"/>
        <w:ind w:firstLine="480"/>
        <w:rPr>
          <w:rFonts w:ascii="仿宋" w:hAnsi="仿宋" w:eastAsia="仿宋"/>
        </w:rPr>
      </w:pPr>
    </w:p>
    <w:p w14:paraId="176BC1EC">
      <w:pPr>
        <w:pStyle w:val="24"/>
        <w:ind w:firstLine="480"/>
        <w:rPr>
          <w:rFonts w:ascii="仿宋" w:hAnsi="仿宋" w:eastAsia="仿宋"/>
        </w:rPr>
      </w:pPr>
    </w:p>
    <w:p w14:paraId="7002E91A">
      <w:pPr>
        <w:pStyle w:val="24"/>
        <w:ind w:firstLine="480"/>
        <w:rPr>
          <w:rFonts w:ascii="仿宋" w:hAnsi="仿宋" w:eastAsia="仿宋"/>
        </w:rPr>
      </w:pPr>
    </w:p>
    <w:p w14:paraId="614B9139">
      <w:pPr>
        <w:pStyle w:val="24"/>
        <w:ind w:firstLine="480"/>
        <w:rPr>
          <w:rFonts w:ascii="仿宋" w:hAnsi="仿宋" w:eastAsia="仿宋"/>
        </w:rPr>
      </w:pPr>
    </w:p>
    <w:p w14:paraId="5E626FFE">
      <w:pPr>
        <w:pStyle w:val="24"/>
        <w:ind w:firstLine="480"/>
        <w:rPr>
          <w:rFonts w:ascii="仿宋" w:hAnsi="仿宋" w:eastAsia="仿宋"/>
        </w:rPr>
      </w:pPr>
    </w:p>
    <w:p w14:paraId="4E55B06D">
      <w:pPr>
        <w:pStyle w:val="24"/>
        <w:ind w:firstLine="480"/>
        <w:rPr>
          <w:rFonts w:ascii="仿宋" w:hAnsi="仿宋" w:eastAsia="仿宋"/>
        </w:rPr>
      </w:pPr>
    </w:p>
    <w:p w14:paraId="049026B8">
      <w:pPr>
        <w:pStyle w:val="24"/>
        <w:ind w:firstLine="480"/>
        <w:rPr>
          <w:rFonts w:ascii="仿宋" w:hAnsi="仿宋" w:eastAsia="仿宋"/>
        </w:rPr>
      </w:pPr>
    </w:p>
    <w:p w14:paraId="7283D820">
      <w:pPr>
        <w:pStyle w:val="24"/>
        <w:ind w:firstLine="480"/>
        <w:rPr>
          <w:rFonts w:hint="eastAsia" w:ascii="仿宋" w:hAnsi="仿宋" w:eastAsia="仿宋"/>
          <w:lang w:eastAsia="zh-CN"/>
        </w:rPr>
      </w:pPr>
      <w:r>
        <w:rPr>
          <w:rFonts w:hint="eastAsia" w:ascii="仿宋" w:hAnsi="仿宋" w:eastAsia="仿宋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-1266825</wp:posOffset>
            </wp:positionH>
            <wp:positionV relativeFrom="paragraph">
              <wp:posOffset>1437640</wp:posOffset>
            </wp:positionV>
            <wp:extent cx="7980680" cy="5642610"/>
            <wp:effectExtent l="0" t="0" r="15240" b="1270"/>
            <wp:wrapNone/>
            <wp:docPr id="3" name="图片 3" descr="12-中心城区绿地系统规划图_看图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2-中心城区绿地系统规划图_看图王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980680" cy="5642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014630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37AB58E3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305C41EF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26AB942D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643B475E">
      <w:pPr>
        <w:pStyle w:val="24"/>
        <w:ind w:firstLine="480"/>
        <w:rPr>
          <w:rFonts w:hint="eastAsia" w:ascii="仿宋" w:hAnsi="仿宋" w:eastAsia="仿宋"/>
          <w:lang w:eastAsia="zh-CN"/>
        </w:rPr>
      </w:pPr>
    </w:p>
    <w:p w14:paraId="127BA2DA">
      <w:pPr>
        <w:pStyle w:val="24"/>
        <w:ind w:firstLine="480"/>
        <w:rPr>
          <w:rFonts w:ascii="仿宋" w:hAnsi="仿宋" w:eastAsia="仿宋"/>
        </w:rPr>
      </w:pPr>
    </w:p>
    <w:p w14:paraId="64A0462A">
      <w:pPr>
        <w:pStyle w:val="24"/>
        <w:ind w:firstLine="480"/>
        <w:rPr>
          <w:rFonts w:ascii="仿宋" w:hAnsi="仿宋" w:eastAsia="仿宋"/>
        </w:rPr>
      </w:pPr>
    </w:p>
    <w:p w14:paraId="5AABAA33">
      <w:pPr>
        <w:pStyle w:val="24"/>
        <w:ind w:firstLine="480"/>
        <w:rPr>
          <w:rFonts w:ascii="仿宋" w:hAnsi="仿宋" w:eastAsia="仿宋"/>
        </w:rPr>
      </w:pPr>
    </w:p>
    <w:p w14:paraId="49FD74FC">
      <w:pPr>
        <w:widowControl/>
        <w:spacing w:after="0" w:line="240" w:lineRule="auto"/>
        <w:jc w:val="left"/>
        <w:rPr>
          <w:rFonts w:ascii="仿宋" w:hAnsi="仿宋" w:eastAsia="仿宋"/>
          <w:sz w:val="24"/>
        </w:rPr>
      </w:pPr>
      <w:r>
        <w:rPr>
          <w:rFonts w:ascii="仿宋" w:hAnsi="仿宋" w:eastAsia="仿宋"/>
        </w:rPr>
        <w:br w:type="page"/>
      </w:r>
    </w:p>
    <w:p w14:paraId="18EEE14D">
      <w:pPr>
        <w:widowControl/>
        <w:spacing w:after="0" w:line="240" w:lineRule="auto"/>
        <w:jc w:val="left"/>
        <w:rPr>
          <w:rFonts w:hint="eastAsia" w:ascii="仿宋" w:hAnsi="仿宋" w:eastAsia="仿宋"/>
          <w:lang w:eastAsia="zh-CN"/>
        </w:rPr>
      </w:pPr>
      <w:bookmarkStart w:id="5" w:name="_GoBack"/>
      <w:bookmarkEnd w:id="5"/>
      <w:r>
        <w:rPr>
          <w:rFonts w:hint="eastAsia" w:ascii="仿宋" w:hAnsi="仿宋" w:eastAsia="仿宋"/>
          <w:lang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-1522730</wp:posOffset>
            </wp:positionH>
            <wp:positionV relativeFrom="paragraph">
              <wp:posOffset>1367155</wp:posOffset>
            </wp:positionV>
            <wp:extent cx="8425815" cy="5956935"/>
            <wp:effectExtent l="0" t="0" r="5715" b="13335"/>
            <wp:wrapNone/>
            <wp:docPr id="4" name="图片 4" descr="14-公园绿地规划图_看图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4-公园绿地规划图_看图王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425815" cy="5956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r:id="rId5" w:type="default"/>
      <w:pgSz w:w="11906" w:h="16838"/>
      <w:pgMar w:top="1440" w:right="1803" w:bottom="1440" w:left="1797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0EDC7">
    <w:pPr>
      <w:pStyle w:val="11"/>
    </w:pPr>
    <w:r>
      <w:pict>
        <v:shape id="_x0000_s1027" o:spid="_x0000_s1027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151DDC3">
                <w:pPr>
                  <w:pStyle w:val="11"/>
                  <w:rPr>
                    <w:sz w:val="21"/>
                    <w:szCs w:val="21"/>
                  </w:rPr>
                </w:pPr>
                <w:r>
                  <w:rPr>
                    <w:sz w:val="21"/>
                    <w:szCs w:val="21"/>
                  </w:rPr>
                  <w:fldChar w:fldCharType="begin"/>
                </w:r>
                <w:r>
                  <w:rPr>
                    <w:sz w:val="21"/>
                    <w:szCs w:val="21"/>
                  </w:rPr>
                  <w:instrText xml:space="preserve"> PAGE  \* MERGEFORMAT </w:instrText>
                </w:r>
                <w:r>
                  <w:rPr>
                    <w:sz w:val="21"/>
                    <w:szCs w:val="21"/>
                  </w:rPr>
                  <w:fldChar w:fldCharType="separate"/>
                </w:r>
                <w:r>
                  <w:rPr>
                    <w:sz w:val="21"/>
                    <w:szCs w:val="21"/>
                  </w:rPr>
                  <w:t>9</w:t>
                </w:r>
                <w:r>
                  <w:rPr>
                    <w:sz w:val="21"/>
                    <w:szCs w:val="21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57A305"/>
    <w:multiLevelType w:val="singleLevel"/>
    <w:tmpl w:val="C757A305"/>
    <w:lvl w:ilvl="0" w:tentative="0">
      <w:start w:val="1"/>
      <w:numFmt w:val="chineseCounting"/>
      <w:pStyle w:val="2"/>
      <w:suff w:val="nothing"/>
      <w:lvlText w:val="第%1章 "/>
      <w:lvlJc w:val="left"/>
      <w:pPr>
        <w:tabs>
          <w:tab w:val="left" w:pos="998"/>
        </w:tabs>
        <w:ind w:left="998" w:firstLine="420"/>
      </w:pPr>
      <w:rPr>
        <w:rFonts w:hint="eastAsia" w:ascii="宋体" w:hAnsi="宋体" w:eastAsia="宋体" w:cs="宋体"/>
      </w:rPr>
    </w:lvl>
  </w:abstractNum>
  <w:abstractNum w:abstractNumId="1">
    <w:nsid w:val="00000010"/>
    <w:multiLevelType w:val="multilevel"/>
    <w:tmpl w:val="00000010"/>
    <w:lvl w:ilvl="0" w:tentative="0">
      <w:start w:val="1"/>
      <w:numFmt w:val="decimal"/>
      <w:pStyle w:val="4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682" w:hanging="420"/>
      </w:pPr>
    </w:lvl>
    <w:lvl w:ilvl="2" w:tentative="0">
      <w:start w:val="1"/>
      <w:numFmt w:val="lowerRoman"/>
      <w:lvlText w:val="%3."/>
      <w:lvlJc w:val="right"/>
      <w:pPr>
        <w:ind w:left="1102" w:hanging="420"/>
      </w:pPr>
    </w:lvl>
    <w:lvl w:ilvl="3" w:tentative="0">
      <w:start w:val="1"/>
      <w:numFmt w:val="decimal"/>
      <w:lvlText w:val="%4."/>
      <w:lvlJc w:val="left"/>
      <w:pPr>
        <w:ind w:left="1522" w:hanging="420"/>
      </w:pPr>
    </w:lvl>
    <w:lvl w:ilvl="4" w:tentative="0">
      <w:start w:val="1"/>
      <w:numFmt w:val="lowerLetter"/>
      <w:lvlText w:val="%5)"/>
      <w:lvlJc w:val="left"/>
      <w:pPr>
        <w:ind w:left="1942" w:hanging="420"/>
      </w:pPr>
    </w:lvl>
    <w:lvl w:ilvl="5" w:tentative="0">
      <w:start w:val="1"/>
      <w:numFmt w:val="lowerRoman"/>
      <w:lvlText w:val="%6."/>
      <w:lvlJc w:val="right"/>
      <w:pPr>
        <w:ind w:left="2362" w:hanging="420"/>
      </w:pPr>
    </w:lvl>
    <w:lvl w:ilvl="6" w:tentative="0">
      <w:start w:val="1"/>
      <w:numFmt w:val="decimal"/>
      <w:lvlText w:val="%7."/>
      <w:lvlJc w:val="left"/>
      <w:pPr>
        <w:ind w:left="2782" w:hanging="420"/>
      </w:pPr>
    </w:lvl>
    <w:lvl w:ilvl="7" w:tentative="0">
      <w:start w:val="1"/>
      <w:numFmt w:val="lowerLetter"/>
      <w:lvlText w:val="%8)"/>
      <w:lvlJc w:val="left"/>
      <w:pPr>
        <w:ind w:left="3202" w:hanging="420"/>
      </w:pPr>
    </w:lvl>
    <w:lvl w:ilvl="8" w:tentative="0">
      <w:start w:val="1"/>
      <w:numFmt w:val="lowerRoman"/>
      <w:lvlText w:val="%9."/>
      <w:lvlJc w:val="right"/>
      <w:pPr>
        <w:ind w:left="3622" w:hanging="420"/>
      </w:pPr>
    </w:lvl>
  </w:abstractNum>
  <w:abstractNum w:abstractNumId="2">
    <w:nsid w:val="1E2F1ED9"/>
    <w:multiLevelType w:val="multilevel"/>
    <w:tmpl w:val="1E2F1ED9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zNmMDAxZTBjODgyYmM3MDEwYzljZDVlOTJjMjYwZTUifQ=="/>
  </w:docVars>
  <w:rsids>
    <w:rsidRoot w:val="001569B0"/>
    <w:rsid w:val="00001003"/>
    <w:rsid w:val="000013EE"/>
    <w:rsid w:val="0001700B"/>
    <w:rsid w:val="00025237"/>
    <w:rsid w:val="000471F2"/>
    <w:rsid w:val="00047CBE"/>
    <w:rsid w:val="0006268E"/>
    <w:rsid w:val="000758A0"/>
    <w:rsid w:val="0008171F"/>
    <w:rsid w:val="00084780"/>
    <w:rsid w:val="00090611"/>
    <w:rsid w:val="000A5C75"/>
    <w:rsid w:val="000B5780"/>
    <w:rsid w:val="000D3AAE"/>
    <w:rsid w:val="000D60C4"/>
    <w:rsid w:val="000F589D"/>
    <w:rsid w:val="000F774E"/>
    <w:rsid w:val="0010778B"/>
    <w:rsid w:val="00123ED3"/>
    <w:rsid w:val="00140D98"/>
    <w:rsid w:val="001553B5"/>
    <w:rsid w:val="001569B0"/>
    <w:rsid w:val="0017007D"/>
    <w:rsid w:val="001954FF"/>
    <w:rsid w:val="00195EAA"/>
    <w:rsid w:val="001A0225"/>
    <w:rsid w:val="001A288B"/>
    <w:rsid w:val="001A6F73"/>
    <w:rsid w:val="001C65D9"/>
    <w:rsid w:val="001D63DA"/>
    <w:rsid w:val="001E4825"/>
    <w:rsid w:val="001E6CBD"/>
    <w:rsid w:val="001E6E82"/>
    <w:rsid w:val="00203447"/>
    <w:rsid w:val="00236DE1"/>
    <w:rsid w:val="002420B9"/>
    <w:rsid w:val="00242F14"/>
    <w:rsid w:val="002509C5"/>
    <w:rsid w:val="00253BC8"/>
    <w:rsid w:val="00255A27"/>
    <w:rsid w:val="00263963"/>
    <w:rsid w:val="00273923"/>
    <w:rsid w:val="0027626B"/>
    <w:rsid w:val="002816A4"/>
    <w:rsid w:val="002867C4"/>
    <w:rsid w:val="002B1F35"/>
    <w:rsid w:val="002D05C5"/>
    <w:rsid w:val="002D246B"/>
    <w:rsid w:val="002D328D"/>
    <w:rsid w:val="002D6249"/>
    <w:rsid w:val="002E6115"/>
    <w:rsid w:val="002F14AF"/>
    <w:rsid w:val="003245A8"/>
    <w:rsid w:val="00332B0A"/>
    <w:rsid w:val="00332C2A"/>
    <w:rsid w:val="003360DD"/>
    <w:rsid w:val="0035520F"/>
    <w:rsid w:val="003560FC"/>
    <w:rsid w:val="00363308"/>
    <w:rsid w:val="0038348F"/>
    <w:rsid w:val="003B276D"/>
    <w:rsid w:val="003B437F"/>
    <w:rsid w:val="003C5723"/>
    <w:rsid w:val="003E1A5D"/>
    <w:rsid w:val="003E5BB0"/>
    <w:rsid w:val="003E778A"/>
    <w:rsid w:val="003F3A5E"/>
    <w:rsid w:val="003F6C9A"/>
    <w:rsid w:val="004105C6"/>
    <w:rsid w:val="00413A3A"/>
    <w:rsid w:val="00423547"/>
    <w:rsid w:val="00430884"/>
    <w:rsid w:val="00473C95"/>
    <w:rsid w:val="0047788D"/>
    <w:rsid w:val="004861A2"/>
    <w:rsid w:val="004867B2"/>
    <w:rsid w:val="004903FE"/>
    <w:rsid w:val="004968F6"/>
    <w:rsid w:val="004B03A0"/>
    <w:rsid w:val="004B04F2"/>
    <w:rsid w:val="004C0297"/>
    <w:rsid w:val="004E413B"/>
    <w:rsid w:val="004E739E"/>
    <w:rsid w:val="004E7792"/>
    <w:rsid w:val="004F38F2"/>
    <w:rsid w:val="004F4653"/>
    <w:rsid w:val="00500BFB"/>
    <w:rsid w:val="00503B0A"/>
    <w:rsid w:val="00525893"/>
    <w:rsid w:val="005328CA"/>
    <w:rsid w:val="00545508"/>
    <w:rsid w:val="00554110"/>
    <w:rsid w:val="00555B8E"/>
    <w:rsid w:val="00557A12"/>
    <w:rsid w:val="00561A81"/>
    <w:rsid w:val="00592431"/>
    <w:rsid w:val="00593B15"/>
    <w:rsid w:val="005B7F66"/>
    <w:rsid w:val="005C43C7"/>
    <w:rsid w:val="005E0F6A"/>
    <w:rsid w:val="005E1600"/>
    <w:rsid w:val="005E4E63"/>
    <w:rsid w:val="005E5FDB"/>
    <w:rsid w:val="005F0B4B"/>
    <w:rsid w:val="00600452"/>
    <w:rsid w:val="006031AF"/>
    <w:rsid w:val="006102B0"/>
    <w:rsid w:val="006119D3"/>
    <w:rsid w:val="0061703A"/>
    <w:rsid w:val="00622BB7"/>
    <w:rsid w:val="0062408B"/>
    <w:rsid w:val="0063506D"/>
    <w:rsid w:val="0063682C"/>
    <w:rsid w:val="00653E00"/>
    <w:rsid w:val="00656E87"/>
    <w:rsid w:val="00696DCD"/>
    <w:rsid w:val="006B184F"/>
    <w:rsid w:val="006B71D9"/>
    <w:rsid w:val="006D2072"/>
    <w:rsid w:val="00721DEE"/>
    <w:rsid w:val="00731BE1"/>
    <w:rsid w:val="00750DEF"/>
    <w:rsid w:val="00774FDD"/>
    <w:rsid w:val="00776089"/>
    <w:rsid w:val="00786093"/>
    <w:rsid w:val="007A1344"/>
    <w:rsid w:val="007A7CB2"/>
    <w:rsid w:val="007C2D8E"/>
    <w:rsid w:val="007C3692"/>
    <w:rsid w:val="007C4827"/>
    <w:rsid w:val="007F762F"/>
    <w:rsid w:val="00805018"/>
    <w:rsid w:val="008058B0"/>
    <w:rsid w:val="008134D6"/>
    <w:rsid w:val="00821316"/>
    <w:rsid w:val="008238D5"/>
    <w:rsid w:val="00864CAF"/>
    <w:rsid w:val="00894ECD"/>
    <w:rsid w:val="008A0EE2"/>
    <w:rsid w:val="008A192A"/>
    <w:rsid w:val="008A54AC"/>
    <w:rsid w:val="008C0793"/>
    <w:rsid w:val="008E2290"/>
    <w:rsid w:val="008E7157"/>
    <w:rsid w:val="008F5C65"/>
    <w:rsid w:val="00906B0E"/>
    <w:rsid w:val="009105DE"/>
    <w:rsid w:val="0091406F"/>
    <w:rsid w:val="00921E35"/>
    <w:rsid w:val="00922C5D"/>
    <w:rsid w:val="0093271F"/>
    <w:rsid w:val="00945767"/>
    <w:rsid w:val="0095160F"/>
    <w:rsid w:val="00954D9B"/>
    <w:rsid w:val="00970BC6"/>
    <w:rsid w:val="00973988"/>
    <w:rsid w:val="00992BAC"/>
    <w:rsid w:val="009B262F"/>
    <w:rsid w:val="009D191E"/>
    <w:rsid w:val="009D7F13"/>
    <w:rsid w:val="009F4039"/>
    <w:rsid w:val="00A01612"/>
    <w:rsid w:val="00A07AE3"/>
    <w:rsid w:val="00A26BF0"/>
    <w:rsid w:val="00A32F2D"/>
    <w:rsid w:val="00A341FE"/>
    <w:rsid w:val="00A421DF"/>
    <w:rsid w:val="00A53D83"/>
    <w:rsid w:val="00A57629"/>
    <w:rsid w:val="00A8516B"/>
    <w:rsid w:val="00AA428A"/>
    <w:rsid w:val="00AB31E6"/>
    <w:rsid w:val="00AD5DD9"/>
    <w:rsid w:val="00AE078B"/>
    <w:rsid w:val="00B021AC"/>
    <w:rsid w:val="00B02EDB"/>
    <w:rsid w:val="00B040CA"/>
    <w:rsid w:val="00B245EA"/>
    <w:rsid w:val="00B251C5"/>
    <w:rsid w:val="00B36E2D"/>
    <w:rsid w:val="00B53866"/>
    <w:rsid w:val="00B66321"/>
    <w:rsid w:val="00B66464"/>
    <w:rsid w:val="00B84C78"/>
    <w:rsid w:val="00B86577"/>
    <w:rsid w:val="00BC0A4E"/>
    <w:rsid w:val="00BC3D72"/>
    <w:rsid w:val="00BD0DCA"/>
    <w:rsid w:val="00BD6C75"/>
    <w:rsid w:val="00BE2887"/>
    <w:rsid w:val="00BE7D96"/>
    <w:rsid w:val="00BF12B6"/>
    <w:rsid w:val="00C0163C"/>
    <w:rsid w:val="00C35CBD"/>
    <w:rsid w:val="00C40E1E"/>
    <w:rsid w:val="00C41D7A"/>
    <w:rsid w:val="00C455CB"/>
    <w:rsid w:val="00C504BE"/>
    <w:rsid w:val="00C51973"/>
    <w:rsid w:val="00C70381"/>
    <w:rsid w:val="00CA1E06"/>
    <w:rsid w:val="00CA3087"/>
    <w:rsid w:val="00CB056F"/>
    <w:rsid w:val="00CB1A8F"/>
    <w:rsid w:val="00D133B9"/>
    <w:rsid w:val="00D25122"/>
    <w:rsid w:val="00D41235"/>
    <w:rsid w:val="00D51330"/>
    <w:rsid w:val="00D5331D"/>
    <w:rsid w:val="00D53808"/>
    <w:rsid w:val="00D54FAF"/>
    <w:rsid w:val="00D608E5"/>
    <w:rsid w:val="00D63F0C"/>
    <w:rsid w:val="00D75CEF"/>
    <w:rsid w:val="00D76D86"/>
    <w:rsid w:val="00D91F5A"/>
    <w:rsid w:val="00DA3CAB"/>
    <w:rsid w:val="00DA6576"/>
    <w:rsid w:val="00DC100D"/>
    <w:rsid w:val="00DC5622"/>
    <w:rsid w:val="00DC61B5"/>
    <w:rsid w:val="00DC64BE"/>
    <w:rsid w:val="00DE2691"/>
    <w:rsid w:val="00E06D25"/>
    <w:rsid w:val="00E11A3F"/>
    <w:rsid w:val="00E236CC"/>
    <w:rsid w:val="00E34BF2"/>
    <w:rsid w:val="00E475F7"/>
    <w:rsid w:val="00E52A8B"/>
    <w:rsid w:val="00E57E7E"/>
    <w:rsid w:val="00E735FA"/>
    <w:rsid w:val="00E77A23"/>
    <w:rsid w:val="00E96A47"/>
    <w:rsid w:val="00E96E4B"/>
    <w:rsid w:val="00EA54FA"/>
    <w:rsid w:val="00EC4C22"/>
    <w:rsid w:val="00ED3333"/>
    <w:rsid w:val="00EE2741"/>
    <w:rsid w:val="00EE5B69"/>
    <w:rsid w:val="00EF1A3E"/>
    <w:rsid w:val="00F11BA5"/>
    <w:rsid w:val="00F121D1"/>
    <w:rsid w:val="00F2051F"/>
    <w:rsid w:val="00F35BD8"/>
    <w:rsid w:val="00F36436"/>
    <w:rsid w:val="00F66035"/>
    <w:rsid w:val="00F70BAD"/>
    <w:rsid w:val="00F77EFA"/>
    <w:rsid w:val="00F82357"/>
    <w:rsid w:val="00F82D23"/>
    <w:rsid w:val="00F91581"/>
    <w:rsid w:val="00FA2B3C"/>
    <w:rsid w:val="00FA3EFC"/>
    <w:rsid w:val="00FB1109"/>
    <w:rsid w:val="00FB4F92"/>
    <w:rsid w:val="00FB66E5"/>
    <w:rsid w:val="00FE1AE5"/>
    <w:rsid w:val="00FE3C30"/>
    <w:rsid w:val="00FE45A4"/>
    <w:rsid w:val="01154CA9"/>
    <w:rsid w:val="014868D6"/>
    <w:rsid w:val="014B6DB6"/>
    <w:rsid w:val="014B7D31"/>
    <w:rsid w:val="030E2328"/>
    <w:rsid w:val="03BE360A"/>
    <w:rsid w:val="040C7642"/>
    <w:rsid w:val="0486156C"/>
    <w:rsid w:val="049C0C5D"/>
    <w:rsid w:val="04ED321B"/>
    <w:rsid w:val="04F5403C"/>
    <w:rsid w:val="051931EE"/>
    <w:rsid w:val="059C0ED7"/>
    <w:rsid w:val="06127A7D"/>
    <w:rsid w:val="069A2306"/>
    <w:rsid w:val="06F7056F"/>
    <w:rsid w:val="06FC5918"/>
    <w:rsid w:val="08681C10"/>
    <w:rsid w:val="08C17F84"/>
    <w:rsid w:val="08E83CAC"/>
    <w:rsid w:val="09385C0D"/>
    <w:rsid w:val="09605449"/>
    <w:rsid w:val="09A6056F"/>
    <w:rsid w:val="0A1724EC"/>
    <w:rsid w:val="0A570314"/>
    <w:rsid w:val="0AB135FF"/>
    <w:rsid w:val="0B542216"/>
    <w:rsid w:val="0B6C2AAA"/>
    <w:rsid w:val="0B725406"/>
    <w:rsid w:val="0B8C1B18"/>
    <w:rsid w:val="0C082BF2"/>
    <w:rsid w:val="0C1C1816"/>
    <w:rsid w:val="0C47780E"/>
    <w:rsid w:val="0D660E79"/>
    <w:rsid w:val="0D911EE0"/>
    <w:rsid w:val="0ECC778E"/>
    <w:rsid w:val="0F1839CA"/>
    <w:rsid w:val="0F715CCF"/>
    <w:rsid w:val="0FDD1F1C"/>
    <w:rsid w:val="10177124"/>
    <w:rsid w:val="1025597B"/>
    <w:rsid w:val="105F2674"/>
    <w:rsid w:val="10790FE5"/>
    <w:rsid w:val="107A2A82"/>
    <w:rsid w:val="10817182"/>
    <w:rsid w:val="10C34D56"/>
    <w:rsid w:val="113072D7"/>
    <w:rsid w:val="11815416"/>
    <w:rsid w:val="119231F9"/>
    <w:rsid w:val="11D9617B"/>
    <w:rsid w:val="11DC1DA7"/>
    <w:rsid w:val="127A08CF"/>
    <w:rsid w:val="131925DE"/>
    <w:rsid w:val="138E444B"/>
    <w:rsid w:val="13DE29B0"/>
    <w:rsid w:val="14A775EA"/>
    <w:rsid w:val="14D94773"/>
    <w:rsid w:val="15586EC4"/>
    <w:rsid w:val="16010BA7"/>
    <w:rsid w:val="16310DCE"/>
    <w:rsid w:val="16322E04"/>
    <w:rsid w:val="16362534"/>
    <w:rsid w:val="170571B0"/>
    <w:rsid w:val="17214990"/>
    <w:rsid w:val="17355AE1"/>
    <w:rsid w:val="178F4070"/>
    <w:rsid w:val="17C70888"/>
    <w:rsid w:val="181C45F3"/>
    <w:rsid w:val="18555389"/>
    <w:rsid w:val="18645815"/>
    <w:rsid w:val="18693A81"/>
    <w:rsid w:val="19FB42AB"/>
    <w:rsid w:val="1A2E515C"/>
    <w:rsid w:val="1A6F0BB7"/>
    <w:rsid w:val="1A974D27"/>
    <w:rsid w:val="1A9A7650"/>
    <w:rsid w:val="1AE24623"/>
    <w:rsid w:val="1B404651"/>
    <w:rsid w:val="1B8D7D37"/>
    <w:rsid w:val="1BEA5747"/>
    <w:rsid w:val="1BF65EFA"/>
    <w:rsid w:val="1C343C9E"/>
    <w:rsid w:val="1CBC2DA9"/>
    <w:rsid w:val="1CEC2B3E"/>
    <w:rsid w:val="1D0B655C"/>
    <w:rsid w:val="1D734A0C"/>
    <w:rsid w:val="1DFB5F54"/>
    <w:rsid w:val="1E4F4610"/>
    <w:rsid w:val="2020618A"/>
    <w:rsid w:val="202A06D6"/>
    <w:rsid w:val="20E35871"/>
    <w:rsid w:val="21567046"/>
    <w:rsid w:val="217B4CED"/>
    <w:rsid w:val="21972AA0"/>
    <w:rsid w:val="22334283"/>
    <w:rsid w:val="22AC45A6"/>
    <w:rsid w:val="23DF51AB"/>
    <w:rsid w:val="248655AA"/>
    <w:rsid w:val="24FF52FB"/>
    <w:rsid w:val="25D00ACE"/>
    <w:rsid w:val="2629095F"/>
    <w:rsid w:val="276252F3"/>
    <w:rsid w:val="279D2F43"/>
    <w:rsid w:val="28492D10"/>
    <w:rsid w:val="28A76D6D"/>
    <w:rsid w:val="28AB1AFF"/>
    <w:rsid w:val="28B12803"/>
    <w:rsid w:val="28E62EF9"/>
    <w:rsid w:val="292044B0"/>
    <w:rsid w:val="29DA269C"/>
    <w:rsid w:val="2BF308C4"/>
    <w:rsid w:val="2D915768"/>
    <w:rsid w:val="2D946079"/>
    <w:rsid w:val="2DA709A7"/>
    <w:rsid w:val="2E086395"/>
    <w:rsid w:val="2E9948C0"/>
    <w:rsid w:val="2EB96093"/>
    <w:rsid w:val="2FAA0CF1"/>
    <w:rsid w:val="30A316A4"/>
    <w:rsid w:val="30A532D8"/>
    <w:rsid w:val="30D7536C"/>
    <w:rsid w:val="31244B45"/>
    <w:rsid w:val="313D69B8"/>
    <w:rsid w:val="31AF717C"/>
    <w:rsid w:val="31B45C6F"/>
    <w:rsid w:val="32024E86"/>
    <w:rsid w:val="323D35C1"/>
    <w:rsid w:val="33341FEE"/>
    <w:rsid w:val="33D27588"/>
    <w:rsid w:val="33D51255"/>
    <w:rsid w:val="33D80194"/>
    <w:rsid w:val="33F50CB2"/>
    <w:rsid w:val="33FD4FA4"/>
    <w:rsid w:val="3488745B"/>
    <w:rsid w:val="34A87D82"/>
    <w:rsid w:val="34E6283D"/>
    <w:rsid w:val="35333637"/>
    <w:rsid w:val="3552463B"/>
    <w:rsid w:val="35660FCE"/>
    <w:rsid w:val="35A874EB"/>
    <w:rsid w:val="35C00B5B"/>
    <w:rsid w:val="35EC2D31"/>
    <w:rsid w:val="36364D84"/>
    <w:rsid w:val="363B0FB3"/>
    <w:rsid w:val="36CF1B3C"/>
    <w:rsid w:val="374161FE"/>
    <w:rsid w:val="37AD1E67"/>
    <w:rsid w:val="381A5FF7"/>
    <w:rsid w:val="389C45AA"/>
    <w:rsid w:val="399D1665"/>
    <w:rsid w:val="3B025B2A"/>
    <w:rsid w:val="3B666687"/>
    <w:rsid w:val="3B681C0B"/>
    <w:rsid w:val="3B7631B2"/>
    <w:rsid w:val="3B8F2A54"/>
    <w:rsid w:val="3BA91A83"/>
    <w:rsid w:val="3BCA70A5"/>
    <w:rsid w:val="3C1772DF"/>
    <w:rsid w:val="3C7F7CBD"/>
    <w:rsid w:val="3C981355"/>
    <w:rsid w:val="3CA04AFF"/>
    <w:rsid w:val="3CD41364"/>
    <w:rsid w:val="3DA61997"/>
    <w:rsid w:val="3DFF6BF7"/>
    <w:rsid w:val="3E1371BB"/>
    <w:rsid w:val="3E16521B"/>
    <w:rsid w:val="3E575E53"/>
    <w:rsid w:val="3ECC63B9"/>
    <w:rsid w:val="3F1E6E6D"/>
    <w:rsid w:val="3F632CDC"/>
    <w:rsid w:val="40071D65"/>
    <w:rsid w:val="400E22FB"/>
    <w:rsid w:val="401C4AEF"/>
    <w:rsid w:val="40424CAC"/>
    <w:rsid w:val="40B62FDA"/>
    <w:rsid w:val="40DF463B"/>
    <w:rsid w:val="41675BD4"/>
    <w:rsid w:val="41870188"/>
    <w:rsid w:val="41BE0726"/>
    <w:rsid w:val="420A3106"/>
    <w:rsid w:val="42142DCB"/>
    <w:rsid w:val="42D8691F"/>
    <w:rsid w:val="42EB3C66"/>
    <w:rsid w:val="441F0ECD"/>
    <w:rsid w:val="444A2328"/>
    <w:rsid w:val="449E5491"/>
    <w:rsid w:val="44BE3998"/>
    <w:rsid w:val="44C4421D"/>
    <w:rsid w:val="45475813"/>
    <w:rsid w:val="45CD7002"/>
    <w:rsid w:val="461F7CE2"/>
    <w:rsid w:val="46345196"/>
    <w:rsid w:val="47160A32"/>
    <w:rsid w:val="484B7264"/>
    <w:rsid w:val="49200EFF"/>
    <w:rsid w:val="49821651"/>
    <w:rsid w:val="4A024309"/>
    <w:rsid w:val="4A5538CD"/>
    <w:rsid w:val="4A873D23"/>
    <w:rsid w:val="4B2A6B83"/>
    <w:rsid w:val="4C064DA0"/>
    <w:rsid w:val="4C2839D8"/>
    <w:rsid w:val="4C3C35D2"/>
    <w:rsid w:val="4C5A3058"/>
    <w:rsid w:val="4CEE62DB"/>
    <w:rsid w:val="4D183853"/>
    <w:rsid w:val="4D3D554A"/>
    <w:rsid w:val="4D99525E"/>
    <w:rsid w:val="4DB44FC5"/>
    <w:rsid w:val="4DEC7B28"/>
    <w:rsid w:val="4E542C6C"/>
    <w:rsid w:val="4E727211"/>
    <w:rsid w:val="4E8F6626"/>
    <w:rsid w:val="4EF163FE"/>
    <w:rsid w:val="4F6E3703"/>
    <w:rsid w:val="50451A40"/>
    <w:rsid w:val="50D22F08"/>
    <w:rsid w:val="51F17946"/>
    <w:rsid w:val="51F660E8"/>
    <w:rsid w:val="520239B2"/>
    <w:rsid w:val="527549CA"/>
    <w:rsid w:val="52B11A81"/>
    <w:rsid w:val="53414504"/>
    <w:rsid w:val="53BD0D81"/>
    <w:rsid w:val="54765AEE"/>
    <w:rsid w:val="54967D01"/>
    <w:rsid w:val="55246C59"/>
    <w:rsid w:val="55886798"/>
    <w:rsid w:val="559D7335"/>
    <w:rsid w:val="56C97A64"/>
    <w:rsid w:val="575834C9"/>
    <w:rsid w:val="575907F5"/>
    <w:rsid w:val="588400F4"/>
    <w:rsid w:val="58A331DB"/>
    <w:rsid w:val="593C2292"/>
    <w:rsid w:val="59797415"/>
    <w:rsid w:val="59B00907"/>
    <w:rsid w:val="5A1531CD"/>
    <w:rsid w:val="5A964398"/>
    <w:rsid w:val="5AA35CD6"/>
    <w:rsid w:val="5ADB3764"/>
    <w:rsid w:val="5B773733"/>
    <w:rsid w:val="5C397D83"/>
    <w:rsid w:val="5C5D08A2"/>
    <w:rsid w:val="5C7D3A52"/>
    <w:rsid w:val="5D501207"/>
    <w:rsid w:val="5D805C4A"/>
    <w:rsid w:val="5D941F5F"/>
    <w:rsid w:val="5DB9374A"/>
    <w:rsid w:val="5DF77510"/>
    <w:rsid w:val="5E20759F"/>
    <w:rsid w:val="5F0F2A1C"/>
    <w:rsid w:val="5F95080E"/>
    <w:rsid w:val="60375808"/>
    <w:rsid w:val="60497ED3"/>
    <w:rsid w:val="608245CC"/>
    <w:rsid w:val="60DF5334"/>
    <w:rsid w:val="61AD0EDE"/>
    <w:rsid w:val="61BA75DA"/>
    <w:rsid w:val="637A67E0"/>
    <w:rsid w:val="63F407AD"/>
    <w:rsid w:val="640762A4"/>
    <w:rsid w:val="640C6827"/>
    <w:rsid w:val="649858D2"/>
    <w:rsid w:val="65950F58"/>
    <w:rsid w:val="65C7345A"/>
    <w:rsid w:val="66094DDC"/>
    <w:rsid w:val="66AD4244"/>
    <w:rsid w:val="671822BE"/>
    <w:rsid w:val="67FE551B"/>
    <w:rsid w:val="681B0213"/>
    <w:rsid w:val="683664BA"/>
    <w:rsid w:val="685A6F8E"/>
    <w:rsid w:val="68A53B58"/>
    <w:rsid w:val="68CC5E33"/>
    <w:rsid w:val="6946396A"/>
    <w:rsid w:val="69483675"/>
    <w:rsid w:val="6AC553B5"/>
    <w:rsid w:val="6B050FDD"/>
    <w:rsid w:val="6B2307FD"/>
    <w:rsid w:val="6B9A16B0"/>
    <w:rsid w:val="6BA430D4"/>
    <w:rsid w:val="6BC535EA"/>
    <w:rsid w:val="6C0E5989"/>
    <w:rsid w:val="6C7166E4"/>
    <w:rsid w:val="6CA642D3"/>
    <w:rsid w:val="6CD8170A"/>
    <w:rsid w:val="6D866763"/>
    <w:rsid w:val="6D917A9B"/>
    <w:rsid w:val="6D977D25"/>
    <w:rsid w:val="6DA705BD"/>
    <w:rsid w:val="6DA7736A"/>
    <w:rsid w:val="6DC4348E"/>
    <w:rsid w:val="6DD40792"/>
    <w:rsid w:val="6E7B0778"/>
    <w:rsid w:val="6F433611"/>
    <w:rsid w:val="70D55169"/>
    <w:rsid w:val="71445DD4"/>
    <w:rsid w:val="726B4A58"/>
    <w:rsid w:val="72CA4015"/>
    <w:rsid w:val="73700BDB"/>
    <w:rsid w:val="737669FC"/>
    <w:rsid w:val="73D00218"/>
    <w:rsid w:val="73DE2D90"/>
    <w:rsid w:val="749E7BBD"/>
    <w:rsid w:val="74E455C8"/>
    <w:rsid w:val="754206C3"/>
    <w:rsid w:val="759A65A9"/>
    <w:rsid w:val="75A20241"/>
    <w:rsid w:val="75BE3F05"/>
    <w:rsid w:val="7613572C"/>
    <w:rsid w:val="7619496A"/>
    <w:rsid w:val="762E04ED"/>
    <w:rsid w:val="76C73464"/>
    <w:rsid w:val="77EF1307"/>
    <w:rsid w:val="783C0FED"/>
    <w:rsid w:val="797A5272"/>
    <w:rsid w:val="7A2F7467"/>
    <w:rsid w:val="7A5A7A29"/>
    <w:rsid w:val="7A6E00EA"/>
    <w:rsid w:val="7AC666E5"/>
    <w:rsid w:val="7AD90E2B"/>
    <w:rsid w:val="7AEE270F"/>
    <w:rsid w:val="7AF86D2C"/>
    <w:rsid w:val="7B0B00B8"/>
    <w:rsid w:val="7B5176BF"/>
    <w:rsid w:val="7B611373"/>
    <w:rsid w:val="7B6B7DD6"/>
    <w:rsid w:val="7BE14791"/>
    <w:rsid w:val="7C662EE9"/>
    <w:rsid w:val="7CA80560"/>
    <w:rsid w:val="7D3B6123"/>
    <w:rsid w:val="7D5F01A3"/>
    <w:rsid w:val="7D602605"/>
    <w:rsid w:val="7D6679D2"/>
    <w:rsid w:val="7DA84427"/>
    <w:rsid w:val="7DF84753"/>
    <w:rsid w:val="7E361F47"/>
    <w:rsid w:val="7E8A4DE0"/>
    <w:rsid w:val="7EFC7B34"/>
    <w:rsid w:val="7F4A16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iPriority="99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0"/>
        <w:numId w:val="2"/>
      </w:numPr>
      <w:ind w:right="100" w:rightChars="100" w:firstLine="0"/>
      <w:outlineLvl w:val="2"/>
    </w:pPr>
    <w:rPr>
      <w:b/>
      <w:sz w:val="28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="0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qFormat/>
    <w:uiPriority w:val="99"/>
    <w:pPr>
      <w:adjustRightInd w:val="0"/>
      <w:spacing w:after="0" w:line="360" w:lineRule="atLeast"/>
      <w:ind w:firstLine="420"/>
      <w:jc w:val="left"/>
      <w:textAlignment w:val="baseline"/>
    </w:pPr>
    <w:rPr>
      <w:rFonts w:ascii="Calibri" w:hAnsi="Calibri" w:eastAsia="宋体" w:cs="Times New Roman"/>
      <w:kern w:val="0"/>
      <w:sz w:val="25"/>
      <w:szCs w:val="20"/>
    </w:rPr>
  </w:style>
  <w:style w:type="paragraph" w:styleId="7">
    <w:name w:val="Document Map"/>
    <w:basedOn w:val="1"/>
    <w:link w:val="28"/>
    <w:qFormat/>
    <w:uiPriority w:val="0"/>
    <w:rPr>
      <w:rFonts w:ascii="宋体" w:eastAsia="宋体"/>
      <w:sz w:val="18"/>
      <w:szCs w:val="18"/>
    </w:rPr>
  </w:style>
  <w:style w:type="paragraph" w:styleId="8">
    <w:name w:val="Body Text"/>
    <w:basedOn w:val="1"/>
    <w:uiPriority w:val="0"/>
    <w:rPr>
      <w:rFonts w:ascii="宋体" w:hAnsi="宋体"/>
      <w:sz w:val="24"/>
    </w:rPr>
  </w:style>
  <w:style w:type="paragraph" w:styleId="9">
    <w:name w:val="Body Text Indent"/>
    <w:basedOn w:val="1"/>
    <w:qFormat/>
    <w:uiPriority w:val="0"/>
    <w:pPr>
      <w:spacing w:after="120"/>
      <w:ind w:left="420" w:leftChars="200"/>
    </w:pPr>
    <w:rPr>
      <w:kern w:val="0"/>
      <w:sz w:val="20"/>
    </w:rPr>
  </w:style>
  <w:style w:type="paragraph" w:styleId="10">
    <w:name w:val="Balloon Text"/>
    <w:basedOn w:val="1"/>
    <w:link w:val="31"/>
    <w:qFormat/>
    <w:uiPriority w:val="0"/>
    <w:pPr>
      <w:spacing w:after="0" w:line="240" w:lineRule="auto"/>
    </w:pPr>
    <w:rPr>
      <w:sz w:val="18"/>
      <w:szCs w:val="18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/>
      <w:sz w:val="18"/>
      <w:szCs w:val="18"/>
    </w:rPr>
  </w:style>
  <w:style w:type="paragraph" w:styleId="13">
    <w:name w:val="toc 1"/>
    <w:basedOn w:val="1"/>
    <w:next w:val="1"/>
    <w:qFormat/>
    <w:uiPriority w:val="0"/>
  </w:style>
  <w:style w:type="paragraph" w:styleId="14">
    <w:name w:val="toc 2"/>
    <w:basedOn w:val="1"/>
    <w:next w:val="1"/>
    <w:qFormat/>
    <w:uiPriority w:val="0"/>
    <w:pPr>
      <w:ind w:left="420" w:leftChars="200"/>
    </w:pPr>
  </w:style>
  <w:style w:type="paragraph" w:styleId="1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6">
    <w:name w:val="Body Text First Indent 2"/>
    <w:basedOn w:val="9"/>
    <w:unhideWhenUsed/>
    <w:qFormat/>
    <w:uiPriority w:val="99"/>
    <w:pPr>
      <w:spacing w:before="50"/>
      <w:ind w:firstLine="200" w:firstLineChars="200"/>
    </w:p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0">
    <w:name w:val="Strong"/>
    <w:basedOn w:val="19"/>
    <w:qFormat/>
    <w:uiPriority w:val="0"/>
    <w:rPr>
      <w:b/>
    </w:rPr>
  </w:style>
  <w:style w:type="character" w:styleId="21">
    <w:name w:val="page number"/>
    <w:basedOn w:val="19"/>
    <w:qFormat/>
    <w:uiPriority w:val="0"/>
  </w:style>
  <w:style w:type="character" w:styleId="22">
    <w:name w:val="Emphasis"/>
    <w:basedOn w:val="19"/>
    <w:qFormat/>
    <w:uiPriority w:val="0"/>
    <w:rPr>
      <w:i/>
    </w:rPr>
  </w:style>
  <w:style w:type="character" w:styleId="23">
    <w:name w:val="Hyperlink"/>
    <w:basedOn w:val="19"/>
    <w:qFormat/>
    <w:uiPriority w:val="0"/>
    <w:rPr>
      <w:color w:val="0000FF"/>
      <w:u w:val="single"/>
    </w:rPr>
  </w:style>
  <w:style w:type="paragraph" w:customStyle="1" w:styleId="24">
    <w:name w:val="222"/>
    <w:basedOn w:val="1"/>
    <w:qFormat/>
    <w:uiPriority w:val="0"/>
    <w:pPr>
      <w:spacing w:line="560" w:lineRule="exact"/>
      <w:ind w:firstLine="643" w:firstLineChars="200"/>
    </w:pPr>
    <w:rPr>
      <w:rFonts w:ascii="Times New Roman" w:hAnsi="Times New Roman" w:eastAsia="宋体"/>
      <w:sz w:val="24"/>
    </w:rPr>
  </w:style>
  <w:style w:type="character" w:customStyle="1" w:styleId="25">
    <w:name w:val="font31"/>
    <w:basedOn w:val="19"/>
    <w:qFormat/>
    <w:uiPriority w:val="0"/>
    <w:rPr>
      <w:rFonts w:hint="eastAsia" w:ascii="宋体" w:hAnsi="宋体" w:eastAsia="宋体" w:cs="宋体"/>
      <w:color w:val="000000"/>
      <w:sz w:val="21"/>
      <w:szCs w:val="21"/>
      <w:u w:val="single"/>
    </w:rPr>
  </w:style>
  <w:style w:type="character" w:customStyle="1" w:styleId="26">
    <w:name w:val="font01"/>
    <w:basedOn w:val="19"/>
    <w:qFormat/>
    <w:uiPriority w:val="0"/>
    <w:rPr>
      <w:rFonts w:hint="eastAsia" w:ascii="宋体" w:hAnsi="宋体" w:eastAsia="宋体" w:cs="宋体"/>
      <w:color w:val="0000FF"/>
      <w:sz w:val="21"/>
      <w:szCs w:val="21"/>
      <w:u w:val="single"/>
    </w:rPr>
  </w:style>
  <w:style w:type="paragraph" w:customStyle="1" w:styleId="27">
    <w:name w:val="表格文字"/>
    <w:basedOn w:val="1"/>
    <w:qFormat/>
    <w:uiPriority w:val="0"/>
    <w:pPr>
      <w:widowControl/>
      <w:jc w:val="center"/>
    </w:pPr>
    <w:rPr>
      <w:rFonts w:ascii="Calibri" w:hAnsi="Calibri"/>
      <w:color w:val="000000"/>
      <w:kern w:val="0"/>
    </w:rPr>
  </w:style>
  <w:style w:type="character" w:customStyle="1" w:styleId="28">
    <w:name w:val="文档结构图 Char"/>
    <w:basedOn w:val="19"/>
    <w:link w:val="7"/>
    <w:qFormat/>
    <w:uiPriority w:val="0"/>
    <w:rPr>
      <w:rFonts w:ascii="宋体" w:hAnsiTheme="minorHAnsi" w:cstheme="minorBidi"/>
      <w:kern w:val="2"/>
      <w:sz w:val="18"/>
      <w:szCs w:val="18"/>
    </w:rPr>
  </w:style>
  <w:style w:type="paragraph" w:customStyle="1" w:styleId="29">
    <w:name w:val="样式 标题 2二级标题标题 （一） + Times New Roman 小三 两端对齐 段前: 6 磅 段后: 0 ...1"/>
    <w:basedOn w:val="3"/>
    <w:qFormat/>
    <w:uiPriority w:val="0"/>
    <w:pPr>
      <w:widowControl/>
      <w:spacing w:line="560" w:lineRule="exact"/>
    </w:pPr>
    <w:rPr>
      <w:rFonts w:ascii="Times New Roman" w:hAnsi="Times New Roman" w:eastAsia="宋体" w:cs="宋体"/>
      <w:kern w:val="0"/>
      <w:sz w:val="28"/>
      <w:szCs w:val="20"/>
    </w:rPr>
  </w:style>
  <w:style w:type="character" w:customStyle="1" w:styleId="30">
    <w:name w:val="页眉 Char"/>
    <w:basedOn w:val="19"/>
    <w:link w:val="12"/>
    <w:qFormat/>
    <w:uiPriority w:val="99"/>
    <w:rPr>
      <w:rFonts w:cstheme="minorBidi"/>
      <w:kern w:val="2"/>
      <w:sz w:val="18"/>
      <w:szCs w:val="18"/>
    </w:rPr>
  </w:style>
  <w:style w:type="character" w:customStyle="1" w:styleId="31">
    <w:name w:val="批注框文本 Char"/>
    <w:basedOn w:val="19"/>
    <w:link w:val="10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2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33FDEE-E588-418D-95D0-0ABA3B7C889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15</Pages>
  <Words>4634</Words>
  <Characters>4836</Characters>
  <Lines>44</Lines>
  <Paragraphs>12</Paragraphs>
  <TotalTime>4</TotalTime>
  <ScaleCrop>false</ScaleCrop>
  <LinksUpToDate>false</LinksUpToDate>
  <CharactersWithSpaces>4868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2018-05-28T10:32:00Z</dcterms:created>
  <dc:creator>浙江省住建厅3号</dc:creator>
  <cp:lastModifiedBy>Administrator</cp:lastModifiedBy>
  <cp:lastPrinted>2024-07-24T06:52:00Z</cp:lastPrinted>
  <dcterms:modified xsi:type="dcterms:W3CDTF">2025-04-27T02:54:58Z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A9DAC8591C7546828972A527B0BA3238</vt:lpwstr>
  </property>
  <property fmtid="{D5CDD505-2E9C-101B-9397-08002B2CF9AE}" pid="4" name="KSOTemplateDocerSaveRecord">
    <vt:lpwstr>eyJoZGlkIjoiZDlhMTUwNzA0NWM0NzM2NTA4YzBlYTVmYzc3ZGMyODYifQ==</vt:lpwstr>
  </property>
</Properties>
</file>