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BA4417">
      <w:pPr>
        <w:adjustRightInd w:val="0"/>
        <w:snapToGrid w:val="0"/>
        <w:spacing w:line="588" w:lineRule="exact"/>
        <w:jc w:val="left"/>
        <w:rPr>
          <w:rFonts w:ascii="Times New Roman" w:hAnsi="Times New Roman" w:eastAsia="方正黑体_GBK"/>
          <w:sz w:val="30"/>
          <w:szCs w:val="30"/>
        </w:rPr>
      </w:pPr>
      <w:bookmarkStart w:id="0" w:name="_GoBack"/>
      <w:bookmarkEnd w:id="0"/>
      <w:r>
        <w:rPr>
          <w:rFonts w:ascii="Times New Roman" w:hAnsi="Times New Roman" w:eastAsia="方正黑体_GBK"/>
          <w:sz w:val="30"/>
          <w:szCs w:val="30"/>
        </w:rPr>
        <w:t>附件4</w:t>
      </w:r>
    </w:p>
    <w:p w14:paraId="2EA7A3F7">
      <w:pPr>
        <w:overflowPunct w:val="0"/>
        <w:adjustRightInd w:val="0"/>
        <w:snapToGrid w:val="0"/>
        <w:spacing w:line="588" w:lineRule="exact"/>
        <w:jc w:val="left"/>
        <w:outlineLvl w:val="0"/>
        <w:rPr>
          <w:rFonts w:ascii="Times New Roman" w:hAnsi="Times New Roman" w:eastAsia="方正小标宋_GBK"/>
          <w:sz w:val="40"/>
          <w:szCs w:val="40"/>
        </w:rPr>
      </w:pPr>
    </w:p>
    <w:p w14:paraId="3D60FD6A">
      <w:pPr>
        <w:overflowPunct w:val="0"/>
        <w:adjustRightInd w:val="0"/>
        <w:snapToGrid w:val="0"/>
        <w:spacing w:line="588" w:lineRule="exact"/>
        <w:jc w:val="center"/>
        <w:outlineLvl w:val="0"/>
        <w:rPr>
          <w:rFonts w:ascii="Times New Roman" w:hAnsi="Times New Roman" w:eastAsia="方正小标宋_GBK"/>
          <w:sz w:val="40"/>
          <w:szCs w:val="40"/>
        </w:rPr>
      </w:pPr>
      <w:r>
        <w:rPr>
          <w:rFonts w:ascii="Times New Roman" w:hAnsi="Times New Roman" w:eastAsia="方正小标宋_GBK"/>
          <w:sz w:val="40"/>
          <w:szCs w:val="40"/>
        </w:rPr>
        <w:t>2025年第三批以工代赈中央预算内投资计划</w:t>
      </w:r>
    </w:p>
    <w:p w14:paraId="51C139B7">
      <w:pPr>
        <w:overflowPunct w:val="0"/>
        <w:adjustRightInd w:val="0"/>
        <w:snapToGrid w:val="0"/>
        <w:spacing w:line="588" w:lineRule="exact"/>
        <w:jc w:val="center"/>
        <w:outlineLvl w:val="0"/>
        <w:rPr>
          <w:rFonts w:ascii="Times New Roman" w:hAnsi="Times New Roman" w:eastAsia="方正小标宋_GBK"/>
          <w:sz w:val="40"/>
          <w:szCs w:val="40"/>
        </w:rPr>
      </w:pPr>
      <w:r>
        <w:rPr>
          <w:rFonts w:ascii="Times New Roman" w:hAnsi="Times New Roman" w:eastAsia="方正小标宋_GBK"/>
          <w:sz w:val="40"/>
          <w:szCs w:val="40"/>
        </w:rPr>
        <w:t>绩效目标表</w:t>
      </w:r>
    </w:p>
    <w:p w14:paraId="41922CFB">
      <w:pPr>
        <w:spacing w:line="400" w:lineRule="exact"/>
        <w:jc w:val="center"/>
        <w:rPr>
          <w:rFonts w:ascii="Times New Roman" w:hAnsi="Times New Roman" w:eastAsia="方正楷体_GBK"/>
          <w:sz w:val="30"/>
          <w:szCs w:val="30"/>
        </w:rPr>
      </w:pPr>
      <w:r>
        <w:rPr>
          <w:rFonts w:ascii="Times New Roman" w:hAnsi="Times New Roman" w:eastAsia="方正楷体_GBK"/>
          <w:sz w:val="30"/>
          <w:szCs w:val="30"/>
        </w:rPr>
        <w:t>（2025年度）</w:t>
      </w:r>
    </w:p>
    <w:p w14:paraId="4FA08E74">
      <w:pPr>
        <w:jc w:val="center"/>
        <w:rPr>
          <w:rFonts w:ascii="Times New Roman" w:hAnsi="Times New Roman" w:eastAsia="黑体"/>
          <w:sz w:val="24"/>
          <w:szCs w:val="24"/>
        </w:rPr>
      </w:pPr>
    </w:p>
    <w:tbl>
      <w:tblPr>
        <w:tblStyle w:val="9"/>
        <w:tblW w:w="0" w:type="auto"/>
        <w:tblInd w:w="18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9"/>
        <w:gridCol w:w="1099"/>
        <w:gridCol w:w="1564"/>
        <w:gridCol w:w="853"/>
        <w:gridCol w:w="2422"/>
        <w:gridCol w:w="1603"/>
      </w:tblGrid>
      <w:tr w14:paraId="4C3F1A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exact"/>
        </w:trPr>
        <w:tc>
          <w:tcPr>
            <w:tcW w:w="4615" w:type="dxa"/>
            <w:gridSpan w:val="4"/>
            <w:noWrap w:val="0"/>
            <w:vAlign w:val="center"/>
          </w:tcPr>
          <w:p w14:paraId="137BCB36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专项名称</w:t>
            </w:r>
          </w:p>
        </w:tc>
        <w:tc>
          <w:tcPr>
            <w:tcW w:w="4025" w:type="dxa"/>
            <w:gridSpan w:val="2"/>
            <w:noWrap w:val="0"/>
            <w:vAlign w:val="center"/>
          </w:tcPr>
          <w:p w14:paraId="43318479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以工代赈</w:t>
            </w:r>
          </w:p>
        </w:tc>
      </w:tr>
      <w:tr w14:paraId="31BA97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exact"/>
        </w:trPr>
        <w:tc>
          <w:tcPr>
            <w:tcW w:w="4615" w:type="dxa"/>
            <w:gridSpan w:val="4"/>
            <w:noWrap w:val="0"/>
            <w:vAlign w:val="center"/>
          </w:tcPr>
          <w:p w14:paraId="0C7025D2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hint="eastAsia" w:ascii="Times New Roman" w:hAnsi="Times New Roman" w:eastAsia="方正仿宋_GBK"/>
                <w:szCs w:val="21"/>
                <w:lang w:eastAsia="zh-CN"/>
              </w:rPr>
              <w:t>下达</w:t>
            </w:r>
            <w:r>
              <w:rPr>
                <w:rFonts w:ascii="Times New Roman" w:hAnsi="Times New Roman" w:eastAsia="方正仿宋_GBK"/>
                <w:szCs w:val="21"/>
              </w:rPr>
              <w:t>地方或单位</w:t>
            </w:r>
          </w:p>
        </w:tc>
        <w:tc>
          <w:tcPr>
            <w:tcW w:w="4025" w:type="dxa"/>
            <w:gridSpan w:val="2"/>
            <w:noWrap w:val="0"/>
            <w:vAlign w:val="center"/>
          </w:tcPr>
          <w:p w14:paraId="5A17574A">
            <w:pPr>
              <w:jc w:val="center"/>
              <w:rPr>
                <w:rFonts w:hint="eastAsia" w:ascii="Times New Roman" w:hAnsi="Times New Roman" w:eastAsia="方正仿宋_GBK"/>
                <w:szCs w:val="21"/>
                <w:lang w:eastAsia="zh-CN"/>
              </w:rPr>
            </w:pPr>
            <w:r>
              <w:rPr>
                <w:rFonts w:hint="eastAsia" w:ascii="Times New Roman" w:hAnsi="Times New Roman" w:eastAsia="方正仿宋_GBK"/>
                <w:szCs w:val="21"/>
                <w:lang w:eastAsia="zh-CN"/>
              </w:rPr>
              <w:t>无极县发展改革局</w:t>
            </w:r>
          </w:p>
        </w:tc>
      </w:tr>
      <w:tr w14:paraId="4955F7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exact"/>
        </w:trPr>
        <w:tc>
          <w:tcPr>
            <w:tcW w:w="4615" w:type="dxa"/>
            <w:gridSpan w:val="4"/>
            <w:noWrap w:val="0"/>
            <w:vAlign w:val="center"/>
          </w:tcPr>
          <w:p w14:paraId="0CE4E4F1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hint="eastAsia" w:ascii="Times New Roman" w:hAnsi="Times New Roman" w:eastAsia="方正仿宋_GBK"/>
                <w:szCs w:val="21"/>
                <w:lang w:eastAsia="zh-CN"/>
              </w:rPr>
              <w:t>下达</w:t>
            </w:r>
            <w:r>
              <w:rPr>
                <w:rFonts w:ascii="Times New Roman" w:hAnsi="Times New Roman" w:eastAsia="方正仿宋_GBK"/>
                <w:szCs w:val="21"/>
              </w:rPr>
              <w:t>中央预算内投资（万元）</w:t>
            </w:r>
          </w:p>
        </w:tc>
        <w:tc>
          <w:tcPr>
            <w:tcW w:w="4025" w:type="dxa"/>
            <w:gridSpan w:val="2"/>
            <w:noWrap w:val="0"/>
            <w:vAlign w:val="center"/>
          </w:tcPr>
          <w:p w14:paraId="5CC6B16A">
            <w:pPr>
              <w:jc w:val="center"/>
              <w:rPr>
                <w:rFonts w:hint="default" w:ascii="Times New Roman" w:hAnsi="Times New Roman" w:eastAsia="方正仿宋_GBK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/>
                <w:szCs w:val="21"/>
                <w:lang w:val="en-US" w:eastAsia="zh-CN"/>
              </w:rPr>
              <w:t>445.1</w:t>
            </w:r>
          </w:p>
        </w:tc>
      </w:tr>
      <w:tr w14:paraId="2A5938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7" w:hRule="atLeast"/>
        </w:trPr>
        <w:tc>
          <w:tcPr>
            <w:tcW w:w="1099" w:type="dxa"/>
            <w:noWrap w:val="0"/>
            <w:vAlign w:val="center"/>
          </w:tcPr>
          <w:p w14:paraId="14626CE1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总体目标</w:t>
            </w:r>
          </w:p>
        </w:tc>
        <w:tc>
          <w:tcPr>
            <w:tcW w:w="7541" w:type="dxa"/>
            <w:gridSpan w:val="5"/>
            <w:noWrap w:val="0"/>
            <w:vAlign w:val="center"/>
          </w:tcPr>
          <w:p w14:paraId="27694A16">
            <w:pPr>
              <w:ind w:firstLine="420" w:firstLineChars="200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hint="eastAsia" w:ascii="Times New Roman" w:hAnsi="Times New Roman" w:eastAsia="方正仿宋_GBK"/>
                <w:szCs w:val="21"/>
              </w:rPr>
              <w:t>在</w:t>
            </w:r>
            <w:r>
              <w:rPr>
                <w:rFonts w:hint="eastAsia" w:ascii="Times New Roman" w:hAnsi="Times New Roman" w:eastAsia="方正仿宋_GBK"/>
                <w:szCs w:val="21"/>
                <w:lang w:eastAsia="zh-CN"/>
              </w:rPr>
              <w:t>无极县高头回族乡</w:t>
            </w:r>
            <w:r>
              <w:rPr>
                <w:rFonts w:hint="eastAsia" w:ascii="Times New Roman" w:hAnsi="Times New Roman" w:eastAsia="方正仿宋_GBK"/>
                <w:szCs w:val="21"/>
              </w:rPr>
              <w:t>实施</w:t>
            </w:r>
            <w:r>
              <w:rPr>
                <w:rFonts w:hint="eastAsia" w:ascii="Times New Roman" w:hAnsi="Times New Roman" w:eastAsia="方正仿宋_GBK"/>
                <w:szCs w:val="21"/>
                <w:lang w:val="en-US" w:eastAsia="zh-CN"/>
              </w:rPr>
              <w:t>1</w:t>
            </w:r>
            <w:r>
              <w:rPr>
                <w:rFonts w:hint="eastAsia" w:ascii="Times New Roman" w:hAnsi="Times New Roman" w:eastAsia="方正仿宋_GBK"/>
                <w:szCs w:val="21"/>
              </w:rPr>
              <w:t>个以工代赈项目，支持实施新建混凝土道路，村外田间路等基础设施建设。</w:t>
            </w:r>
            <w:r>
              <w:rPr>
                <w:rFonts w:ascii="Times New Roman" w:hAnsi="Times New Roman" w:eastAsia="方正仿宋_GBK"/>
                <w:szCs w:val="21"/>
              </w:rPr>
              <w:t>在确保劳务报酬发放金额占中央投资的总体比例不低于40%的基础上，尽可能进一步提高占比，</w:t>
            </w:r>
            <w:r>
              <w:rPr>
                <w:rFonts w:hint="eastAsia" w:ascii="Times New Roman" w:hAnsi="Times New Roman" w:eastAsia="方正仿宋_GBK"/>
                <w:szCs w:val="21"/>
              </w:rPr>
              <w:t>广泛吸纳相关企业失业人员、返乡农民工、家庭经济困难高校毕业生、未就业退役军人和脱贫人口、防止返贫致贫监测对象等重点群体参与工程建设</w:t>
            </w:r>
            <w:r>
              <w:rPr>
                <w:rFonts w:ascii="Times New Roman" w:hAnsi="Times New Roman" w:eastAsia="方正仿宋_GBK"/>
                <w:szCs w:val="21"/>
              </w:rPr>
              <w:t>，实现就地就近就业增收。</w:t>
            </w:r>
          </w:p>
        </w:tc>
      </w:tr>
      <w:tr w14:paraId="6CE35D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exact"/>
        </w:trPr>
        <w:tc>
          <w:tcPr>
            <w:tcW w:w="1099" w:type="dxa"/>
            <w:vMerge w:val="restart"/>
            <w:noWrap w:val="0"/>
            <w:vAlign w:val="center"/>
          </w:tcPr>
          <w:p w14:paraId="73BC6E24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绩</w:t>
            </w:r>
          </w:p>
          <w:p w14:paraId="09A79823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</w:p>
          <w:p w14:paraId="44F5287D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效</w:t>
            </w:r>
          </w:p>
          <w:p w14:paraId="2C117A8C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</w:p>
          <w:p w14:paraId="595CC44B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指</w:t>
            </w:r>
          </w:p>
          <w:p w14:paraId="1107CAB0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</w:p>
          <w:p w14:paraId="049C6586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标</w:t>
            </w:r>
          </w:p>
        </w:tc>
        <w:tc>
          <w:tcPr>
            <w:tcW w:w="1099" w:type="dxa"/>
            <w:noWrap w:val="0"/>
            <w:vAlign w:val="center"/>
          </w:tcPr>
          <w:p w14:paraId="6AAE0EEE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一级指标</w:t>
            </w:r>
          </w:p>
        </w:tc>
        <w:tc>
          <w:tcPr>
            <w:tcW w:w="1564" w:type="dxa"/>
            <w:noWrap w:val="0"/>
            <w:vAlign w:val="center"/>
          </w:tcPr>
          <w:p w14:paraId="0602ADB8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二级指标</w:t>
            </w:r>
          </w:p>
        </w:tc>
        <w:tc>
          <w:tcPr>
            <w:tcW w:w="3275" w:type="dxa"/>
            <w:gridSpan w:val="2"/>
            <w:noWrap w:val="0"/>
            <w:vAlign w:val="center"/>
          </w:tcPr>
          <w:p w14:paraId="51A2651E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三级指标</w:t>
            </w:r>
          </w:p>
        </w:tc>
        <w:tc>
          <w:tcPr>
            <w:tcW w:w="1603" w:type="dxa"/>
            <w:noWrap w:val="0"/>
            <w:vAlign w:val="center"/>
          </w:tcPr>
          <w:p w14:paraId="5DD2059C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指标值</w:t>
            </w:r>
          </w:p>
        </w:tc>
      </w:tr>
      <w:tr w14:paraId="7F104D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exact"/>
        </w:trPr>
        <w:tc>
          <w:tcPr>
            <w:tcW w:w="1099" w:type="dxa"/>
            <w:vMerge w:val="continue"/>
            <w:noWrap w:val="0"/>
            <w:vAlign w:val="center"/>
          </w:tcPr>
          <w:p w14:paraId="5CB1348E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</w:p>
        </w:tc>
        <w:tc>
          <w:tcPr>
            <w:tcW w:w="1099" w:type="dxa"/>
            <w:vMerge w:val="restart"/>
            <w:noWrap w:val="0"/>
            <w:vAlign w:val="center"/>
          </w:tcPr>
          <w:p w14:paraId="0687DF05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实施效果指标</w:t>
            </w:r>
          </w:p>
        </w:tc>
        <w:tc>
          <w:tcPr>
            <w:tcW w:w="1564" w:type="dxa"/>
            <w:noWrap w:val="0"/>
            <w:vAlign w:val="center"/>
          </w:tcPr>
          <w:p w14:paraId="3DEA0BA0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产出指标</w:t>
            </w:r>
          </w:p>
        </w:tc>
        <w:tc>
          <w:tcPr>
            <w:tcW w:w="3275" w:type="dxa"/>
            <w:gridSpan w:val="2"/>
            <w:noWrap w:val="0"/>
            <w:vAlign w:val="center"/>
          </w:tcPr>
          <w:p w14:paraId="46A615F0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劳务报酬占中央投资比例</w:t>
            </w:r>
          </w:p>
        </w:tc>
        <w:tc>
          <w:tcPr>
            <w:tcW w:w="1603" w:type="dxa"/>
            <w:noWrap w:val="0"/>
            <w:vAlign w:val="center"/>
          </w:tcPr>
          <w:p w14:paraId="61D4B924">
            <w:pPr>
              <w:jc w:val="center"/>
              <w:rPr>
                <w:rFonts w:ascii="Times New Roman" w:hAnsi="Times New Roman" w:eastAsia="方正仿宋_GBK"/>
                <w:sz w:val="13"/>
                <w:szCs w:val="13"/>
              </w:rPr>
            </w:pPr>
            <w:r>
              <w:rPr>
                <w:rFonts w:ascii="Times New Roman" w:hAnsi="Times New Roman" w:eastAsia="方正仿宋_GBK"/>
                <w:szCs w:val="21"/>
              </w:rPr>
              <w:t>≥40%</w:t>
            </w:r>
          </w:p>
        </w:tc>
      </w:tr>
      <w:tr w14:paraId="67DB6A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exact"/>
        </w:trPr>
        <w:tc>
          <w:tcPr>
            <w:tcW w:w="1099" w:type="dxa"/>
            <w:vMerge w:val="continue"/>
            <w:noWrap w:val="0"/>
            <w:vAlign w:val="center"/>
          </w:tcPr>
          <w:p w14:paraId="38BB746B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</w:p>
        </w:tc>
        <w:tc>
          <w:tcPr>
            <w:tcW w:w="1099" w:type="dxa"/>
            <w:vMerge w:val="continue"/>
            <w:noWrap w:val="0"/>
            <w:vAlign w:val="center"/>
          </w:tcPr>
          <w:p w14:paraId="10ACF430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</w:p>
        </w:tc>
        <w:tc>
          <w:tcPr>
            <w:tcW w:w="1564" w:type="dxa"/>
            <w:noWrap w:val="0"/>
            <w:vAlign w:val="center"/>
          </w:tcPr>
          <w:p w14:paraId="03E34AF7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效益指标</w:t>
            </w:r>
          </w:p>
        </w:tc>
        <w:tc>
          <w:tcPr>
            <w:tcW w:w="3275" w:type="dxa"/>
            <w:gridSpan w:val="2"/>
            <w:noWrap w:val="0"/>
            <w:vAlign w:val="center"/>
          </w:tcPr>
          <w:p w14:paraId="194F40C5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项目区基础设施条件</w:t>
            </w:r>
          </w:p>
        </w:tc>
        <w:tc>
          <w:tcPr>
            <w:tcW w:w="1603" w:type="dxa"/>
            <w:noWrap w:val="0"/>
            <w:vAlign w:val="center"/>
          </w:tcPr>
          <w:p w14:paraId="0EDFB0FC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持续改善</w:t>
            </w:r>
          </w:p>
        </w:tc>
      </w:tr>
      <w:tr w14:paraId="4E9816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exact"/>
        </w:trPr>
        <w:tc>
          <w:tcPr>
            <w:tcW w:w="1099" w:type="dxa"/>
            <w:vMerge w:val="continue"/>
            <w:noWrap w:val="0"/>
            <w:vAlign w:val="center"/>
          </w:tcPr>
          <w:p w14:paraId="3E48547B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</w:p>
        </w:tc>
        <w:tc>
          <w:tcPr>
            <w:tcW w:w="1099" w:type="dxa"/>
            <w:vMerge w:val="continue"/>
            <w:noWrap w:val="0"/>
            <w:vAlign w:val="center"/>
          </w:tcPr>
          <w:p w14:paraId="3B2C09A2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</w:p>
        </w:tc>
        <w:tc>
          <w:tcPr>
            <w:tcW w:w="1564" w:type="dxa"/>
            <w:noWrap w:val="0"/>
            <w:vAlign w:val="center"/>
          </w:tcPr>
          <w:p w14:paraId="716FE0AA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满意度指标</w:t>
            </w:r>
          </w:p>
        </w:tc>
        <w:tc>
          <w:tcPr>
            <w:tcW w:w="3275" w:type="dxa"/>
            <w:gridSpan w:val="2"/>
            <w:noWrap w:val="0"/>
            <w:vAlign w:val="center"/>
          </w:tcPr>
          <w:p w14:paraId="310D8067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参与工程建设的务工群众满意度</w:t>
            </w:r>
          </w:p>
        </w:tc>
        <w:tc>
          <w:tcPr>
            <w:tcW w:w="1603" w:type="dxa"/>
            <w:noWrap w:val="0"/>
            <w:vAlign w:val="center"/>
          </w:tcPr>
          <w:p w14:paraId="1CB19E7A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≥90%</w:t>
            </w:r>
          </w:p>
        </w:tc>
      </w:tr>
      <w:tr w14:paraId="218AB4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exact"/>
        </w:trPr>
        <w:tc>
          <w:tcPr>
            <w:tcW w:w="1099" w:type="dxa"/>
            <w:vMerge w:val="continue"/>
            <w:noWrap w:val="0"/>
            <w:vAlign w:val="center"/>
          </w:tcPr>
          <w:p w14:paraId="204990BA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</w:p>
        </w:tc>
        <w:tc>
          <w:tcPr>
            <w:tcW w:w="1099" w:type="dxa"/>
            <w:vMerge w:val="restart"/>
            <w:noWrap w:val="0"/>
            <w:vAlign w:val="center"/>
          </w:tcPr>
          <w:p w14:paraId="613229A4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过程管理指标</w:t>
            </w:r>
          </w:p>
        </w:tc>
        <w:tc>
          <w:tcPr>
            <w:tcW w:w="1564" w:type="dxa"/>
            <w:vMerge w:val="restart"/>
            <w:noWrap w:val="0"/>
            <w:vAlign w:val="center"/>
          </w:tcPr>
          <w:p w14:paraId="2722A0B6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计划管理指标</w:t>
            </w:r>
          </w:p>
        </w:tc>
        <w:tc>
          <w:tcPr>
            <w:tcW w:w="3275" w:type="dxa"/>
            <w:gridSpan w:val="2"/>
            <w:noWrap w:val="0"/>
            <w:vAlign w:val="center"/>
          </w:tcPr>
          <w:p w14:paraId="2D77DC34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投资计划分解（转发）用时</w:t>
            </w:r>
          </w:p>
        </w:tc>
        <w:tc>
          <w:tcPr>
            <w:tcW w:w="1603" w:type="dxa"/>
            <w:noWrap w:val="0"/>
            <w:vAlign w:val="center"/>
          </w:tcPr>
          <w:p w14:paraId="69E123BF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≤</w:t>
            </w:r>
            <w:r>
              <w:rPr>
                <w:rFonts w:hint="eastAsia" w:ascii="Times New Roman" w:hAnsi="Times New Roman" w:eastAsia="方正仿宋_GBK"/>
                <w:szCs w:val="21"/>
                <w:lang w:val="en-US" w:eastAsia="zh-CN"/>
              </w:rPr>
              <w:t>1</w:t>
            </w:r>
            <w:r>
              <w:rPr>
                <w:rFonts w:ascii="Times New Roman" w:hAnsi="Times New Roman" w:eastAsia="方正仿宋_GBK"/>
                <w:szCs w:val="21"/>
              </w:rPr>
              <w:t>0个工作日</w:t>
            </w:r>
          </w:p>
        </w:tc>
      </w:tr>
      <w:tr w14:paraId="576A1B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exact"/>
        </w:trPr>
        <w:tc>
          <w:tcPr>
            <w:tcW w:w="1099" w:type="dxa"/>
            <w:vMerge w:val="continue"/>
            <w:noWrap w:val="0"/>
            <w:vAlign w:val="center"/>
          </w:tcPr>
          <w:p w14:paraId="7D5FA921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</w:p>
        </w:tc>
        <w:tc>
          <w:tcPr>
            <w:tcW w:w="1099" w:type="dxa"/>
            <w:vMerge w:val="continue"/>
            <w:noWrap w:val="0"/>
            <w:vAlign w:val="center"/>
          </w:tcPr>
          <w:p w14:paraId="0FA7FE39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</w:p>
        </w:tc>
        <w:tc>
          <w:tcPr>
            <w:tcW w:w="1564" w:type="dxa"/>
            <w:vMerge w:val="continue"/>
            <w:noWrap w:val="0"/>
            <w:vAlign w:val="center"/>
          </w:tcPr>
          <w:p w14:paraId="116C6BB9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</w:p>
        </w:tc>
        <w:tc>
          <w:tcPr>
            <w:tcW w:w="3275" w:type="dxa"/>
            <w:gridSpan w:val="2"/>
            <w:noWrap w:val="0"/>
            <w:vAlign w:val="center"/>
          </w:tcPr>
          <w:p w14:paraId="7FC71E89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“两个责任”按项目落实到位率</w:t>
            </w:r>
          </w:p>
        </w:tc>
        <w:tc>
          <w:tcPr>
            <w:tcW w:w="1603" w:type="dxa"/>
            <w:noWrap w:val="0"/>
            <w:vAlign w:val="center"/>
          </w:tcPr>
          <w:p w14:paraId="09022297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100%</w:t>
            </w:r>
          </w:p>
        </w:tc>
      </w:tr>
      <w:tr w14:paraId="7AC9E4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exact"/>
        </w:trPr>
        <w:tc>
          <w:tcPr>
            <w:tcW w:w="1099" w:type="dxa"/>
            <w:vMerge w:val="continue"/>
            <w:noWrap w:val="0"/>
            <w:vAlign w:val="center"/>
          </w:tcPr>
          <w:p w14:paraId="519A9454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</w:p>
        </w:tc>
        <w:tc>
          <w:tcPr>
            <w:tcW w:w="1099" w:type="dxa"/>
            <w:vMerge w:val="continue"/>
            <w:noWrap w:val="0"/>
            <w:vAlign w:val="center"/>
          </w:tcPr>
          <w:p w14:paraId="7214C210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</w:p>
        </w:tc>
        <w:tc>
          <w:tcPr>
            <w:tcW w:w="1564" w:type="dxa"/>
            <w:vMerge w:val="restart"/>
            <w:noWrap w:val="0"/>
            <w:vAlign w:val="center"/>
          </w:tcPr>
          <w:p w14:paraId="3A541E15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资金管理指标</w:t>
            </w:r>
          </w:p>
        </w:tc>
        <w:tc>
          <w:tcPr>
            <w:tcW w:w="3275" w:type="dxa"/>
            <w:gridSpan w:val="2"/>
            <w:noWrap w:val="0"/>
            <w:vAlign w:val="center"/>
          </w:tcPr>
          <w:p w14:paraId="666E40F4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中央预算内投资支付率</w:t>
            </w:r>
          </w:p>
        </w:tc>
        <w:tc>
          <w:tcPr>
            <w:tcW w:w="1603" w:type="dxa"/>
            <w:noWrap w:val="0"/>
            <w:vAlign w:val="center"/>
          </w:tcPr>
          <w:p w14:paraId="163909F4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≥95%</w:t>
            </w:r>
          </w:p>
        </w:tc>
      </w:tr>
      <w:tr w14:paraId="3D13F6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exact"/>
        </w:trPr>
        <w:tc>
          <w:tcPr>
            <w:tcW w:w="1099" w:type="dxa"/>
            <w:vMerge w:val="continue"/>
            <w:noWrap w:val="0"/>
            <w:vAlign w:val="center"/>
          </w:tcPr>
          <w:p w14:paraId="079F741E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</w:p>
        </w:tc>
        <w:tc>
          <w:tcPr>
            <w:tcW w:w="1099" w:type="dxa"/>
            <w:vMerge w:val="continue"/>
            <w:noWrap w:val="0"/>
            <w:vAlign w:val="center"/>
          </w:tcPr>
          <w:p w14:paraId="1FA03FFA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</w:p>
        </w:tc>
        <w:tc>
          <w:tcPr>
            <w:tcW w:w="1564" w:type="dxa"/>
            <w:vMerge w:val="continue"/>
            <w:noWrap w:val="0"/>
            <w:vAlign w:val="center"/>
          </w:tcPr>
          <w:p w14:paraId="33128743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</w:p>
        </w:tc>
        <w:tc>
          <w:tcPr>
            <w:tcW w:w="3275" w:type="dxa"/>
            <w:gridSpan w:val="2"/>
            <w:noWrap w:val="0"/>
            <w:vAlign w:val="center"/>
          </w:tcPr>
          <w:p w14:paraId="57911FCF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年度计划投资完成率</w:t>
            </w:r>
          </w:p>
        </w:tc>
        <w:tc>
          <w:tcPr>
            <w:tcW w:w="1603" w:type="dxa"/>
            <w:noWrap w:val="0"/>
            <w:vAlign w:val="center"/>
          </w:tcPr>
          <w:p w14:paraId="68865AE2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≥95%</w:t>
            </w:r>
          </w:p>
        </w:tc>
      </w:tr>
      <w:tr w14:paraId="765392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exact"/>
        </w:trPr>
        <w:tc>
          <w:tcPr>
            <w:tcW w:w="1099" w:type="dxa"/>
            <w:vMerge w:val="continue"/>
            <w:noWrap w:val="0"/>
            <w:vAlign w:val="center"/>
          </w:tcPr>
          <w:p w14:paraId="048EEAEC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</w:p>
        </w:tc>
        <w:tc>
          <w:tcPr>
            <w:tcW w:w="1099" w:type="dxa"/>
            <w:vMerge w:val="continue"/>
            <w:noWrap w:val="0"/>
            <w:vAlign w:val="center"/>
          </w:tcPr>
          <w:p w14:paraId="700E018F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</w:p>
        </w:tc>
        <w:tc>
          <w:tcPr>
            <w:tcW w:w="1564" w:type="dxa"/>
            <w:vMerge w:val="restart"/>
            <w:noWrap w:val="0"/>
            <w:vAlign w:val="center"/>
          </w:tcPr>
          <w:p w14:paraId="1B3AD2B1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项目管理指标</w:t>
            </w:r>
          </w:p>
        </w:tc>
        <w:tc>
          <w:tcPr>
            <w:tcW w:w="3275" w:type="dxa"/>
            <w:gridSpan w:val="2"/>
            <w:noWrap w:val="0"/>
            <w:vAlign w:val="center"/>
          </w:tcPr>
          <w:p w14:paraId="1E238A6B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项目开工率</w:t>
            </w:r>
          </w:p>
        </w:tc>
        <w:tc>
          <w:tcPr>
            <w:tcW w:w="1603" w:type="dxa"/>
            <w:noWrap w:val="0"/>
            <w:vAlign w:val="center"/>
          </w:tcPr>
          <w:p w14:paraId="257043F1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≥95%</w:t>
            </w:r>
          </w:p>
        </w:tc>
      </w:tr>
      <w:tr w14:paraId="296108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exact"/>
        </w:trPr>
        <w:tc>
          <w:tcPr>
            <w:tcW w:w="1099" w:type="dxa"/>
            <w:vMerge w:val="continue"/>
            <w:noWrap w:val="0"/>
            <w:vAlign w:val="center"/>
          </w:tcPr>
          <w:p w14:paraId="4EE18D81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</w:p>
        </w:tc>
        <w:tc>
          <w:tcPr>
            <w:tcW w:w="1099" w:type="dxa"/>
            <w:vMerge w:val="continue"/>
            <w:noWrap w:val="0"/>
            <w:vAlign w:val="center"/>
          </w:tcPr>
          <w:p w14:paraId="02F4568E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</w:p>
        </w:tc>
        <w:tc>
          <w:tcPr>
            <w:tcW w:w="1564" w:type="dxa"/>
            <w:vMerge w:val="continue"/>
            <w:noWrap w:val="0"/>
            <w:vAlign w:val="top"/>
          </w:tcPr>
          <w:p w14:paraId="25C125BC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</w:p>
        </w:tc>
        <w:tc>
          <w:tcPr>
            <w:tcW w:w="3275" w:type="dxa"/>
            <w:gridSpan w:val="2"/>
            <w:noWrap w:val="0"/>
            <w:vAlign w:val="center"/>
          </w:tcPr>
          <w:p w14:paraId="00892DA8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超规模、超标准、超概算项目比例</w:t>
            </w:r>
          </w:p>
        </w:tc>
        <w:tc>
          <w:tcPr>
            <w:tcW w:w="1603" w:type="dxa"/>
            <w:noWrap w:val="0"/>
            <w:vAlign w:val="center"/>
          </w:tcPr>
          <w:p w14:paraId="7567CA42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0</w:t>
            </w:r>
          </w:p>
        </w:tc>
      </w:tr>
      <w:tr w14:paraId="45F27D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exact"/>
        </w:trPr>
        <w:tc>
          <w:tcPr>
            <w:tcW w:w="1099" w:type="dxa"/>
            <w:vMerge w:val="continue"/>
            <w:noWrap w:val="0"/>
            <w:vAlign w:val="center"/>
          </w:tcPr>
          <w:p w14:paraId="2319395B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</w:p>
        </w:tc>
        <w:tc>
          <w:tcPr>
            <w:tcW w:w="1099" w:type="dxa"/>
            <w:vMerge w:val="continue"/>
            <w:noWrap w:val="0"/>
            <w:vAlign w:val="center"/>
          </w:tcPr>
          <w:p w14:paraId="48E87020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</w:p>
        </w:tc>
        <w:tc>
          <w:tcPr>
            <w:tcW w:w="1564" w:type="dxa"/>
            <w:noWrap w:val="0"/>
            <w:vAlign w:val="center"/>
          </w:tcPr>
          <w:p w14:paraId="52EE5EA3">
            <w:pPr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监督检查指标</w:t>
            </w:r>
          </w:p>
        </w:tc>
        <w:tc>
          <w:tcPr>
            <w:tcW w:w="3275" w:type="dxa"/>
            <w:gridSpan w:val="2"/>
            <w:noWrap w:val="0"/>
            <w:vAlign w:val="center"/>
          </w:tcPr>
          <w:p w14:paraId="2596DC86">
            <w:pPr>
              <w:snapToGrid w:val="0"/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审计、督查、巡视等指出问题项目比例</w:t>
            </w:r>
          </w:p>
        </w:tc>
        <w:tc>
          <w:tcPr>
            <w:tcW w:w="1603" w:type="dxa"/>
            <w:noWrap w:val="0"/>
            <w:vAlign w:val="center"/>
          </w:tcPr>
          <w:p w14:paraId="625A5501">
            <w:pPr>
              <w:snapToGrid w:val="0"/>
              <w:jc w:val="center"/>
              <w:rPr>
                <w:rFonts w:ascii="Times New Roman" w:hAnsi="Times New Roman" w:eastAsia="方正仿宋_GBK"/>
                <w:szCs w:val="21"/>
              </w:rPr>
            </w:pPr>
            <w:r>
              <w:rPr>
                <w:rFonts w:ascii="Times New Roman" w:hAnsi="Times New Roman" w:eastAsia="方正仿宋_GBK"/>
                <w:szCs w:val="21"/>
              </w:rPr>
              <w:t>≤1%</w:t>
            </w:r>
          </w:p>
        </w:tc>
      </w:tr>
    </w:tbl>
    <w:p w14:paraId="2774555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楷体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D60B89"/>
    <w:rsid w:val="02094F64"/>
    <w:rsid w:val="0539061F"/>
    <w:rsid w:val="0C3B6B9E"/>
    <w:rsid w:val="13386F35"/>
    <w:rsid w:val="13EA0AB8"/>
    <w:rsid w:val="14AD2CEF"/>
    <w:rsid w:val="1B4E4EE8"/>
    <w:rsid w:val="22FE6DF7"/>
    <w:rsid w:val="276B3510"/>
    <w:rsid w:val="282A6A75"/>
    <w:rsid w:val="2ED539F1"/>
    <w:rsid w:val="34873421"/>
    <w:rsid w:val="372C2DF8"/>
    <w:rsid w:val="41F43A3D"/>
    <w:rsid w:val="47F23321"/>
    <w:rsid w:val="4C6360CA"/>
    <w:rsid w:val="4D6B3488"/>
    <w:rsid w:val="526947C2"/>
    <w:rsid w:val="528618AE"/>
    <w:rsid w:val="52FE0E47"/>
    <w:rsid w:val="5A6776CD"/>
    <w:rsid w:val="5E5C6613"/>
    <w:rsid w:val="605807A0"/>
    <w:rsid w:val="6B9E0A74"/>
    <w:rsid w:val="6C627CF4"/>
    <w:rsid w:val="70042156"/>
    <w:rsid w:val="769C5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0" w:afterAutospacing="0"/>
      <w:ind w:firstLine="880" w:firstLineChars="200"/>
      <w:jc w:val="left"/>
      <w:outlineLvl w:val="0"/>
    </w:pPr>
    <w:rPr>
      <w:rFonts w:ascii="黑体" w:hAnsi="黑体" w:eastAsia="黑体" w:cs="宋体"/>
      <w:bCs/>
      <w:kern w:val="44"/>
      <w:szCs w:val="48"/>
      <w:lang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240" w:lineRule="auto"/>
      <w:ind w:firstLine="640" w:firstLineChars="200"/>
      <w:outlineLvl w:val="1"/>
    </w:pPr>
    <w:rPr>
      <w:rFonts w:ascii="楷体" w:hAnsi="楷体" w:eastAsia="楷体"/>
      <w:b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240" w:lineRule="auto"/>
      <w:outlineLvl w:val="2"/>
    </w:pPr>
    <w:rPr>
      <w:rFonts w:ascii="Times New Roman" w:hAnsi="Times New Roman" w:eastAsia="仿宋_GB2312"/>
      <w:b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oc 3"/>
    <w:basedOn w:val="1"/>
    <w:next w:val="1"/>
    <w:qFormat/>
    <w:uiPriority w:val="0"/>
    <w:pPr>
      <w:ind w:left="840" w:leftChars="400" w:firstLine="0" w:firstLineChars="0"/>
    </w:pPr>
    <w:rPr>
      <w:rFonts w:eastAsia="楷体"/>
    </w:rPr>
  </w:style>
  <w:style w:type="paragraph" w:styleId="6">
    <w:name w:val="toc 1"/>
    <w:basedOn w:val="1"/>
    <w:next w:val="1"/>
    <w:qFormat/>
    <w:uiPriority w:val="0"/>
    <w:pPr>
      <w:ind w:firstLine="0" w:firstLineChars="0"/>
    </w:pPr>
    <w:rPr>
      <w:rFonts w:eastAsia="方正小标宋简体"/>
    </w:rPr>
  </w:style>
  <w:style w:type="paragraph" w:styleId="7">
    <w:name w:val="toc 2"/>
    <w:basedOn w:val="1"/>
    <w:next w:val="1"/>
    <w:qFormat/>
    <w:uiPriority w:val="0"/>
    <w:pPr>
      <w:ind w:left="420" w:leftChars="200" w:firstLine="0" w:firstLineChars="0"/>
    </w:pPr>
    <w:rPr>
      <w:rFonts w:eastAsia="黑体"/>
    </w:rPr>
  </w:style>
  <w:style w:type="paragraph" w:styleId="8">
    <w:name w:val="Body Text 2"/>
    <w:basedOn w:val="1"/>
    <w:qFormat/>
    <w:uiPriority w:val="0"/>
    <w:pPr>
      <w:spacing w:afterLines="0" w:afterAutospacing="0" w:line="240" w:lineRule="auto"/>
    </w:pPr>
    <w:rPr>
      <w:rFonts w:ascii="Times New Roman" w:hAnsi="Times New Roma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2022-07-08T03:02:00Z</dcterms:created>
  <dc:creator>admin</dc:creator>
  <cp:lastModifiedBy>嘻嘻</cp:lastModifiedBy>
  <dcterms:modified xsi:type="dcterms:W3CDTF">2025-07-14T02:22:22Z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182A88D2DCB44A4DB87FF3D3D829C7C2</vt:lpwstr>
  </property>
  <property fmtid="{D5CDD505-2E9C-101B-9397-08002B2CF9AE}" pid="4" name="KSOTemplateDocerSaveRecord">
    <vt:lpwstr>eyJoZGlkIjoiMzAwMjdiM2I4NjIzNWMzM2E4YWIwZjRmODE3YWFiZWQiLCJ1c2VySWQiOiIyMTM1NDA5NTAifQ==</vt:lpwstr>
  </property>
</Properties>
</file>