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sz w:val="44"/>
          <w:szCs w:val="44"/>
          <w:lang w:eastAsia="zh-CN"/>
        </w:rPr>
      </w:pPr>
    </w:p>
    <w:p>
      <w:pPr>
        <w:jc w:val="center"/>
        <w:rPr>
          <w:rFonts w:hint="eastAsia" w:ascii="宋体" w:hAnsi="宋体" w:eastAsia="宋体" w:cs="宋体"/>
          <w:sz w:val="44"/>
          <w:szCs w:val="44"/>
        </w:rPr>
      </w:pPr>
      <w:r>
        <w:rPr>
          <w:rFonts w:hint="eastAsia" w:ascii="宋体" w:hAnsi="宋体" w:eastAsia="宋体" w:cs="宋体"/>
          <w:sz w:val="44"/>
          <w:szCs w:val="44"/>
          <w:lang w:eastAsia="zh-CN"/>
        </w:rPr>
        <w:t>无极</w:t>
      </w:r>
      <w:r>
        <w:rPr>
          <w:rFonts w:hint="eastAsia" w:ascii="宋体" w:hAnsi="宋体" w:eastAsia="宋体" w:cs="宋体"/>
          <w:sz w:val="44"/>
          <w:szCs w:val="44"/>
        </w:rPr>
        <w:t>县水利局2025年“双随机、一公开”</w:t>
      </w:r>
    </w:p>
    <w:p>
      <w:pPr>
        <w:jc w:val="center"/>
        <w:rPr>
          <w:rFonts w:hint="eastAsia" w:ascii="宋体" w:hAnsi="宋体" w:eastAsia="宋体" w:cs="宋体"/>
          <w:sz w:val="44"/>
          <w:szCs w:val="44"/>
        </w:rPr>
      </w:pPr>
      <w:r>
        <w:rPr>
          <w:rFonts w:hint="eastAsia" w:ascii="宋体" w:hAnsi="宋体" w:eastAsia="宋体" w:cs="宋体"/>
          <w:sz w:val="44"/>
          <w:szCs w:val="44"/>
        </w:rPr>
        <w:t>监管工作实施方案</w:t>
      </w:r>
    </w:p>
    <w:p>
      <w:pPr>
        <w:rPr>
          <w:rFonts w:hint="eastAsia"/>
        </w:rPr>
      </w:pPr>
      <w:bookmarkStart w:id="0" w:name="_GoBack"/>
      <w:bookmarkEnd w:id="0"/>
    </w:p>
    <w:p>
      <w:pPr>
        <w:ind w:firstLine="560" w:firstLineChars="200"/>
        <w:rPr>
          <w:rFonts w:hint="eastAsia" w:ascii="宋体" w:hAnsi="宋体" w:eastAsia="宋体" w:cs="宋体"/>
          <w:sz w:val="28"/>
          <w:szCs w:val="28"/>
        </w:rPr>
      </w:pPr>
      <w:r>
        <w:rPr>
          <w:rFonts w:hint="eastAsia" w:ascii="宋体" w:hAnsi="宋体" w:eastAsia="宋体" w:cs="宋体"/>
          <w:sz w:val="28"/>
          <w:szCs w:val="28"/>
        </w:rPr>
        <w:t>按照</w:t>
      </w:r>
      <w:r>
        <w:rPr>
          <w:rFonts w:hint="eastAsia" w:ascii="宋体" w:hAnsi="宋体" w:eastAsia="宋体" w:cs="宋体"/>
          <w:sz w:val="28"/>
          <w:szCs w:val="28"/>
          <w:lang w:eastAsia="zh-CN"/>
        </w:rPr>
        <w:t>无极县</w:t>
      </w:r>
      <w:r>
        <w:rPr>
          <w:rFonts w:hint="eastAsia" w:ascii="宋体" w:hAnsi="宋体" w:eastAsia="宋体" w:cs="宋体"/>
          <w:sz w:val="28"/>
          <w:szCs w:val="28"/>
        </w:rPr>
        <w:t>双随机办工作部署要求，进一步深化“放管服”改革,优化营商环境，推进我局“双随机、一公开”监管工作开展，提升监管效能，促进执法公平、公正，结合我局实际，制定本方案。</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一、工作思路及目标</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（一）完善工作机制，提升抽查工作规范化水平。</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（二）强化部门联合，提升联合抽查的地位和作用。</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（三）实施差异化监管，提升监管执法效能。</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（四）完善工作流程，实现抽查工作的闭环管理。</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二、主要工作任务</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（一）强化基础支撑</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依托河北省双随机执法监管平台（以下简称监管平台），根据机构改革后部门和职能调整情况，在平台中持续完善“一单两库”等基础信息。根据法律法规规章立改废释情况，结合自身实际情况，形成本级的抽查事项清单。动态调整本级检查对象名录库和执法检查人员名录库，确保本级本部门检查对象和执法人员“应纳尽纳”。利用分类标签库完成对本级检查对象和执法检查人员的分类标注，实现对检查对象的精准抽取、对执法人员的精准匹配，提升监管效能。</w:t>
      </w:r>
    </w:p>
    <w:p>
      <w:pPr>
        <w:rPr>
          <w:rFonts w:hint="eastAsia" w:ascii="宋体" w:hAnsi="宋体" w:eastAsia="宋体" w:cs="宋体"/>
          <w:sz w:val="28"/>
          <w:szCs w:val="28"/>
        </w:rPr>
      </w:pPr>
      <w:r>
        <w:rPr>
          <w:rFonts w:hint="eastAsia" w:ascii="宋体" w:hAnsi="宋体" w:eastAsia="宋体" w:cs="宋体"/>
          <w:sz w:val="28"/>
          <w:szCs w:val="28"/>
        </w:rPr>
        <w:t xml:space="preserve">    （二）强化联合监管</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以“一业一查”部门联合随机抽查事项清单为指导，以科学合理有效联合为前提，结合本级监管实际，不断充实、细化、完善本级“一业一查”部门联合随机抽查清单及抽查工作指引，制定本级“一业一查”部门联合随机抽查主体库及检查人员库。</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除特殊情况外，联合抽查次数占比、户数占比均实现100%，使部门联合抽查成为日常监管的主要方式，切实压缩涉企检查数量，不断减少对企业正常经营活动的干扰。</w:t>
      </w:r>
    </w:p>
    <w:p>
      <w:pPr>
        <w:rPr>
          <w:rFonts w:hint="eastAsia" w:ascii="宋体" w:hAnsi="宋体" w:eastAsia="宋体" w:cs="宋体"/>
          <w:sz w:val="28"/>
          <w:szCs w:val="28"/>
        </w:rPr>
      </w:pPr>
      <w:r>
        <w:rPr>
          <w:rFonts w:hint="eastAsia" w:ascii="宋体" w:hAnsi="宋体" w:eastAsia="宋体" w:cs="宋体"/>
          <w:sz w:val="28"/>
          <w:szCs w:val="28"/>
        </w:rPr>
        <w:t xml:space="preserve">    （三）着力提升监管效能</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积极推进“双随机、一公开”监管与企业信用风险分级分类相结合，以制定年度随机抽查计划为抓手，将企业信用风险分级分类结果与“双随机、一公开”监管深度融合，运用信用风险分级分类开展的抽查次数占抽查企业总次数的比例要达到100%。推动重点监管与“双随机、一公开”监管有效对接，对重点检查事项、重要监管领域及高风险主体要通过加大抽查比例和频次等监管措施，守住安全底线。</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充分利用信息化手段，通过大数据分析、重点指标监测等手段，加大对抽查检查结果的运用，探索推进企业信用风险监测预警，在预判式监管上实现新突破，推动监管关口前移。</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大力推广非现场检查，针对相关监管领域、特定监管对象或抽查事项能通过书面核查、信息共享、网络监测、视频检查等方式监管的，不得入企实施现场检查，压缩现场检查频次，减轻企业负担。</w:t>
      </w:r>
    </w:p>
    <w:p>
      <w:pPr>
        <w:rPr>
          <w:rFonts w:hint="eastAsia" w:ascii="宋体" w:hAnsi="宋体" w:eastAsia="宋体" w:cs="宋体"/>
          <w:sz w:val="28"/>
          <w:szCs w:val="28"/>
          <w:lang w:eastAsia="zh-CN"/>
        </w:rPr>
      </w:pPr>
      <w:r>
        <w:rPr>
          <w:rFonts w:hint="eastAsia" w:ascii="宋体" w:hAnsi="宋体" w:eastAsia="宋体" w:cs="宋体"/>
          <w:sz w:val="28"/>
          <w:szCs w:val="28"/>
        </w:rPr>
        <w:t xml:space="preserve">   （四）规范随机抽查工作程序</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认真落实《石家庄市“双随机、一公开”监管工作规范》，严格规范随机抽查工作程序，提高“双随机、一公开”监管规范化、标准化水平。严格按照部门年度随机抽查计划开展抽查，加大组织随机抽查前的业务培训力度，提升抽查效果；年度计划、实施方案、抽查结果及后续处理结果要及时向社会公开。对抽查发现的各类问题，要按照“谁审批、谁监管，谁主管、谁监管”和“谁管辖、谁负责”的原则做好后续监管衔接，依法加大惩处力度，并及时将处罚结果对社会公开，涉嫌犯罪的及时移送司法机关，实现监管闭环。加大对抽查发现的违法失信行为的信用惩戒力度，实施联合惩戒，增强随机抽查的震慑力，提升经营主体诚信守法经营自律意识，推动构建企业自律、行业自治、政府监管、社会监督的多元化共治格局。</w:t>
      </w:r>
    </w:p>
    <w:p>
      <w:pPr>
        <w:rPr>
          <w:rFonts w:hint="eastAsia" w:ascii="宋体" w:hAnsi="宋体" w:eastAsia="宋体" w:cs="宋体"/>
          <w:sz w:val="28"/>
          <w:szCs w:val="28"/>
        </w:rPr>
      </w:pPr>
      <w:r>
        <w:rPr>
          <w:rFonts w:hint="eastAsia" w:ascii="宋体" w:hAnsi="宋体" w:eastAsia="宋体" w:cs="宋体"/>
          <w:sz w:val="28"/>
          <w:szCs w:val="28"/>
        </w:rPr>
        <w:t xml:space="preserve">   （五）加大宣传培训力度</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认真梳理总结随机抽查工作经验，加大宣传报道力度，积极通过新闻媒体、广播电视、官方网站等方式加强宣传报道，在实地检查中宣讲政策、答疑解惑，不断增强企业、社会对双随机抽查监管方式的认知度，提升“双随机、一公开”监管的社会影响力和公众知晓度。</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将随机抽查工作培训常态化开展，既加强对执法人员的业务培训和管理人员的系统使用培训，又强化对随机抽查工作规范标准的培训，提高基层执法人员综合素质和执法能力，满足联合抽查工作需求，实现抽查工作规范有序、抽查结果认定统一。</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三、工作要求</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（一）加强组织领导</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充分认识“双随机、一公开”监管对于构建新型监管机制、提升监管效能、优化营商环境的重要作用，进一步细化工作目标和推进举措，确保各项工作任务落到实处、取得实效，为我县进一步优化营商环境做出积极贡献。</w:t>
      </w:r>
    </w:p>
    <w:p>
      <w:pPr>
        <w:rPr>
          <w:rFonts w:hint="eastAsia" w:ascii="宋体" w:hAnsi="宋体" w:eastAsia="宋体" w:cs="宋体"/>
          <w:sz w:val="28"/>
          <w:szCs w:val="28"/>
        </w:rPr>
      </w:pPr>
      <w:r>
        <w:rPr>
          <w:rFonts w:hint="eastAsia" w:ascii="宋体" w:hAnsi="宋体" w:eastAsia="宋体" w:cs="宋体"/>
          <w:sz w:val="28"/>
          <w:szCs w:val="28"/>
        </w:rPr>
        <w:t xml:space="preserve">   （二）加强协调配合</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认真落实主体责任，按照县政府和上级主管部门的要求，主动开展工作。相关科室牢固树立“一盘棋”思想，相互支持、密切配合、协同促进，合力推进各项工作任务落实。</w:t>
      </w:r>
    </w:p>
    <w:p>
      <w:pPr>
        <w:rPr>
          <w:rFonts w:hint="eastAsia" w:ascii="宋体" w:hAnsi="宋体" w:eastAsia="宋体" w:cs="宋体"/>
          <w:sz w:val="28"/>
          <w:szCs w:val="28"/>
        </w:rPr>
      </w:pPr>
      <w:r>
        <w:rPr>
          <w:rFonts w:hint="eastAsia" w:ascii="宋体" w:hAnsi="宋体" w:eastAsia="宋体" w:cs="宋体"/>
          <w:sz w:val="28"/>
          <w:szCs w:val="28"/>
        </w:rPr>
        <w:t xml:space="preserve">   （三）强化跟踪，提升工作实效</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要在提升随机抽查问题发现率上做文章，着力提升随机抽查工作效能。要关注对抽查计划的制定与落实、按时限完成结果录入、发现问题后续处理等环节，坚决克服方案制定不认真、现场检查走过场、结果录入审核把关不严等现象。</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5BD129C"/>
    <w:rsid w:val="45BD12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2025-09-02T02:25:00Z</dcterms:created>
  <dc:creator>Administrator</dc:creator>
  <cp:lastModifiedBy>Administrator</cp:lastModifiedBy>
  <dcterms:modified xsi:type="dcterms:W3CDTF">2025-09-02T02:34:25Z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