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一、无极县政府投资项目代建中心收支预算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一、无极县政府投资项目代建中心收支预算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115.10</w:t>
            </w:r>
          </w:p>
        </w:tc>
        <w:tc>
          <w:tcPr>
            <w:tcW w:w="4535" w:type="dxa"/>
            <w:vAlign w:val="center"/>
          </w:tcPr>
          <w:p>
            <w:pPr>
              <w:pStyle w:val="12"/>
            </w:pPr>
            <w:r>
              <w:t>一、一般公共服务支出</w:t>
            </w:r>
          </w:p>
        </w:tc>
        <w:tc>
          <w:tcPr>
            <w:tcW w:w="2126" w:type="dxa"/>
            <w:vAlign w:val="center"/>
          </w:tcPr>
          <w:p>
            <w:pPr>
              <w:pStyle w:val="11"/>
            </w:pPr>
            <w:r>
              <w:t>85.90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115.10</w:t>
            </w:r>
          </w:p>
        </w:tc>
        <w:tc>
          <w:tcPr>
            <w:tcW w:w="4535" w:type="dxa"/>
            <w:vAlign w:val="center"/>
          </w:tcPr>
          <w:p>
            <w:pPr>
              <w:pStyle w:val="14"/>
            </w:pPr>
            <w:r>
              <w:t>本年支出合计</w:t>
            </w:r>
          </w:p>
        </w:tc>
        <w:tc>
          <w:tcPr>
            <w:tcW w:w="2126" w:type="dxa"/>
            <w:vAlign w:val="center"/>
          </w:tcPr>
          <w:p>
            <w:pPr>
              <w:pStyle w:val="15"/>
            </w:pPr>
            <w:r>
              <w:t>115.10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115.10</w:t>
            </w:r>
          </w:p>
        </w:tc>
        <w:tc>
          <w:tcPr>
            <w:tcW w:w="4535" w:type="dxa"/>
            <w:vAlign w:val="center"/>
          </w:tcPr>
          <w:p>
            <w:pPr>
              <w:pStyle w:val="14"/>
            </w:pPr>
            <w:r>
              <w:t>支出总计</w:t>
            </w:r>
          </w:p>
        </w:tc>
        <w:tc>
          <w:tcPr>
            <w:tcW w:w="2126" w:type="dxa"/>
            <w:vAlign w:val="center"/>
          </w:tcPr>
          <w:p>
            <w:pPr>
              <w:pStyle w:val="15"/>
            </w:pPr>
            <w:r>
              <w:t>115.10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115.10</w:t>
            </w:r>
          </w:p>
        </w:tc>
        <w:tc>
          <w:tcPr>
            <w:tcW w:w="1134" w:type="dxa"/>
            <w:vAlign w:val="center"/>
          </w:tcPr>
          <w:p>
            <w:pPr>
              <w:pStyle w:val="15"/>
            </w:pPr>
            <w:r>
              <w:t>115.10</w:t>
            </w:r>
          </w:p>
        </w:tc>
        <w:tc>
          <w:tcPr>
            <w:tcW w:w="1134" w:type="dxa"/>
            <w:vAlign w:val="center"/>
          </w:tcPr>
          <w:p>
            <w:pPr>
              <w:pStyle w:val="15"/>
            </w:pPr>
            <w:r>
              <w:t>115.10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115.10</w:t>
            </w:r>
          </w:p>
        </w:tc>
        <w:tc>
          <w:tcPr>
            <w:tcW w:w="1361" w:type="dxa"/>
            <w:vAlign w:val="center"/>
          </w:tcPr>
          <w:p>
            <w:pPr>
              <w:pStyle w:val="15"/>
            </w:pPr>
            <w:r>
              <w:t>115.10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85.90</w:t>
            </w:r>
          </w:p>
        </w:tc>
        <w:tc>
          <w:tcPr>
            <w:tcW w:w="1361" w:type="dxa"/>
            <w:vAlign w:val="center"/>
          </w:tcPr>
          <w:p>
            <w:pPr>
              <w:pStyle w:val="11"/>
            </w:pPr>
            <w:r>
              <w:t>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85.90</w:t>
            </w:r>
          </w:p>
        </w:tc>
        <w:tc>
          <w:tcPr>
            <w:tcW w:w="1361" w:type="dxa"/>
            <w:vAlign w:val="center"/>
          </w:tcPr>
          <w:p>
            <w:pPr>
              <w:pStyle w:val="11"/>
            </w:pPr>
            <w:r>
              <w:t>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85.90</w:t>
            </w:r>
          </w:p>
        </w:tc>
        <w:tc>
          <w:tcPr>
            <w:tcW w:w="1361" w:type="dxa"/>
            <w:vAlign w:val="center"/>
          </w:tcPr>
          <w:p>
            <w:pPr>
              <w:pStyle w:val="11"/>
            </w:pPr>
            <w:r>
              <w:t>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22.20</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1.20</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115.10</w:t>
            </w:r>
          </w:p>
        </w:tc>
        <w:tc>
          <w:tcPr>
            <w:tcW w:w="3402" w:type="dxa"/>
            <w:vAlign w:val="center"/>
          </w:tcPr>
          <w:p>
            <w:pPr>
              <w:pStyle w:val="12"/>
            </w:pPr>
            <w:r>
              <w:t>一、一般公共服务支出</w:t>
            </w:r>
          </w:p>
        </w:tc>
        <w:tc>
          <w:tcPr>
            <w:tcW w:w="1474" w:type="dxa"/>
            <w:vAlign w:val="center"/>
          </w:tcPr>
          <w:p>
            <w:pPr>
              <w:pStyle w:val="11"/>
            </w:pPr>
            <w:r>
              <w:t>85.90</w:t>
            </w:r>
          </w:p>
        </w:tc>
        <w:tc>
          <w:tcPr>
            <w:tcW w:w="1474" w:type="dxa"/>
            <w:vAlign w:val="center"/>
          </w:tcPr>
          <w:p>
            <w:pPr>
              <w:pStyle w:val="11"/>
            </w:pPr>
            <w:r>
              <w:t>85.90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22.20</w:t>
            </w:r>
          </w:p>
        </w:tc>
        <w:tc>
          <w:tcPr>
            <w:tcW w:w="1474" w:type="dxa"/>
            <w:vAlign w:val="center"/>
          </w:tcPr>
          <w:p>
            <w:pPr>
              <w:pStyle w:val="11"/>
            </w:pPr>
            <w:r>
              <w:t>22.20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7.00</w:t>
            </w:r>
          </w:p>
        </w:tc>
        <w:tc>
          <w:tcPr>
            <w:tcW w:w="1474" w:type="dxa"/>
            <w:vAlign w:val="center"/>
          </w:tcPr>
          <w:p>
            <w:pPr>
              <w:pStyle w:val="11"/>
            </w:pPr>
            <w:r>
              <w:t>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115.10</w:t>
            </w:r>
          </w:p>
        </w:tc>
        <w:tc>
          <w:tcPr>
            <w:tcW w:w="3402" w:type="dxa"/>
            <w:vAlign w:val="center"/>
          </w:tcPr>
          <w:p>
            <w:pPr>
              <w:pStyle w:val="14"/>
            </w:pPr>
            <w:r>
              <w:t>本年支出合计</w:t>
            </w:r>
          </w:p>
        </w:tc>
        <w:tc>
          <w:tcPr>
            <w:tcW w:w="1474" w:type="dxa"/>
            <w:vAlign w:val="center"/>
          </w:tcPr>
          <w:p>
            <w:pPr>
              <w:pStyle w:val="15"/>
            </w:pPr>
            <w:r>
              <w:t>115.10</w:t>
            </w:r>
          </w:p>
        </w:tc>
        <w:tc>
          <w:tcPr>
            <w:tcW w:w="1474" w:type="dxa"/>
            <w:vAlign w:val="center"/>
          </w:tcPr>
          <w:p>
            <w:pPr>
              <w:pStyle w:val="15"/>
            </w:pPr>
            <w:r>
              <w:t>115.10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115.10</w:t>
            </w:r>
          </w:p>
        </w:tc>
        <w:tc>
          <w:tcPr>
            <w:tcW w:w="3402" w:type="dxa"/>
            <w:vAlign w:val="center"/>
          </w:tcPr>
          <w:p>
            <w:pPr>
              <w:pStyle w:val="14"/>
            </w:pPr>
            <w:r>
              <w:t>支出总计</w:t>
            </w:r>
          </w:p>
        </w:tc>
        <w:tc>
          <w:tcPr>
            <w:tcW w:w="1474" w:type="dxa"/>
            <w:vAlign w:val="center"/>
          </w:tcPr>
          <w:p>
            <w:pPr>
              <w:pStyle w:val="15"/>
            </w:pPr>
            <w:r>
              <w:t>115.10</w:t>
            </w:r>
          </w:p>
        </w:tc>
        <w:tc>
          <w:tcPr>
            <w:tcW w:w="1474" w:type="dxa"/>
            <w:vAlign w:val="center"/>
          </w:tcPr>
          <w:p>
            <w:pPr>
              <w:pStyle w:val="15"/>
            </w:pPr>
            <w:r>
              <w:t>115.10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115.10</w:t>
            </w:r>
          </w:p>
        </w:tc>
        <w:tc>
          <w:tcPr>
            <w:tcW w:w="2551" w:type="dxa"/>
            <w:vAlign w:val="center"/>
          </w:tcPr>
          <w:p>
            <w:pPr>
              <w:pStyle w:val="15"/>
            </w:pPr>
            <w:r>
              <w:t>115.10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85.90</w:t>
            </w:r>
          </w:p>
        </w:tc>
        <w:tc>
          <w:tcPr>
            <w:tcW w:w="2551" w:type="dxa"/>
            <w:vAlign w:val="center"/>
          </w:tcPr>
          <w:p>
            <w:pPr>
              <w:pStyle w:val="11"/>
            </w:pPr>
            <w:r>
              <w:t>85.90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85.90</w:t>
            </w:r>
          </w:p>
        </w:tc>
        <w:tc>
          <w:tcPr>
            <w:tcW w:w="2551" w:type="dxa"/>
            <w:vAlign w:val="center"/>
          </w:tcPr>
          <w:p>
            <w:pPr>
              <w:pStyle w:val="11"/>
            </w:pPr>
            <w:r>
              <w:t>85.90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85.90</w:t>
            </w:r>
          </w:p>
        </w:tc>
        <w:tc>
          <w:tcPr>
            <w:tcW w:w="2551" w:type="dxa"/>
            <w:vAlign w:val="center"/>
          </w:tcPr>
          <w:p>
            <w:pPr>
              <w:pStyle w:val="11"/>
            </w:pPr>
            <w:r>
              <w:t>85.90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115.10</w:t>
            </w:r>
          </w:p>
        </w:tc>
        <w:tc>
          <w:tcPr>
            <w:tcW w:w="2551" w:type="dxa"/>
            <w:vAlign w:val="center"/>
          </w:tcPr>
          <w:p>
            <w:pPr>
              <w:pStyle w:val="15"/>
            </w:pPr>
            <w:r>
              <w:t>107.10</w:t>
            </w:r>
          </w:p>
        </w:tc>
        <w:tc>
          <w:tcPr>
            <w:tcW w:w="2551" w:type="dxa"/>
            <w:vAlign w:val="center"/>
          </w:tcPr>
          <w:p>
            <w:pPr>
              <w:pStyle w:val="15"/>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107.10</w:t>
            </w:r>
          </w:p>
        </w:tc>
        <w:tc>
          <w:tcPr>
            <w:tcW w:w="2551" w:type="dxa"/>
            <w:vAlign w:val="center"/>
          </w:tcPr>
          <w:p>
            <w:pPr>
              <w:pStyle w:val="11"/>
            </w:pPr>
            <w:r>
              <w:t>107.10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35.40</w:t>
            </w:r>
          </w:p>
        </w:tc>
        <w:tc>
          <w:tcPr>
            <w:tcW w:w="2551" w:type="dxa"/>
            <w:vAlign w:val="center"/>
          </w:tcPr>
          <w:p>
            <w:pPr>
              <w:pStyle w:val="11"/>
            </w:pPr>
            <w:r>
              <w:t>35.40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无极县政府投资项目代建中心2025年单位预算信息公开情况说明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按照《中华人民共和国预算法》、《地方预决算公开操作规程》和《关于进一步推进预算公开工作的实施意见》规定，现将无极县政府投资项目代建中心2025年单位预算公开如下：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代建中心成立以来，在县委、县政府的正确领导下，围绕全县发展大局，立足自身职能，解放思想，担当实干，牢牢抓住“项目建设”中心任务，全力以赴保安全、保质量、保进度、保廉洁、控资金，较为圆满的完成了各项目标任务。一是强化培训，提升业务能力。采取邀请专家专题讲座、业务骨干讲课等形式，定期组织干部职工学习政府采购、工程造价、施工管理等方面知识，提高人员业务水平，尽快成为分管工作的行家里手。二是完善制度，加强监督管理。聚焦资金拨付、招标采购、造价控制、施工管理等关键环节，健全完善代建管理制度，构建科学规范高效的代建管理机制，实现代建项目管理制度化、科学化、规范化。三是主动作为，提速项目建设。推行“现场工作法”，紧盯任务目标，倒排工期，挂图作战，周调度、月汇总，现场解决难题，在保证安全和质量的前提下，通过合理合规穿插建设程序，优化施工方案、协调交叉作业等，缩短建设工期，提高建设效率，确保把项目建设成为“安全保得住、质量靠得住、进度把得住、廉政守得住、投资控得住”的标杆工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无极县政府投资项目代建中心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115.10万元，其中：一般公共预算收入115.10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政府投资项目代建中心年度单位预算中支出预算的总体情况。2025年支出预算115.10万元，其中基本支出115.10万元，包括人员经费107.10万元和日常公用经费8.00万元；项目支出0.00万元。</w:t>
      </w:r>
    </w:p>
    <w:p>
      <w:pPr>
        <w:pStyle w:val="18"/>
      </w:pPr>
      <w:r>
        <w:t>3、比上年增减情况</w:t>
      </w:r>
    </w:p>
    <w:p>
      <w:pPr>
        <w:pStyle w:val="18"/>
      </w:pPr>
      <w:r>
        <w:t>2025年预算收支安排115.10万元，较2024年预算增加0.93万元，其中：基本支出增加0.93万元，主要为人员工资调整。项目支出增加0.00万元，主要为2025年没有项目支出。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持平，</w:t>
      </w:r>
      <w:r>
        <w:rPr>
          <w:rFonts w:hint="eastAsia"/>
          <w:lang w:eastAsia="zh-CN"/>
        </w:rPr>
        <w:t>严格按照公务用车相关制度执行，厉行节约</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无极县政府投资项目代建中心上年末固定资产金额为24.64万元（详见下表）。本年度拟购置固定资产总额为0.00万元，已按要求列入政府采购预算，详见政府采购预算表。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32</w:t>
            </w:r>
          </w:p>
        </w:tc>
        <w:tc>
          <w:tcPr>
            <w:tcW w:w="2835" w:type="dxa"/>
            <w:vAlign w:val="center"/>
          </w:tcPr>
          <w:p>
            <w:pPr>
              <w:pStyle w:val="11"/>
            </w:pPr>
            <w:r>
              <w:t>15.28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bookmarkStart w:id="1" w:name="_GoBack"/>
      <w:bookmarkEnd w:id="1"/>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9713AB"/>
    <w:multiLevelType w:val="singleLevel"/>
    <w:tmpl w:val="3D9713A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5F4D6D"/>
    <w:rsid w:val="2DB87198"/>
    <w:rsid w:val="4AB05B48"/>
    <w:rsid w:val="5BB5269F"/>
    <w:rsid w:val="729D0ABA"/>
    <w:rsid w:val="7DB264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2025-02-08T09:17:00Z</dcterms:created>
  <dc:creator>Administrator</dc:creator>
  <cp:lastModifiedBy>lenovo</cp:lastModifiedBy>
  <dcterms:modified xsi:type="dcterms:W3CDTF">2025-09-11T07:51:00Z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E979C6A8F186435F85237AD06DC662FA</vt:lpwstr>
  </property>
</Properties>
</file>