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115.10</w:t>
            </w:r>
          </w:p>
        </w:tc>
        <w:tc>
          <w:tcPr>
            <w:tcW w:w="4535" w:type="dxa"/>
            <w:vAlign w:val="center"/>
          </w:tcPr>
          <w:p>
            <w:pPr>
              <w:pStyle w:val="13"/>
            </w:pPr>
            <w:r>
              <w:t>一、一般公共服务支出</w:t>
            </w:r>
          </w:p>
        </w:tc>
        <w:tc>
          <w:tcPr>
            <w:tcW w:w="2126" w:type="dxa"/>
            <w:vAlign w:val="center"/>
          </w:tcPr>
          <w:p>
            <w:pPr>
              <w:pStyle w:val="12"/>
            </w:pPr>
            <w:r>
              <w:t>85.90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115.10</w:t>
            </w:r>
          </w:p>
        </w:tc>
        <w:tc>
          <w:tcPr>
            <w:tcW w:w="4535" w:type="dxa"/>
            <w:vAlign w:val="center"/>
          </w:tcPr>
          <w:p>
            <w:pPr>
              <w:pStyle w:val="15"/>
            </w:pPr>
            <w:r>
              <w:t>本年支出合计</w:t>
            </w:r>
          </w:p>
        </w:tc>
        <w:tc>
          <w:tcPr>
            <w:tcW w:w="2126" w:type="dxa"/>
            <w:vAlign w:val="center"/>
          </w:tcPr>
          <w:p>
            <w:pPr>
              <w:pStyle w:val="16"/>
            </w:pPr>
            <w:r>
              <w:t>115.10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115.10</w:t>
            </w:r>
          </w:p>
        </w:tc>
        <w:tc>
          <w:tcPr>
            <w:tcW w:w="4535" w:type="dxa"/>
            <w:vAlign w:val="center"/>
          </w:tcPr>
          <w:p>
            <w:pPr>
              <w:pStyle w:val="15"/>
            </w:pPr>
            <w:r>
              <w:t>支出总计</w:t>
            </w:r>
          </w:p>
        </w:tc>
        <w:tc>
          <w:tcPr>
            <w:tcW w:w="2126" w:type="dxa"/>
            <w:vAlign w:val="center"/>
          </w:tcPr>
          <w:p>
            <w:pPr>
              <w:pStyle w:val="16"/>
            </w:pPr>
            <w:r>
              <w:t>115.10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115.10</w:t>
            </w:r>
          </w:p>
        </w:tc>
        <w:tc>
          <w:tcPr>
            <w:tcW w:w="1134" w:type="dxa"/>
            <w:vAlign w:val="center"/>
          </w:tcPr>
          <w:p>
            <w:pPr>
              <w:pStyle w:val="16"/>
            </w:pPr>
            <w:r>
              <w:t>115.10</w:t>
            </w:r>
          </w:p>
        </w:tc>
        <w:tc>
          <w:tcPr>
            <w:tcW w:w="1134" w:type="dxa"/>
            <w:vAlign w:val="center"/>
          </w:tcPr>
          <w:p>
            <w:pPr>
              <w:pStyle w:val="16"/>
            </w:pPr>
            <w:r>
              <w:t>115.10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85.90</w:t>
            </w:r>
          </w:p>
        </w:tc>
        <w:tc>
          <w:tcPr>
            <w:tcW w:w="1134" w:type="dxa"/>
            <w:vAlign w:val="center"/>
          </w:tcPr>
          <w:p>
            <w:pPr>
              <w:pStyle w:val="12"/>
            </w:pPr>
            <w:r>
              <w:t>85.90</w:t>
            </w:r>
          </w:p>
        </w:tc>
        <w:tc>
          <w:tcPr>
            <w:tcW w:w="1134" w:type="dxa"/>
            <w:vAlign w:val="center"/>
          </w:tcPr>
          <w:p>
            <w:pPr>
              <w:pStyle w:val="12"/>
            </w:pPr>
            <w:r>
              <w:t>85.90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85.90</w:t>
            </w:r>
          </w:p>
        </w:tc>
        <w:tc>
          <w:tcPr>
            <w:tcW w:w="1134" w:type="dxa"/>
            <w:vAlign w:val="center"/>
          </w:tcPr>
          <w:p>
            <w:pPr>
              <w:pStyle w:val="12"/>
            </w:pPr>
            <w:r>
              <w:t>85.90</w:t>
            </w:r>
          </w:p>
        </w:tc>
        <w:tc>
          <w:tcPr>
            <w:tcW w:w="1134" w:type="dxa"/>
            <w:vAlign w:val="center"/>
          </w:tcPr>
          <w:p>
            <w:pPr>
              <w:pStyle w:val="12"/>
            </w:pPr>
            <w:r>
              <w:t>85.90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85.90</w:t>
            </w:r>
          </w:p>
        </w:tc>
        <w:tc>
          <w:tcPr>
            <w:tcW w:w="1134" w:type="dxa"/>
            <w:vAlign w:val="center"/>
          </w:tcPr>
          <w:p>
            <w:pPr>
              <w:pStyle w:val="12"/>
            </w:pPr>
            <w:r>
              <w:t>85.90</w:t>
            </w:r>
          </w:p>
        </w:tc>
        <w:tc>
          <w:tcPr>
            <w:tcW w:w="1134" w:type="dxa"/>
            <w:vAlign w:val="center"/>
          </w:tcPr>
          <w:p>
            <w:pPr>
              <w:pStyle w:val="12"/>
            </w:pPr>
            <w:r>
              <w:t>85.90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22.20</w:t>
            </w:r>
          </w:p>
        </w:tc>
        <w:tc>
          <w:tcPr>
            <w:tcW w:w="1134" w:type="dxa"/>
            <w:vAlign w:val="center"/>
          </w:tcPr>
          <w:p>
            <w:pPr>
              <w:pStyle w:val="12"/>
            </w:pPr>
            <w:r>
              <w:t>22.20</w:t>
            </w:r>
          </w:p>
        </w:tc>
        <w:tc>
          <w:tcPr>
            <w:tcW w:w="1134" w:type="dxa"/>
            <w:vAlign w:val="center"/>
          </w:tcPr>
          <w:p>
            <w:pPr>
              <w:pStyle w:val="12"/>
            </w:pPr>
            <w:r>
              <w:t>22.20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r>
              <w:t>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115.10</w:t>
            </w:r>
          </w:p>
        </w:tc>
        <w:tc>
          <w:tcPr>
            <w:tcW w:w="1361" w:type="dxa"/>
            <w:vAlign w:val="center"/>
          </w:tcPr>
          <w:p>
            <w:pPr>
              <w:pStyle w:val="16"/>
            </w:pPr>
            <w:r>
              <w:t>115.10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85.90</w:t>
            </w:r>
          </w:p>
        </w:tc>
        <w:tc>
          <w:tcPr>
            <w:tcW w:w="1361" w:type="dxa"/>
            <w:vAlign w:val="center"/>
          </w:tcPr>
          <w:p>
            <w:pPr>
              <w:pStyle w:val="12"/>
            </w:pPr>
            <w:r>
              <w:t>85.90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85.90</w:t>
            </w:r>
          </w:p>
        </w:tc>
        <w:tc>
          <w:tcPr>
            <w:tcW w:w="1361" w:type="dxa"/>
            <w:vAlign w:val="center"/>
          </w:tcPr>
          <w:p>
            <w:pPr>
              <w:pStyle w:val="12"/>
            </w:pPr>
            <w:r>
              <w:t>85.90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85.90</w:t>
            </w:r>
          </w:p>
        </w:tc>
        <w:tc>
          <w:tcPr>
            <w:tcW w:w="1361" w:type="dxa"/>
            <w:vAlign w:val="center"/>
          </w:tcPr>
          <w:p>
            <w:pPr>
              <w:pStyle w:val="12"/>
            </w:pPr>
            <w:r>
              <w:t>85.90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22.20</w:t>
            </w:r>
          </w:p>
        </w:tc>
        <w:tc>
          <w:tcPr>
            <w:tcW w:w="1361" w:type="dxa"/>
            <w:vAlign w:val="center"/>
          </w:tcPr>
          <w:p>
            <w:pPr>
              <w:pStyle w:val="12"/>
            </w:pPr>
            <w:r>
              <w:t>22.20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18.00</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3.00</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1.20</w:t>
            </w:r>
          </w:p>
        </w:tc>
        <w:tc>
          <w:tcPr>
            <w:tcW w:w="1361" w:type="dxa"/>
            <w:vAlign w:val="center"/>
          </w:tcPr>
          <w:p>
            <w:pPr>
              <w:pStyle w:val="12"/>
            </w:pPr>
            <w:r>
              <w:t>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0.70</w:t>
            </w:r>
          </w:p>
        </w:tc>
        <w:tc>
          <w:tcPr>
            <w:tcW w:w="1361" w:type="dxa"/>
            <w:vAlign w:val="center"/>
          </w:tcPr>
          <w:p>
            <w:pPr>
              <w:pStyle w:val="12"/>
            </w:pPr>
            <w:r>
              <w:t>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115.10</w:t>
            </w:r>
          </w:p>
        </w:tc>
        <w:tc>
          <w:tcPr>
            <w:tcW w:w="3402" w:type="dxa"/>
            <w:vAlign w:val="center"/>
          </w:tcPr>
          <w:p>
            <w:pPr>
              <w:pStyle w:val="13"/>
            </w:pPr>
            <w:r>
              <w:t>一、一般公共服务支出</w:t>
            </w:r>
          </w:p>
        </w:tc>
        <w:tc>
          <w:tcPr>
            <w:tcW w:w="1474" w:type="dxa"/>
            <w:vAlign w:val="center"/>
          </w:tcPr>
          <w:p>
            <w:pPr>
              <w:pStyle w:val="12"/>
            </w:pPr>
            <w:r>
              <w:t>85.90</w:t>
            </w:r>
          </w:p>
        </w:tc>
        <w:tc>
          <w:tcPr>
            <w:tcW w:w="1474" w:type="dxa"/>
            <w:vAlign w:val="center"/>
          </w:tcPr>
          <w:p>
            <w:pPr>
              <w:pStyle w:val="12"/>
            </w:pPr>
            <w:r>
              <w:t>85.90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22.20</w:t>
            </w:r>
          </w:p>
        </w:tc>
        <w:tc>
          <w:tcPr>
            <w:tcW w:w="1474" w:type="dxa"/>
            <w:vAlign w:val="center"/>
          </w:tcPr>
          <w:p>
            <w:pPr>
              <w:pStyle w:val="12"/>
            </w:pPr>
            <w:r>
              <w:t>22.20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7.00</w:t>
            </w:r>
          </w:p>
        </w:tc>
        <w:tc>
          <w:tcPr>
            <w:tcW w:w="1474" w:type="dxa"/>
            <w:vAlign w:val="center"/>
          </w:tcPr>
          <w:p>
            <w:pPr>
              <w:pStyle w:val="12"/>
            </w:pPr>
            <w:r>
              <w:t>7.00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115.10</w:t>
            </w:r>
          </w:p>
        </w:tc>
        <w:tc>
          <w:tcPr>
            <w:tcW w:w="3402" w:type="dxa"/>
            <w:vAlign w:val="center"/>
          </w:tcPr>
          <w:p>
            <w:pPr>
              <w:pStyle w:val="15"/>
            </w:pPr>
            <w:r>
              <w:t>本年支出合计</w:t>
            </w:r>
          </w:p>
        </w:tc>
        <w:tc>
          <w:tcPr>
            <w:tcW w:w="1474" w:type="dxa"/>
            <w:vAlign w:val="center"/>
          </w:tcPr>
          <w:p>
            <w:pPr>
              <w:pStyle w:val="16"/>
            </w:pPr>
            <w:r>
              <w:t>115.10</w:t>
            </w:r>
          </w:p>
        </w:tc>
        <w:tc>
          <w:tcPr>
            <w:tcW w:w="1474" w:type="dxa"/>
            <w:vAlign w:val="center"/>
          </w:tcPr>
          <w:p>
            <w:pPr>
              <w:pStyle w:val="16"/>
            </w:pPr>
            <w:r>
              <w:t>115.10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115.10</w:t>
            </w:r>
          </w:p>
        </w:tc>
        <w:tc>
          <w:tcPr>
            <w:tcW w:w="3402" w:type="dxa"/>
            <w:vAlign w:val="center"/>
          </w:tcPr>
          <w:p>
            <w:pPr>
              <w:pStyle w:val="15"/>
            </w:pPr>
            <w:r>
              <w:t>支出总计</w:t>
            </w:r>
          </w:p>
        </w:tc>
        <w:tc>
          <w:tcPr>
            <w:tcW w:w="1474" w:type="dxa"/>
            <w:vAlign w:val="center"/>
          </w:tcPr>
          <w:p>
            <w:pPr>
              <w:pStyle w:val="16"/>
            </w:pPr>
            <w:r>
              <w:t>115.10</w:t>
            </w:r>
          </w:p>
        </w:tc>
        <w:tc>
          <w:tcPr>
            <w:tcW w:w="1474" w:type="dxa"/>
            <w:vAlign w:val="center"/>
          </w:tcPr>
          <w:p>
            <w:pPr>
              <w:pStyle w:val="16"/>
            </w:pPr>
            <w:r>
              <w:t>115.10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115.10</w:t>
            </w:r>
          </w:p>
        </w:tc>
        <w:tc>
          <w:tcPr>
            <w:tcW w:w="2551" w:type="dxa"/>
            <w:vAlign w:val="center"/>
          </w:tcPr>
          <w:p>
            <w:pPr>
              <w:pStyle w:val="16"/>
            </w:pPr>
            <w:r>
              <w:t>115.10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85.90</w:t>
            </w:r>
          </w:p>
        </w:tc>
        <w:tc>
          <w:tcPr>
            <w:tcW w:w="2551" w:type="dxa"/>
            <w:vAlign w:val="center"/>
          </w:tcPr>
          <w:p>
            <w:pPr>
              <w:pStyle w:val="12"/>
            </w:pPr>
            <w:r>
              <w:t>85.90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85.90</w:t>
            </w:r>
          </w:p>
        </w:tc>
        <w:tc>
          <w:tcPr>
            <w:tcW w:w="2551" w:type="dxa"/>
            <w:vAlign w:val="center"/>
          </w:tcPr>
          <w:p>
            <w:pPr>
              <w:pStyle w:val="12"/>
            </w:pPr>
            <w:r>
              <w:t>85.90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85.90</w:t>
            </w:r>
          </w:p>
        </w:tc>
        <w:tc>
          <w:tcPr>
            <w:tcW w:w="2551" w:type="dxa"/>
            <w:vAlign w:val="center"/>
          </w:tcPr>
          <w:p>
            <w:pPr>
              <w:pStyle w:val="12"/>
            </w:pPr>
            <w:r>
              <w:t>85.90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22.20</w:t>
            </w:r>
          </w:p>
        </w:tc>
        <w:tc>
          <w:tcPr>
            <w:tcW w:w="2551" w:type="dxa"/>
            <w:vAlign w:val="center"/>
          </w:tcPr>
          <w:p>
            <w:pPr>
              <w:pStyle w:val="12"/>
            </w:pPr>
            <w:r>
              <w:t>22.20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0.70</w:t>
            </w:r>
          </w:p>
        </w:tc>
        <w:tc>
          <w:tcPr>
            <w:tcW w:w="2551" w:type="dxa"/>
            <w:vAlign w:val="center"/>
          </w:tcPr>
          <w:p>
            <w:pPr>
              <w:pStyle w:val="12"/>
            </w:pPr>
            <w:r>
              <w:t>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115.10</w:t>
            </w:r>
          </w:p>
        </w:tc>
        <w:tc>
          <w:tcPr>
            <w:tcW w:w="2551" w:type="dxa"/>
            <w:vAlign w:val="center"/>
          </w:tcPr>
          <w:p>
            <w:pPr>
              <w:pStyle w:val="16"/>
            </w:pPr>
            <w:r>
              <w:t>107.10</w:t>
            </w:r>
          </w:p>
        </w:tc>
        <w:tc>
          <w:tcPr>
            <w:tcW w:w="2551" w:type="dxa"/>
            <w:vAlign w:val="center"/>
          </w:tcPr>
          <w:p>
            <w:pPr>
              <w:pStyle w:val="16"/>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107.10</w:t>
            </w:r>
          </w:p>
        </w:tc>
        <w:tc>
          <w:tcPr>
            <w:tcW w:w="2551" w:type="dxa"/>
            <w:vAlign w:val="center"/>
          </w:tcPr>
          <w:p>
            <w:pPr>
              <w:pStyle w:val="12"/>
            </w:pPr>
            <w:r>
              <w:t>107.10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6.50</w:t>
            </w:r>
          </w:p>
        </w:tc>
        <w:tc>
          <w:tcPr>
            <w:tcW w:w="2551" w:type="dxa"/>
            <w:vAlign w:val="center"/>
          </w:tcPr>
          <w:p>
            <w:pPr>
              <w:pStyle w:val="12"/>
            </w:pPr>
            <w:r>
              <w:t>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35.40</w:t>
            </w:r>
          </w:p>
        </w:tc>
        <w:tc>
          <w:tcPr>
            <w:tcW w:w="2551" w:type="dxa"/>
            <w:vAlign w:val="center"/>
          </w:tcPr>
          <w:p>
            <w:pPr>
              <w:pStyle w:val="12"/>
            </w:pPr>
            <w:r>
              <w:t>35.40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无极县政府投资项目代建中心2025年部门预算信息公开情况说明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无极县政府投资项目代建中心2025年部门预算信息公开情况说明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按照《中华人民共和国预算法》、《地方预决算公开操作规程》和《关于进一步推进预算公开工作的实施意见》规定，现将无极县政府投资项目代建中心2025年部门预算公开如下：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组织施工图设计及审查、预算编制；组织开展工程勘察、设计、监理、施工招标工作；负责项目资金拨付工作；负责项目实施过程管理；项目竣工后按规定报审计进行结算和决算审计；项目完成后与委建单位进行移交工作:县委、县政府交办的其他代建事项。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无极县政府投资项目代建中心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按照预算管理有关规定，目前部门预算的编制实行综合预算管理，即全部收入和支出都反映在预算中。无极县政府投资项目代建中心机关及所属事业单位的收支包含在部门预算中。</w:t>
      </w:r>
    </w:p>
    <w:p>
      <w:pPr>
        <w:pStyle w:val="19"/>
      </w:pPr>
      <w:r>
        <w:t>1、收入说明</w:t>
      </w:r>
    </w:p>
    <w:p>
      <w:pPr>
        <w:pStyle w:val="19"/>
      </w:pPr>
      <w:r>
        <w:t>反映本部门当年全部收入。2025年预算收入115.10万元，其中：一般公共预算收入115.10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政府投资项目代建中心年度部门预算中支出预算的总体情况。2025年支出预算115.10万元，其中基本支出115.10万元，包括人员经费107.10万元和日常公用经费8.00万元；项目支出0.00万元。</w:t>
      </w:r>
    </w:p>
    <w:p>
      <w:pPr>
        <w:pStyle w:val="19"/>
      </w:pPr>
      <w:r>
        <w:t>3、比上年增减情况</w:t>
      </w:r>
    </w:p>
    <w:p>
      <w:pPr>
        <w:pStyle w:val="19"/>
      </w:pPr>
      <w:r>
        <w:t>2025年预算收支安排115.10万元，较2024年预算增加0.93万元，其中：基本支出增加0.93万元，主要为人员工资调整。项目支出增加0.00万元，主要为2025年没有项目支出。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2025年，我部门机关运行经费共计安排8.00万元，主要用于日常维修、办公用房水电费、办公用房取暖费、办公用房物业管理费等日常运行支出。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与上年持平，</w:t>
      </w:r>
      <w:r>
        <w:rPr>
          <w:rFonts w:hint="eastAsia"/>
          <w:lang w:eastAsia="zh-CN"/>
        </w:rPr>
        <w:t>严格按照公务用车相关制度执行，厉行节约</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代建中心成立以来，在县委、县政府的正确领导下，围绕全县发展大局，立足自身职能，解放思想，担当实干，牢牢抓住“项目建设”中心任务，全力以赴保安全、保质量、保进度、保廉洁、控资金，较为圆满的完成了各项目标任务。一是强化培训，提升业务能力。采取邀请专家专题讲座、业务骨干讲课等形式，定期组织干部职工学习政府采购、工程造价、施工管理等方面知识，提高人员业务水平，尽快成为分管工作的行家里手。二是完善制度，加强监督管理。聚焦资金拨付、招标采购、造价控制、施工管理等关键环节，健全完善代建管理制度，构建科学规范高效的代建管理机制，实现代建项目管理制度化、科学化、规范化。三是主动作为，提速项目建设。推行“现场工作法”，紧盯任务目标，倒排工期，挂图作战，周调度、月汇总，现场解决难题，在保证安全和质量的前提下，通过合理合规穿插建设程序，优化施工方案、协调交叉作业等，缩短建设工期，提高建设效率，确保把项目建设成为“安全保得住、质量靠得住、进度把得住、廉政守得住、投资控得住”的标杆工程。</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是牢固树立安全生产理念。坚持“安全第一、预防为主、管控结合”的原则，狠抓工程施工现场安全管理，定期组织召开安全生产会议，不定期开展安全生产隐患排查整治活动，对检查出的安全隐患问题要求立即整改，对不能立即整改的，明确整改措施和时限，确保施工安全。二是严把工程质量关。牢固树立“精品”意识，层层落实工程质量管理责任制，通过加强日常巡查，要求施工单位严格按图施工，切实保障工程质量全面达标。三是千方百计加快项目进度。2023年代建中心承担8个工程建设项目，总投资4.13亿元，其中，已完工项目3个，在建项目2个，未开工项目2个，前期准备项目1个。202</w:t>
      </w:r>
      <w:r>
        <w:rPr>
          <w:rFonts w:hint="eastAsia"/>
          <w:lang w:val="en-US" w:eastAsia="zh-CN"/>
        </w:rPr>
        <w:t>5</w:t>
      </w:r>
      <w:r>
        <w:t>年继续牢固树立“项目为王”理念，依靠科学管理，缩短建设工期，提高建设效率，确保工程按时间节点推进。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202</w:t>
      </w:r>
      <w:r>
        <w:rPr>
          <w:rFonts w:hint="eastAsia"/>
          <w:lang w:val="en-US" w:eastAsia="zh-CN"/>
        </w:rPr>
        <w:t>5</w:t>
      </w:r>
      <w:r>
        <w:t>年我单位将坚持以党的二十大会议精神为指导，认真学习贯彻上级重要指示精神，按照县委、县政府的工作部署，稳中求进，改革创新，强化工作举措，努力完成各项工作目标任务。工作保障措施如下：</w:t>
      </w:r>
    </w:p>
    <w:p>
      <w:pPr>
        <w:pStyle w:val="24"/>
      </w:pPr>
      <w:r>
        <w:t>1、完善制度。</w:t>
      </w:r>
    </w:p>
    <w:p>
      <w:pPr>
        <w:pStyle w:val="24"/>
      </w:pPr>
      <w:r>
        <w:t>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4"/>
      </w:pPr>
      <w:r>
        <w:t>2、加强支出管理</w:t>
      </w:r>
    </w:p>
    <w:p>
      <w:pPr>
        <w:pStyle w:val="24"/>
      </w:pPr>
      <w:r>
        <w:t>优化支出结构、编细编实预算、及时完成资金支付确保支出进度达标。</w:t>
      </w:r>
    </w:p>
    <w:p>
      <w:pPr>
        <w:pStyle w:val="24"/>
      </w:pPr>
      <w:r>
        <w:t xml:space="preserve">3、加强绩效运行监控。  </w:t>
      </w:r>
    </w:p>
    <w:p>
      <w:pPr>
        <w:pStyle w:val="24"/>
      </w:pPr>
      <w:r>
        <w:t>对项目支出的相关内容和目标完成情况进行监控，及时纠正绩效运行偏差，促进项目绩效目标实现的管理活动。汇总分析和对照检查项目绩效信息，及时采取措施纠正预算执行环节中出现的问题，促进预算绩效目标实现。项目管理部门协同完善项目绩效管理机制，将预算编制、预算调整、进度管理、资金支付、资产管理等环节的管理要求与项目绩效管理有机结合，以项目绩效管理为纽带，对资金运行的全过程实施监管。</w:t>
      </w:r>
    </w:p>
    <w:p>
      <w:pPr>
        <w:pStyle w:val="24"/>
      </w:pPr>
      <w:r>
        <w:t>4、做好绩效自评。</w:t>
      </w:r>
    </w:p>
    <w:p>
      <w:pPr>
        <w:pStyle w:val="24"/>
      </w:pPr>
      <w:r>
        <w:t>各项具体指标的牵头科室、所要注重年度发展规划目标管理工作的过程监控，要按照工作计划，时间节点安排，有计划有顺序稳步推进实施，杜绝工作突击。</w:t>
      </w:r>
    </w:p>
    <w:p>
      <w:pPr>
        <w:pStyle w:val="24"/>
      </w:pPr>
      <w:r>
        <w:t>5、规范财务资产管理。</w:t>
      </w:r>
    </w:p>
    <w:p>
      <w:pPr>
        <w:pStyle w:val="24"/>
      </w:pPr>
      <w:r>
        <w:t>完善财务管理制度，严格审批程序，加强资金使用、完善项目管理状况。加强固定资产登记、使用和报废处置管理，做到支出合理，物尽其用。</w:t>
      </w:r>
    </w:p>
    <w:p>
      <w:pPr>
        <w:pStyle w:val="24"/>
      </w:pPr>
      <w:r>
        <w:t>6、加强内部监督。</w:t>
      </w:r>
    </w:p>
    <w:p>
      <w:pPr>
        <w:pStyle w:val="24"/>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4"/>
      </w:pPr>
      <w:r>
        <w:t>7、加强宣传培训调研等。</w:t>
      </w:r>
    </w:p>
    <w:p>
      <w:pPr>
        <w:pStyle w:val="24"/>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无极县政府投资项目代建中心（含所属单位）上年末固定资产金额为24.64万元（详见下表）。本年度拟购置固定资产总额为0.00万元，已按要求列入政府采购预算，详见政府采购预算表。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809无极县政府投资项目代建中心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32</w:t>
            </w:r>
          </w:p>
        </w:tc>
        <w:tc>
          <w:tcPr>
            <w:tcW w:w="2835" w:type="dxa"/>
            <w:vAlign w:val="center"/>
          </w:tcPr>
          <w:p>
            <w:pPr>
              <w:pStyle w:val="12"/>
            </w:pPr>
            <w:r>
              <w:t>15.28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bookmarkStart w:id="20" w:name="_GoBack"/>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9F6564"/>
    <w:multiLevelType w:val="singleLevel"/>
    <w:tmpl w:val="FE9F656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602BBB"/>
    <w:rsid w:val="1FF558DA"/>
    <w:rsid w:val="56600272"/>
    <w:rsid w:val="6F3B110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2025-02-08T09:18:00Z</dcterms:created>
  <dc:creator>Administrator</dc:creator>
  <cp:lastModifiedBy>lenovo</cp:lastModifiedBy>
  <dcterms:modified xsi:type="dcterms:W3CDTF">2025-09-11T07:50:28Z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2E4168D0819946D5B05450E7BBCE21D8</vt:lpwstr>
  </property>
</Properties>
</file>