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318001无极县财政局本级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1336.70</w:t>
            </w:r>
          </w:p>
        </w:tc>
        <w:tc>
          <w:tcPr>
            <w:tcW w:w="4535" w:type="dxa"/>
            <w:vAlign w:val="center"/>
          </w:tcPr>
          <w:p>
            <w:pPr>
              <w:pStyle w:val="12"/>
            </w:pPr>
            <w:r>
              <w:t>一、一般公共服务支出</w:t>
            </w:r>
          </w:p>
        </w:tc>
        <w:tc>
          <w:tcPr>
            <w:tcW w:w="2126" w:type="dxa"/>
            <w:vAlign w:val="center"/>
          </w:tcPr>
          <w:p>
            <w:pPr>
              <w:pStyle w:val="11"/>
            </w:pPr>
            <w:r>
              <w:t>1125.00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1336.70</w:t>
            </w:r>
          </w:p>
        </w:tc>
        <w:tc>
          <w:tcPr>
            <w:tcW w:w="4535" w:type="dxa"/>
            <w:vAlign w:val="center"/>
          </w:tcPr>
          <w:p>
            <w:pPr>
              <w:pStyle w:val="14"/>
            </w:pPr>
            <w:r>
              <w:t>本年支出合计</w:t>
            </w:r>
          </w:p>
        </w:tc>
        <w:tc>
          <w:tcPr>
            <w:tcW w:w="2126" w:type="dxa"/>
            <w:vAlign w:val="center"/>
          </w:tcPr>
          <w:p>
            <w:pPr>
              <w:pStyle w:val="15"/>
            </w:pPr>
            <w:r>
              <w:t>1336.70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1336.70</w:t>
            </w:r>
          </w:p>
        </w:tc>
        <w:tc>
          <w:tcPr>
            <w:tcW w:w="4535" w:type="dxa"/>
            <w:vAlign w:val="center"/>
          </w:tcPr>
          <w:p>
            <w:pPr>
              <w:pStyle w:val="14"/>
            </w:pPr>
            <w:r>
              <w:t>支出总计</w:t>
            </w:r>
          </w:p>
        </w:tc>
        <w:tc>
          <w:tcPr>
            <w:tcW w:w="2126" w:type="dxa"/>
            <w:vAlign w:val="center"/>
          </w:tcPr>
          <w:p>
            <w:pPr>
              <w:pStyle w:val="15"/>
            </w:pPr>
            <w:r>
              <w:t>1336.70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1336.70</w:t>
            </w:r>
          </w:p>
        </w:tc>
        <w:tc>
          <w:tcPr>
            <w:tcW w:w="1134" w:type="dxa"/>
            <w:vAlign w:val="center"/>
          </w:tcPr>
          <w:p>
            <w:pPr>
              <w:pStyle w:val="15"/>
            </w:pPr>
            <w:r>
              <w:t>1336.70</w:t>
            </w:r>
          </w:p>
        </w:tc>
        <w:tc>
          <w:tcPr>
            <w:tcW w:w="1134" w:type="dxa"/>
            <w:vAlign w:val="center"/>
          </w:tcPr>
          <w:p>
            <w:pPr>
              <w:pStyle w:val="15"/>
            </w:pPr>
            <w:r>
              <w:t>1336.70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r>
              <w:t>1125.00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161.70</w:t>
            </w:r>
          </w:p>
        </w:tc>
        <w:tc>
          <w:tcPr>
            <w:tcW w:w="1134" w:type="dxa"/>
            <w:vAlign w:val="center"/>
          </w:tcPr>
          <w:p>
            <w:pPr>
              <w:pStyle w:val="11"/>
            </w:pPr>
            <w:r>
              <w:t>161.70</w:t>
            </w:r>
          </w:p>
        </w:tc>
        <w:tc>
          <w:tcPr>
            <w:tcW w:w="1134" w:type="dxa"/>
            <w:vAlign w:val="center"/>
          </w:tcPr>
          <w:p>
            <w:pPr>
              <w:pStyle w:val="11"/>
            </w:pPr>
            <w:r>
              <w:t>161.70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4.70</w:t>
            </w:r>
          </w:p>
        </w:tc>
        <w:tc>
          <w:tcPr>
            <w:tcW w:w="1134" w:type="dxa"/>
            <w:vAlign w:val="center"/>
          </w:tcPr>
          <w:p>
            <w:pPr>
              <w:pStyle w:val="11"/>
            </w:pPr>
            <w:r>
              <w:t>4.70</w:t>
            </w:r>
          </w:p>
        </w:tc>
        <w:tc>
          <w:tcPr>
            <w:tcW w:w="1134" w:type="dxa"/>
            <w:vAlign w:val="center"/>
          </w:tcPr>
          <w:p>
            <w:pPr>
              <w:pStyle w:val="11"/>
            </w:pPr>
            <w:r>
              <w:t>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1336.70</w:t>
            </w:r>
          </w:p>
        </w:tc>
        <w:tc>
          <w:tcPr>
            <w:tcW w:w="1361" w:type="dxa"/>
            <w:vAlign w:val="center"/>
          </w:tcPr>
          <w:p>
            <w:pPr>
              <w:pStyle w:val="15"/>
            </w:pPr>
            <w:r>
              <w:t>1326.70</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1125.00</w:t>
            </w:r>
          </w:p>
        </w:tc>
        <w:tc>
          <w:tcPr>
            <w:tcW w:w="1361" w:type="dxa"/>
            <w:vAlign w:val="center"/>
          </w:tcPr>
          <w:p>
            <w:pPr>
              <w:pStyle w:val="11"/>
            </w:pPr>
            <w:r>
              <w:t>1125.00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1125.00</w:t>
            </w:r>
          </w:p>
        </w:tc>
        <w:tc>
          <w:tcPr>
            <w:tcW w:w="1361" w:type="dxa"/>
            <w:vAlign w:val="center"/>
          </w:tcPr>
          <w:p>
            <w:pPr>
              <w:pStyle w:val="11"/>
            </w:pPr>
            <w:r>
              <w:t>1125.00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1125.00</w:t>
            </w:r>
          </w:p>
        </w:tc>
        <w:tc>
          <w:tcPr>
            <w:tcW w:w="1361" w:type="dxa"/>
            <w:vAlign w:val="center"/>
          </w:tcPr>
          <w:p>
            <w:pPr>
              <w:pStyle w:val="11"/>
            </w:pPr>
            <w:r>
              <w:t>1125.00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161.70</w:t>
            </w:r>
          </w:p>
        </w:tc>
        <w:tc>
          <w:tcPr>
            <w:tcW w:w="1361" w:type="dxa"/>
            <w:vAlign w:val="center"/>
          </w:tcPr>
          <w:p>
            <w:pPr>
              <w:pStyle w:val="11"/>
            </w:pPr>
            <w:r>
              <w:t>161.70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155.00</w:t>
            </w: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4.70</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1336.70</w:t>
            </w:r>
          </w:p>
        </w:tc>
        <w:tc>
          <w:tcPr>
            <w:tcW w:w="3402" w:type="dxa"/>
            <w:vAlign w:val="center"/>
          </w:tcPr>
          <w:p>
            <w:pPr>
              <w:pStyle w:val="12"/>
            </w:pPr>
            <w:r>
              <w:t>一、一般公共服务支出</w:t>
            </w:r>
          </w:p>
        </w:tc>
        <w:tc>
          <w:tcPr>
            <w:tcW w:w="1474" w:type="dxa"/>
            <w:vAlign w:val="center"/>
          </w:tcPr>
          <w:p>
            <w:pPr>
              <w:pStyle w:val="11"/>
            </w:pPr>
            <w:r>
              <w:t>1125.00</w:t>
            </w:r>
          </w:p>
        </w:tc>
        <w:tc>
          <w:tcPr>
            <w:tcW w:w="1474" w:type="dxa"/>
            <w:vAlign w:val="center"/>
          </w:tcPr>
          <w:p>
            <w:pPr>
              <w:pStyle w:val="11"/>
            </w:pPr>
            <w:r>
              <w:t>1125.00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161.70</w:t>
            </w:r>
          </w:p>
        </w:tc>
        <w:tc>
          <w:tcPr>
            <w:tcW w:w="1474" w:type="dxa"/>
            <w:vAlign w:val="center"/>
          </w:tcPr>
          <w:p>
            <w:pPr>
              <w:pStyle w:val="11"/>
            </w:pPr>
            <w:r>
              <w:t>161.70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40.00</w:t>
            </w:r>
          </w:p>
        </w:tc>
        <w:tc>
          <w:tcPr>
            <w:tcW w:w="1474" w:type="dxa"/>
            <w:vAlign w:val="center"/>
          </w:tcPr>
          <w:p>
            <w:pPr>
              <w:pStyle w:val="11"/>
            </w:pPr>
            <w:r>
              <w:t>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1336.70</w:t>
            </w:r>
          </w:p>
        </w:tc>
        <w:tc>
          <w:tcPr>
            <w:tcW w:w="3402" w:type="dxa"/>
            <w:vAlign w:val="center"/>
          </w:tcPr>
          <w:p>
            <w:pPr>
              <w:pStyle w:val="14"/>
            </w:pPr>
            <w:r>
              <w:t>本年支出合计</w:t>
            </w:r>
          </w:p>
        </w:tc>
        <w:tc>
          <w:tcPr>
            <w:tcW w:w="1474" w:type="dxa"/>
            <w:vAlign w:val="center"/>
          </w:tcPr>
          <w:p>
            <w:pPr>
              <w:pStyle w:val="15"/>
            </w:pPr>
            <w:r>
              <w:t>1336.70</w:t>
            </w:r>
          </w:p>
        </w:tc>
        <w:tc>
          <w:tcPr>
            <w:tcW w:w="1474" w:type="dxa"/>
            <w:vAlign w:val="center"/>
          </w:tcPr>
          <w:p>
            <w:pPr>
              <w:pStyle w:val="15"/>
            </w:pPr>
            <w:r>
              <w:t>1336.70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1336.70</w:t>
            </w:r>
          </w:p>
        </w:tc>
        <w:tc>
          <w:tcPr>
            <w:tcW w:w="3402" w:type="dxa"/>
            <w:vAlign w:val="center"/>
          </w:tcPr>
          <w:p>
            <w:pPr>
              <w:pStyle w:val="14"/>
            </w:pPr>
            <w:r>
              <w:t>支出总计</w:t>
            </w:r>
          </w:p>
        </w:tc>
        <w:tc>
          <w:tcPr>
            <w:tcW w:w="1474" w:type="dxa"/>
            <w:vAlign w:val="center"/>
          </w:tcPr>
          <w:p>
            <w:pPr>
              <w:pStyle w:val="15"/>
            </w:pPr>
            <w:r>
              <w:t>1336.70</w:t>
            </w:r>
          </w:p>
        </w:tc>
        <w:tc>
          <w:tcPr>
            <w:tcW w:w="1474" w:type="dxa"/>
            <w:vAlign w:val="center"/>
          </w:tcPr>
          <w:p>
            <w:pPr>
              <w:pStyle w:val="15"/>
            </w:pPr>
            <w:r>
              <w:t>1336.70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1336.70</w:t>
            </w:r>
          </w:p>
        </w:tc>
        <w:tc>
          <w:tcPr>
            <w:tcW w:w="2551" w:type="dxa"/>
            <w:vAlign w:val="center"/>
          </w:tcPr>
          <w:p>
            <w:pPr>
              <w:pStyle w:val="15"/>
            </w:pPr>
            <w:r>
              <w:t>1326.70</w:t>
            </w:r>
          </w:p>
        </w:tc>
        <w:tc>
          <w:tcPr>
            <w:tcW w:w="2551" w:type="dxa"/>
            <w:vAlign w:val="center"/>
          </w:tcPr>
          <w:p>
            <w:pPr>
              <w:pStyle w:val="15"/>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1125.00</w:t>
            </w:r>
          </w:p>
        </w:tc>
        <w:tc>
          <w:tcPr>
            <w:tcW w:w="2551" w:type="dxa"/>
            <w:vAlign w:val="center"/>
          </w:tcPr>
          <w:p>
            <w:pPr>
              <w:pStyle w:val="11"/>
            </w:pPr>
            <w:r>
              <w:t>1125.00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1125.00</w:t>
            </w:r>
          </w:p>
        </w:tc>
        <w:tc>
          <w:tcPr>
            <w:tcW w:w="2551" w:type="dxa"/>
            <w:vAlign w:val="center"/>
          </w:tcPr>
          <w:p>
            <w:pPr>
              <w:pStyle w:val="11"/>
            </w:pPr>
            <w:r>
              <w:t>1125.00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1125.00</w:t>
            </w:r>
          </w:p>
        </w:tc>
        <w:tc>
          <w:tcPr>
            <w:tcW w:w="2551" w:type="dxa"/>
            <w:vAlign w:val="center"/>
          </w:tcPr>
          <w:p>
            <w:pPr>
              <w:pStyle w:val="11"/>
            </w:pPr>
            <w:r>
              <w:t>1125.00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161.70</w:t>
            </w:r>
          </w:p>
        </w:tc>
        <w:tc>
          <w:tcPr>
            <w:tcW w:w="2551" w:type="dxa"/>
            <w:vAlign w:val="center"/>
          </w:tcPr>
          <w:p>
            <w:pPr>
              <w:pStyle w:val="11"/>
            </w:pPr>
            <w:r>
              <w:t>161.70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155.00</w:t>
            </w:r>
          </w:p>
        </w:tc>
        <w:tc>
          <w:tcPr>
            <w:tcW w:w="2551" w:type="dxa"/>
            <w:vAlign w:val="center"/>
          </w:tcPr>
          <w:p>
            <w:pPr>
              <w:pStyle w:val="11"/>
            </w:pPr>
            <w:r>
              <w:t>155.00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1326.70</w:t>
            </w:r>
          </w:p>
        </w:tc>
        <w:tc>
          <w:tcPr>
            <w:tcW w:w="2551" w:type="dxa"/>
            <w:vAlign w:val="center"/>
          </w:tcPr>
          <w:p>
            <w:pPr>
              <w:pStyle w:val="15"/>
            </w:pPr>
            <w:r>
              <w:t>1171.20</w:t>
            </w:r>
          </w:p>
        </w:tc>
        <w:tc>
          <w:tcPr>
            <w:tcW w:w="2551" w:type="dxa"/>
            <w:vAlign w:val="center"/>
          </w:tcPr>
          <w:p>
            <w:pPr>
              <w:pStyle w:val="15"/>
            </w:pPr>
            <w:r>
              <w:t>155.50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1040.20</w:t>
            </w:r>
          </w:p>
        </w:tc>
        <w:tc>
          <w:tcPr>
            <w:tcW w:w="2551" w:type="dxa"/>
            <w:vAlign w:val="center"/>
          </w:tcPr>
          <w:p>
            <w:pPr>
              <w:pStyle w:val="11"/>
            </w:pPr>
            <w:r>
              <w:t>1040.20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520.00</w:t>
            </w:r>
          </w:p>
        </w:tc>
        <w:tc>
          <w:tcPr>
            <w:tcW w:w="2551" w:type="dxa"/>
            <w:vAlign w:val="center"/>
          </w:tcPr>
          <w:p>
            <w:pPr>
              <w:pStyle w:val="11"/>
            </w:pPr>
            <w:r>
              <w:t>520.00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152.50</w:t>
            </w:r>
          </w:p>
        </w:tc>
        <w:tc>
          <w:tcPr>
            <w:tcW w:w="2551" w:type="dxa"/>
            <w:vAlign w:val="center"/>
          </w:tcPr>
          <w:p>
            <w:pPr>
              <w:pStyle w:val="11"/>
            </w:pPr>
            <w:r>
              <w:t>152.50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155.50</w:t>
            </w:r>
          </w:p>
        </w:tc>
        <w:tc>
          <w:tcPr>
            <w:tcW w:w="2551" w:type="dxa"/>
            <w:vAlign w:val="center"/>
          </w:tcPr>
          <w:p>
            <w:pPr>
              <w:pStyle w:val="11"/>
            </w:pPr>
          </w:p>
        </w:tc>
        <w:tc>
          <w:tcPr>
            <w:tcW w:w="2551" w:type="dxa"/>
            <w:vAlign w:val="center"/>
          </w:tcPr>
          <w:p>
            <w:pPr>
              <w:pStyle w:val="11"/>
            </w:pPr>
            <w:r>
              <w:t>155.50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39.50</w:t>
            </w:r>
          </w:p>
        </w:tc>
        <w:tc>
          <w:tcPr>
            <w:tcW w:w="2551" w:type="dxa"/>
            <w:vAlign w:val="center"/>
          </w:tcPr>
          <w:p>
            <w:pPr>
              <w:pStyle w:val="11"/>
            </w:pPr>
          </w:p>
        </w:tc>
        <w:tc>
          <w:tcPr>
            <w:tcW w:w="2551" w:type="dxa"/>
            <w:vAlign w:val="center"/>
          </w:tcPr>
          <w:p>
            <w:pPr>
              <w:pStyle w:val="11"/>
            </w:pPr>
            <w:r>
              <w:t>39.50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84.00</w:t>
            </w:r>
          </w:p>
        </w:tc>
        <w:tc>
          <w:tcPr>
            <w:tcW w:w="2551" w:type="dxa"/>
            <w:vAlign w:val="center"/>
          </w:tcPr>
          <w:p>
            <w:pPr>
              <w:pStyle w:val="11"/>
            </w:pPr>
          </w:p>
        </w:tc>
        <w:tc>
          <w:tcPr>
            <w:tcW w:w="2551" w:type="dxa"/>
            <w:vAlign w:val="center"/>
          </w:tcPr>
          <w:p>
            <w:pPr>
              <w:pStyle w:val="11"/>
            </w:pPr>
            <w:r>
              <w:t>84.00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10.00</w:t>
            </w:r>
          </w:p>
        </w:tc>
        <w:tc>
          <w:tcPr>
            <w:tcW w:w="2381" w:type="dxa"/>
            <w:vAlign w:val="center"/>
          </w:tcPr>
          <w:p>
            <w:pPr>
              <w:pStyle w:val="15"/>
            </w:pPr>
            <w:r>
              <w:t>10.00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7"/>
      </w:pPr>
      <w:r>
        <w:t>（二）贯彻执行关于财政、税收、财务、会计管理方面的法律、法规、规章。</w:t>
      </w:r>
    </w:p>
    <w:p>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（五）按分工负责政府非税收入管理。负责政府性基金管理，按规定管理行政事业性收费。管理财政票据。贯彻实施彩票管理政策和有关办法，参与管理彩票市场，按规定管理彩票资金。</w:t>
      </w:r>
    </w:p>
    <w:p>
      <w:pPr>
        <w:pStyle w:val="17"/>
      </w:pPr>
      <w:r>
        <w:t>（六）研究制定国库管理制度、国库集中收付制度，按规定开展国库资金现金管理工作。制定政府财务报告编制办法并组织实施。制定政府采购制度并监督管理。</w:t>
      </w:r>
    </w:p>
    <w:p>
      <w:pPr>
        <w:pStyle w:val="17"/>
      </w:pPr>
      <w:r>
        <w:t>（七）拟订政府债务管理制度和办法并组织实施。负责政府债务限额管理，按规定组织政府债券申报、转贷和还本付息等工作。执行国家外债管理政策，管理县政府国外债务。开展对外财经交流。</w:t>
      </w:r>
    </w:p>
    <w:p>
      <w:pPr>
        <w:pStyle w:val="17"/>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1336.70万元，其中：一般公共预算收入1336.70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财政局本级年度单位预算中支出预算的总体情况。2025年支出预算1336.70万元，其中基本支出1326.70万元，包括人员经费1171.20万元和日常公用经费155.50万元；项目支出10.00万元，主要为农村财会人员培训</w:t>
      </w:r>
    </w:p>
    <w:p>
      <w:pPr>
        <w:pStyle w:val="18"/>
      </w:pPr>
      <w:r>
        <w:t>3、比上年增减情况</w:t>
      </w:r>
    </w:p>
    <w:p>
      <w:pPr>
        <w:pStyle w:val="18"/>
      </w:pPr>
      <w:r>
        <w:t>2025年预算收支安排1336.70万元，较2024年预算减少899.05万元，其中：基本支出减少9.05万元，主要为人员减少项目支出减少890.00万元，主要为项目减少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ascii="Times New Roman" w:hAnsi="Times New Roman" w:eastAsia="方正仿宋_GBK" w:cs="Times New Roman"/>
          <w:sz w:val="28"/>
          <w:szCs w:val="24"/>
          <w:lang w:val="en-US" w:eastAsia="uk-UA" w:bidi="ar-SA"/>
        </w:rPr>
        <w:t>2025年，我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155.50</w:t>
      </w:r>
      <w:r>
        <w:rPr>
          <w:rFonts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10.00万元，其中因公出国（境）费0.00万元；公务用车购置及运维费0.00万元（其中：公务用车购置费为0.00万元，公务用车运维费0.00万元)。与2024年相比增加10.00万元，增减变化的主要原因</w:t>
      </w:r>
      <w:r>
        <w:rPr>
          <w:rFonts w:hint="eastAsia"/>
          <w:lang w:val="en-US" w:eastAsia="zh-CN"/>
        </w:rPr>
        <w:t>支出增加</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1、关于提前下达2025年省级农村财会人员培训资金预算的通知绩效目标表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13013025P000176101510</w:t>
            </w:r>
          </w:p>
        </w:tc>
        <w:tc>
          <w:tcPr>
            <w:tcW w:w="2835" w:type="dxa"/>
            <w:vAlign w:val="center"/>
          </w:tcPr>
          <w:p>
            <w:pPr>
              <w:pStyle w:val="10"/>
            </w:pPr>
            <w:r>
              <w:t>项目名称</w:t>
            </w:r>
          </w:p>
        </w:tc>
        <w:tc>
          <w:tcPr>
            <w:tcW w:w="6095" w:type="dxa"/>
            <w:gridSpan w:val="3"/>
            <w:vAlign w:val="center"/>
          </w:tcPr>
          <w:p>
            <w:pPr>
              <w:pStyle w:val="12"/>
            </w:pPr>
            <w:r>
              <w:t>关于提前下达2025年省级农村财会人员培训资金预算的通知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用于农村财会人员培训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5386" w:type="dxa"/>
            <w:vAlign w:val="center"/>
          </w:tcPr>
          <w:p>
            <w:pPr>
              <w:pStyle w:val="12"/>
            </w:pPr>
            <w:r>
              <w:t>组织召开全县农村财会人员培训会</w:t>
            </w:r>
          </w:p>
        </w:tc>
        <w:tc>
          <w:tcPr>
            <w:tcW w:w="2268" w:type="dxa"/>
            <w:vAlign w:val="center"/>
          </w:tcPr>
          <w:p>
            <w:pPr>
              <w:pStyle w:val="12"/>
            </w:pPr>
            <w:r>
              <w:t>≥2次</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保障培训工作顺利完成</w:t>
            </w:r>
          </w:p>
        </w:tc>
        <w:tc>
          <w:tcPr>
            <w:tcW w:w="5386" w:type="dxa"/>
            <w:vAlign w:val="center"/>
          </w:tcPr>
          <w:p>
            <w:pPr>
              <w:pStyle w:val="12"/>
            </w:pPr>
            <w:r>
              <w:t>培训工作完成程度</w:t>
            </w:r>
          </w:p>
        </w:tc>
        <w:tc>
          <w:tcPr>
            <w:tcW w:w="2268" w:type="dxa"/>
            <w:vAlign w:val="center"/>
          </w:tcPr>
          <w:p>
            <w:pPr>
              <w:pStyle w:val="12"/>
            </w:pPr>
            <w:r>
              <w:t>≥90%</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5386" w:type="dxa"/>
            <w:vAlign w:val="center"/>
          </w:tcPr>
          <w:p>
            <w:pPr>
              <w:pStyle w:val="12"/>
            </w:pPr>
            <w:r>
              <w:t>相关培训工作完成时间</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预算金额</w:t>
            </w:r>
          </w:p>
        </w:tc>
        <w:tc>
          <w:tcPr>
            <w:tcW w:w="2268" w:type="dxa"/>
            <w:vAlign w:val="center"/>
          </w:tcPr>
          <w:p>
            <w:pPr>
              <w:pStyle w:val="12"/>
            </w:pPr>
            <w:r>
              <w:t>保障农村财会人员工作正常进行</w:t>
            </w:r>
          </w:p>
        </w:tc>
        <w:tc>
          <w:tcPr>
            <w:tcW w:w="1276" w:type="dxa"/>
            <w:vAlign w:val="center"/>
          </w:tcPr>
          <w:p>
            <w:pPr>
              <w:pStyle w:val="12"/>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确保培训工作正常进行</w:t>
            </w:r>
          </w:p>
        </w:tc>
        <w:tc>
          <w:tcPr>
            <w:tcW w:w="2268" w:type="dxa"/>
            <w:vAlign w:val="center"/>
          </w:tcPr>
          <w:p>
            <w:pPr>
              <w:pStyle w:val="12"/>
            </w:pPr>
            <w:r>
              <w:t>保障农村财会人员工作正常进行</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农村财会人员工作正常进行</w:t>
            </w:r>
          </w:p>
        </w:tc>
        <w:tc>
          <w:tcPr>
            <w:tcW w:w="5386" w:type="dxa"/>
            <w:vAlign w:val="center"/>
          </w:tcPr>
          <w:p>
            <w:pPr>
              <w:pStyle w:val="12"/>
            </w:pPr>
            <w:r>
              <w:t>保证农村财会人员工作正常进行</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保障农村财会工作发展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提升农村财会人员业务能力</w:t>
            </w:r>
          </w:p>
        </w:tc>
        <w:tc>
          <w:tcPr>
            <w:tcW w:w="2268" w:type="dxa"/>
            <w:vAlign w:val="center"/>
          </w:tcPr>
          <w:p>
            <w:pPr>
              <w:pStyle w:val="12"/>
            </w:pPr>
            <w:r>
              <w:t>农村财会人员工作业务能力增强</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参训对象满意度</w:t>
            </w:r>
          </w:p>
        </w:tc>
        <w:tc>
          <w:tcPr>
            <w:tcW w:w="5386" w:type="dxa"/>
            <w:vAlign w:val="center"/>
          </w:tcPr>
          <w:p>
            <w:pPr>
              <w:pStyle w:val="12"/>
            </w:pPr>
            <w:r>
              <w:t>参训对象满意度</w:t>
            </w:r>
          </w:p>
        </w:tc>
        <w:tc>
          <w:tcPr>
            <w:tcW w:w="2268" w:type="dxa"/>
            <w:vAlign w:val="center"/>
          </w:tcPr>
          <w:p>
            <w:pPr>
              <w:pStyle w:val="12"/>
            </w:pPr>
            <w:r>
              <w:t>≥90%</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318001无极县财政局本级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无极县财政局本级上年末固定资产金额为307.77万元（详见下表）。本年度拟购置固定资产总额为0.00万元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318001无极县财政局本级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1400.08</w:t>
            </w:r>
          </w:p>
        </w:tc>
        <w:tc>
          <w:tcPr>
            <w:tcW w:w="2835" w:type="dxa"/>
            <w:vAlign w:val="center"/>
          </w:tcPr>
          <w:p>
            <w:pPr>
              <w:pStyle w:val="11"/>
            </w:pPr>
            <w:r>
              <w:t>278.56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679</w:t>
            </w:r>
          </w:p>
        </w:tc>
        <w:tc>
          <w:tcPr>
            <w:tcW w:w="2835" w:type="dxa"/>
            <w:vAlign w:val="center"/>
          </w:tcPr>
          <w:p>
            <w:pPr>
              <w:pStyle w:val="11"/>
            </w:pPr>
            <w:r>
              <w:t>129.12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5F607B"/>
    <w:rsid w:val="5079632E"/>
    <w:rsid w:val="705918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12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2025-09-10T10:59:00Z</dcterms:created>
  <dc:creator>lenovo</dc:creator>
  <cp:lastModifiedBy>浮生</cp:lastModifiedBy>
  <dcterms:modified xsi:type="dcterms:W3CDTF">2025-10-29T06:36:13Z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FDA813C3F4BD4B5AA043C01EF4913077</vt:lpwstr>
  </property>
</Properties>
</file>