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318无极县财政局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1336.70</w:t>
            </w:r>
          </w:p>
        </w:tc>
        <w:tc>
          <w:tcPr>
            <w:tcW w:w="4535" w:type="dxa"/>
            <w:vAlign w:val="center"/>
          </w:tcPr>
          <w:p>
            <w:pPr>
              <w:pStyle w:val="13"/>
            </w:pPr>
            <w:r>
              <w:t>一、一般公共服务支出</w:t>
            </w:r>
          </w:p>
        </w:tc>
        <w:tc>
          <w:tcPr>
            <w:tcW w:w="2126" w:type="dxa"/>
            <w:vAlign w:val="center"/>
          </w:tcPr>
          <w:p>
            <w:pPr>
              <w:pStyle w:val="12"/>
            </w:pPr>
            <w:r>
              <w:t>1125.00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1336.70</w:t>
            </w:r>
          </w:p>
        </w:tc>
        <w:tc>
          <w:tcPr>
            <w:tcW w:w="4535" w:type="dxa"/>
            <w:vAlign w:val="center"/>
          </w:tcPr>
          <w:p>
            <w:pPr>
              <w:pStyle w:val="15"/>
            </w:pPr>
            <w:r>
              <w:t>本年支出合计</w:t>
            </w:r>
          </w:p>
        </w:tc>
        <w:tc>
          <w:tcPr>
            <w:tcW w:w="2126" w:type="dxa"/>
            <w:vAlign w:val="center"/>
          </w:tcPr>
          <w:p>
            <w:pPr>
              <w:pStyle w:val="16"/>
            </w:pPr>
            <w:r>
              <w:t>1336.70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1336.70</w:t>
            </w:r>
          </w:p>
        </w:tc>
        <w:tc>
          <w:tcPr>
            <w:tcW w:w="4535" w:type="dxa"/>
            <w:vAlign w:val="center"/>
          </w:tcPr>
          <w:p>
            <w:pPr>
              <w:pStyle w:val="15"/>
            </w:pPr>
            <w:r>
              <w:t>支出总计</w:t>
            </w:r>
          </w:p>
        </w:tc>
        <w:tc>
          <w:tcPr>
            <w:tcW w:w="2126" w:type="dxa"/>
            <w:vAlign w:val="center"/>
          </w:tcPr>
          <w:p>
            <w:pPr>
              <w:pStyle w:val="16"/>
            </w:pPr>
            <w:r>
              <w:t>1336.70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318无极县财政局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1336.70</w:t>
            </w:r>
          </w:p>
        </w:tc>
        <w:tc>
          <w:tcPr>
            <w:tcW w:w="1134" w:type="dxa"/>
            <w:vAlign w:val="center"/>
          </w:tcPr>
          <w:p>
            <w:pPr>
              <w:pStyle w:val="16"/>
            </w:pPr>
            <w:r>
              <w:t>1336.70</w:t>
            </w:r>
          </w:p>
        </w:tc>
        <w:tc>
          <w:tcPr>
            <w:tcW w:w="1134" w:type="dxa"/>
            <w:vAlign w:val="center"/>
          </w:tcPr>
          <w:p>
            <w:pPr>
              <w:pStyle w:val="16"/>
            </w:pPr>
            <w:r>
              <w:t>1336.70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1125.00</w:t>
            </w:r>
          </w:p>
        </w:tc>
        <w:tc>
          <w:tcPr>
            <w:tcW w:w="1134" w:type="dxa"/>
            <w:vAlign w:val="center"/>
          </w:tcPr>
          <w:p>
            <w:pPr>
              <w:pStyle w:val="12"/>
            </w:pPr>
            <w:r>
              <w:t>1125.00</w:t>
            </w:r>
          </w:p>
        </w:tc>
        <w:tc>
          <w:tcPr>
            <w:tcW w:w="1134" w:type="dxa"/>
            <w:vAlign w:val="center"/>
          </w:tcPr>
          <w:p>
            <w:pPr>
              <w:pStyle w:val="12"/>
            </w:pPr>
            <w:r>
              <w:t>1125.00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1125.00</w:t>
            </w:r>
          </w:p>
        </w:tc>
        <w:tc>
          <w:tcPr>
            <w:tcW w:w="1134" w:type="dxa"/>
            <w:vAlign w:val="center"/>
          </w:tcPr>
          <w:p>
            <w:pPr>
              <w:pStyle w:val="12"/>
            </w:pPr>
            <w:r>
              <w:t>1125.00</w:t>
            </w:r>
          </w:p>
        </w:tc>
        <w:tc>
          <w:tcPr>
            <w:tcW w:w="1134" w:type="dxa"/>
            <w:vAlign w:val="center"/>
          </w:tcPr>
          <w:p>
            <w:pPr>
              <w:pStyle w:val="12"/>
            </w:pPr>
            <w:r>
              <w:t>1125.00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1125.00</w:t>
            </w:r>
          </w:p>
        </w:tc>
        <w:tc>
          <w:tcPr>
            <w:tcW w:w="1134" w:type="dxa"/>
            <w:vAlign w:val="center"/>
          </w:tcPr>
          <w:p>
            <w:pPr>
              <w:pStyle w:val="12"/>
            </w:pPr>
            <w:r>
              <w:t>1125.00</w:t>
            </w:r>
          </w:p>
        </w:tc>
        <w:tc>
          <w:tcPr>
            <w:tcW w:w="1134" w:type="dxa"/>
            <w:vAlign w:val="center"/>
          </w:tcPr>
          <w:p>
            <w:pPr>
              <w:pStyle w:val="12"/>
            </w:pPr>
            <w:r>
              <w:t>1125.00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161.70</w:t>
            </w:r>
          </w:p>
        </w:tc>
        <w:tc>
          <w:tcPr>
            <w:tcW w:w="1134" w:type="dxa"/>
            <w:vAlign w:val="center"/>
          </w:tcPr>
          <w:p>
            <w:pPr>
              <w:pStyle w:val="12"/>
            </w:pPr>
            <w:r>
              <w:t>161.70</w:t>
            </w:r>
          </w:p>
        </w:tc>
        <w:tc>
          <w:tcPr>
            <w:tcW w:w="1134" w:type="dxa"/>
            <w:vAlign w:val="center"/>
          </w:tcPr>
          <w:p>
            <w:pPr>
              <w:pStyle w:val="12"/>
            </w:pPr>
            <w:r>
              <w:t>161.70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155.00</w:t>
            </w:r>
          </w:p>
        </w:tc>
        <w:tc>
          <w:tcPr>
            <w:tcW w:w="1134" w:type="dxa"/>
            <w:vAlign w:val="center"/>
          </w:tcPr>
          <w:p>
            <w:pPr>
              <w:pStyle w:val="12"/>
            </w:pPr>
            <w:r>
              <w:t>155.00</w:t>
            </w:r>
          </w:p>
        </w:tc>
        <w:tc>
          <w:tcPr>
            <w:tcW w:w="1134" w:type="dxa"/>
            <w:vAlign w:val="center"/>
          </w:tcPr>
          <w:p>
            <w:pPr>
              <w:pStyle w:val="12"/>
            </w:pPr>
            <w:r>
              <w:t>155.00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4.70</w:t>
            </w:r>
          </w:p>
        </w:tc>
        <w:tc>
          <w:tcPr>
            <w:tcW w:w="1134" w:type="dxa"/>
            <w:vAlign w:val="center"/>
          </w:tcPr>
          <w:p>
            <w:pPr>
              <w:pStyle w:val="12"/>
            </w:pPr>
            <w:r>
              <w:t>4.70</w:t>
            </w:r>
          </w:p>
        </w:tc>
        <w:tc>
          <w:tcPr>
            <w:tcW w:w="1134" w:type="dxa"/>
            <w:vAlign w:val="center"/>
          </w:tcPr>
          <w:p>
            <w:pPr>
              <w:pStyle w:val="12"/>
            </w:pPr>
            <w:r>
              <w:t>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1336.70</w:t>
            </w:r>
          </w:p>
        </w:tc>
        <w:tc>
          <w:tcPr>
            <w:tcW w:w="1361" w:type="dxa"/>
            <w:vAlign w:val="center"/>
          </w:tcPr>
          <w:p>
            <w:pPr>
              <w:pStyle w:val="16"/>
            </w:pPr>
            <w:r>
              <w:t>1326.70</w:t>
            </w:r>
          </w:p>
        </w:tc>
        <w:tc>
          <w:tcPr>
            <w:tcW w:w="1361" w:type="dxa"/>
            <w:vAlign w:val="center"/>
          </w:tcPr>
          <w:p>
            <w:pPr>
              <w:pStyle w:val="16"/>
            </w:pPr>
            <w:r>
              <w:t>10.00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1125.00</w:t>
            </w:r>
          </w:p>
        </w:tc>
        <w:tc>
          <w:tcPr>
            <w:tcW w:w="1361" w:type="dxa"/>
            <w:vAlign w:val="center"/>
          </w:tcPr>
          <w:p>
            <w:pPr>
              <w:pStyle w:val="12"/>
            </w:pPr>
            <w:r>
              <w:t>1125.00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1125.00</w:t>
            </w:r>
          </w:p>
        </w:tc>
        <w:tc>
          <w:tcPr>
            <w:tcW w:w="1361" w:type="dxa"/>
            <w:vAlign w:val="center"/>
          </w:tcPr>
          <w:p>
            <w:pPr>
              <w:pStyle w:val="12"/>
            </w:pPr>
            <w:r>
              <w:t>1125.00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1125.00</w:t>
            </w:r>
          </w:p>
        </w:tc>
        <w:tc>
          <w:tcPr>
            <w:tcW w:w="1361" w:type="dxa"/>
            <w:vAlign w:val="center"/>
          </w:tcPr>
          <w:p>
            <w:pPr>
              <w:pStyle w:val="12"/>
            </w:pPr>
            <w:r>
              <w:t>1125.00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161.70</w:t>
            </w:r>
          </w:p>
        </w:tc>
        <w:tc>
          <w:tcPr>
            <w:tcW w:w="1361" w:type="dxa"/>
            <w:vAlign w:val="center"/>
          </w:tcPr>
          <w:p>
            <w:pPr>
              <w:pStyle w:val="12"/>
            </w:pPr>
            <w:r>
              <w:t>161.70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155.00</w:t>
            </w:r>
          </w:p>
        </w:tc>
        <w:tc>
          <w:tcPr>
            <w:tcW w:w="1361" w:type="dxa"/>
            <w:vAlign w:val="center"/>
          </w:tcPr>
          <w:p>
            <w:pPr>
              <w:pStyle w:val="12"/>
            </w:pPr>
            <w:r>
              <w:t>155.00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130.00</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6.70</w:t>
            </w:r>
          </w:p>
        </w:tc>
        <w:tc>
          <w:tcPr>
            <w:tcW w:w="1361" w:type="dxa"/>
            <w:vAlign w:val="center"/>
          </w:tcPr>
          <w:p>
            <w:pPr>
              <w:pStyle w:val="12"/>
            </w:pPr>
            <w:r>
              <w:t>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4.70</w:t>
            </w:r>
          </w:p>
        </w:tc>
        <w:tc>
          <w:tcPr>
            <w:tcW w:w="1361" w:type="dxa"/>
            <w:vAlign w:val="center"/>
          </w:tcPr>
          <w:p>
            <w:pPr>
              <w:pStyle w:val="12"/>
            </w:pPr>
            <w:r>
              <w:t>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1336.70</w:t>
            </w:r>
          </w:p>
        </w:tc>
        <w:tc>
          <w:tcPr>
            <w:tcW w:w="3402" w:type="dxa"/>
            <w:vAlign w:val="center"/>
          </w:tcPr>
          <w:p>
            <w:pPr>
              <w:pStyle w:val="13"/>
            </w:pPr>
            <w:r>
              <w:t>一、一般公共服务支出</w:t>
            </w:r>
          </w:p>
        </w:tc>
        <w:tc>
          <w:tcPr>
            <w:tcW w:w="1474" w:type="dxa"/>
            <w:vAlign w:val="center"/>
          </w:tcPr>
          <w:p>
            <w:pPr>
              <w:pStyle w:val="12"/>
            </w:pPr>
            <w:r>
              <w:t>1125.00</w:t>
            </w:r>
          </w:p>
        </w:tc>
        <w:tc>
          <w:tcPr>
            <w:tcW w:w="1474" w:type="dxa"/>
            <w:vAlign w:val="center"/>
          </w:tcPr>
          <w:p>
            <w:pPr>
              <w:pStyle w:val="12"/>
            </w:pPr>
            <w:r>
              <w:t>1125.00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161.70</w:t>
            </w:r>
          </w:p>
        </w:tc>
        <w:tc>
          <w:tcPr>
            <w:tcW w:w="1474" w:type="dxa"/>
            <w:vAlign w:val="center"/>
          </w:tcPr>
          <w:p>
            <w:pPr>
              <w:pStyle w:val="12"/>
            </w:pPr>
            <w:r>
              <w:t>161.70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40.00</w:t>
            </w:r>
          </w:p>
        </w:tc>
        <w:tc>
          <w:tcPr>
            <w:tcW w:w="1474" w:type="dxa"/>
            <w:vAlign w:val="center"/>
          </w:tcPr>
          <w:p>
            <w:pPr>
              <w:pStyle w:val="12"/>
            </w:pPr>
            <w:r>
              <w:t>40.00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10.00</w:t>
            </w:r>
          </w:p>
        </w:tc>
        <w:tc>
          <w:tcPr>
            <w:tcW w:w="1474" w:type="dxa"/>
            <w:vAlign w:val="center"/>
          </w:tcPr>
          <w:p>
            <w:pPr>
              <w:pStyle w:val="12"/>
            </w:pPr>
            <w:r>
              <w:t>10.00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1336.70</w:t>
            </w:r>
          </w:p>
        </w:tc>
        <w:tc>
          <w:tcPr>
            <w:tcW w:w="3402" w:type="dxa"/>
            <w:vAlign w:val="center"/>
          </w:tcPr>
          <w:p>
            <w:pPr>
              <w:pStyle w:val="15"/>
            </w:pPr>
            <w:r>
              <w:t>本年支出合计</w:t>
            </w:r>
          </w:p>
        </w:tc>
        <w:tc>
          <w:tcPr>
            <w:tcW w:w="1474" w:type="dxa"/>
            <w:vAlign w:val="center"/>
          </w:tcPr>
          <w:p>
            <w:pPr>
              <w:pStyle w:val="16"/>
            </w:pPr>
            <w:r>
              <w:t>1336.70</w:t>
            </w:r>
          </w:p>
        </w:tc>
        <w:tc>
          <w:tcPr>
            <w:tcW w:w="1474" w:type="dxa"/>
            <w:vAlign w:val="center"/>
          </w:tcPr>
          <w:p>
            <w:pPr>
              <w:pStyle w:val="16"/>
            </w:pPr>
            <w:r>
              <w:t>1336.70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1336.70</w:t>
            </w:r>
          </w:p>
        </w:tc>
        <w:tc>
          <w:tcPr>
            <w:tcW w:w="3402" w:type="dxa"/>
            <w:vAlign w:val="center"/>
          </w:tcPr>
          <w:p>
            <w:pPr>
              <w:pStyle w:val="15"/>
            </w:pPr>
            <w:r>
              <w:t>支出总计</w:t>
            </w:r>
          </w:p>
        </w:tc>
        <w:tc>
          <w:tcPr>
            <w:tcW w:w="1474" w:type="dxa"/>
            <w:vAlign w:val="center"/>
          </w:tcPr>
          <w:p>
            <w:pPr>
              <w:pStyle w:val="16"/>
            </w:pPr>
            <w:r>
              <w:t>1336.70</w:t>
            </w:r>
          </w:p>
        </w:tc>
        <w:tc>
          <w:tcPr>
            <w:tcW w:w="1474" w:type="dxa"/>
            <w:vAlign w:val="center"/>
          </w:tcPr>
          <w:p>
            <w:pPr>
              <w:pStyle w:val="16"/>
            </w:pPr>
            <w:r>
              <w:t>1336.70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1336.70</w:t>
            </w:r>
          </w:p>
        </w:tc>
        <w:tc>
          <w:tcPr>
            <w:tcW w:w="2551" w:type="dxa"/>
            <w:vAlign w:val="center"/>
          </w:tcPr>
          <w:p>
            <w:pPr>
              <w:pStyle w:val="16"/>
            </w:pPr>
            <w:r>
              <w:t>1326.70</w:t>
            </w:r>
          </w:p>
        </w:tc>
        <w:tc>
          <w:tcPr>
            <w:tcW w:w="2551" w:type="dxa"/>
            <w:vAlign w:val="center"/>
          </w:tcPr>
          <w:p>
            <w:pPr>
              <w:pStyle w:val="16"/>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1125.00</w:t>
            </w:r>
          </w:p>
        </w:tc>
        <w:tc>
          <w:tcPr>
            <w:tcW w:w="2551" w:type="dxa"/>
            <w:vAlign w:val="center"/>
          </w:tcPr>
          <w:p>
            <w:pPr>
              <w:pStyle w:val="12"/>
            </w:pPr>
            <w:r>
              <w:t>1125.00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1125.00</w:t>
            </w:r>
          </w:p>
        </w:tc>
        <w:tc>
          <w:tcPr>
            <w:tcW w:w="2551" w:type="dxa"/>
            <w:vAlign w:val="center"/>
          </w:tcPr>
          <w:p>
            <w:pPr>
              <w:pStyle w:val="12"/>
            </w:pPr>
            <w:r>
              <w:t>1125.00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1125.00</w:t>
            </w:r>
          </w:p>
        </w:tc>
        <w:tc>
          <w:tcPr>
            <w:tcW w:w="2551" w:type="dxa"/>
            <w:vAlign w:val="center"/>
          </w:tcPr>
          <w:p>
            <w:pPr>
              <w:pStyle w:val="12"/>
            </w:pPr>
            <w:r>
              <w:t>1125.00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161.70</w:t>
            </w:r>
          </w:p>
        </w:tc>
        <w:tc>
          <w:tcPr>
            <w:tcW w:w="2551" w:type="dxa"/>
            <w:vAlign w:val="center"/>
          </w:tcPr>
          <w:p>
            <w:pPr>
              <w:pStyle w:val="12"/>
            </w:pPr>
            <w:r>
              <w:t>161.70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155.00</w:t>
            </w:r>
          </w:p>
        </w:tc>
        <w:tc>
          <w:tcPr>
            <w:tcW w:w="2551" w:type="dxa"/>
            <w:vAlign w:val="center"/>
          </w:tcPr>
          <w:p>
            <w:pPr>
              <w:pStyle w:val="12"/>
            </w:pPr>
            <w:r>
              <w:t>155.00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6.70</w:t>
            </w:r>
          </w:p>
        </w:tc>
        <w:tc>
          <w:tcPr>
            <w:tcW w:w="2551" w:type="dxa"/>
            <w:vAlign w:val="center"/>
          </w:tcPr>
          <w:p>
            <w:pPr>
              <w:pStyle w:val="12"/>
            </w:pPr>
            <w:r>
              <w:t>6.70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4.70</w:t>
            </w:r>
          </w:p>
        </w:tc>
        <w:tc>
          <w:tcPr>
            <w:tcW w:w="2551" w:type="dxa"/>
            <w:vAlign w:val="center"/>
          </w:tcPr>
          <w:p>
            <w:pPr>
              <w:pStyle w:val="12"/>
            </w:pPr>
            <w:r>
              <w:t>4.70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1326.70</w:t>
            </w:r>
          </w:p>
        </w:tc>
        <w:tc>
          <w:tcPr>
            <w:tcW w:w="2551" w:type="dxa"/>
            <w:vAlign w:val="center"/>
          </w:tcPr>
          <w:p>
            <w:pPr>
              <w:pStyle w:val="16"/>
            </w:pPr>
            <w:r>
              <w:t>1171.20</w:t>
            </w:r>
          </w:p>
        </w:tc>
        <w:tc>
          <w:tcPr>
            <w:tcW w:w="2551" w:type="dxa"/>
            <w:vAlign w:val="center"/>
          </w:tcPr>
          <w:p>
            <w:pPr>
              <w:pStyle w:val="16"/>
            </w:pPr>
            <w:r>
              <w:t>155.50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1040.20</w:t>
            </w:r>
          </w:p>
        </w:tc>
        <w:tc>
          <w:tcPr>
            <w:tcW w:w="2551" w:type="dxa"/>
            <w:vAlign w:val="center"/>
          </w:tcPr>
          <w:p>
            <w:pPr>
              <w:pStyle w:val="12"/>
            </w:pPr>
            <w:r>
              <w:t>1040.20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520.00</w:t>
            </w:r>
          </w:p>
        </w:tc>
        <w:tc>
          <w:tcPr>
            <w:tcW w:w="2551" w:type="dxa"/>
            <w:vAlign w:val="center"/>
          </w:tcPr>
          <w:p>
            <w:pPr>
              <w:pStyle w:val="12"/>
            </w:pPr>
            <w:r>
              <w:t>520.00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98.00</w:t>
            </w:r>
          </w:p>
        </w:tc>
        <w:tc>
          <w:tcPr>
            <w:tcW w:w="2551" w:type="dxa"/>
            <w:vAlign w:val="center"/>
          </w:tcPr>
          <w:p>
            <w:pPr>
              <w:pStyle w:val="12"/>
            </w:pPr>
            <w:r>
              <w:t>98.00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68.00</w:t>
            </w:r>
          </w:p>
        </w:tc>
        <w:tc>
          <w:tcPr>
            <w:tcW w:w="2551" w:type="dxa"/>
            <w:vAlign w:val="center"/>
          </w:tcPr>
          <w:p>
            <w:pPr>
              <w:pStyle w:val="12"/>
            </w:pPr>
            <w:r>
              <w:t>68.00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152.50</w:t>
            </w:r>
          </w:p>
        </w:tc>
        <w:tc>
          <w:tcPr>
            <w:tcW w:w="2551" w:type="dxa"/>
            <w:vAlign w:val="center"/>
          </w:tcPr>
          <w:p>
            <w:pPr>
              <w:pStyle w:val="12"/>
            </w:pPr>
            <w:r>
              <w:t>152.50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6.70</w:t>
            </w:r>
          </w:p>
        </w:tc>
        <w:tc>
          <w:tcPr>
            <w:tcW w:w="2551" w:type="dxa"/>
            <w:vAlign w:val="center"/>
          </w:tcPr>
          <w:p>
            <w:pPr>
              <w:pStyle w:val="12"/>
            </w:pPr>
            <w:r>
              <w:t>6.70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155.50</w:t>
            </w:r>
          </w:p>
        </w:tc>
        <w:tc>
          <w:tcPr>
            <w:tcW w:w="2551" w:type="dxa"/>
            <w:vAlign w:val="center"/>
          </w:tcPr>
          <w:p>
            <w:pPr>
              <w:pStyle w:val="12"/>
            </w:pPr>
          </w:p>
        </w:tc>
        <w:tc>
          <w:tcPr>
            <w:tcW w:w="2551" w:type="dxa"/>
            <w:vAlign w:val="center"/>
          </w:tcPr>
          <w:p>
            <w:pPr>
              <w:pStyle w:val="12"/>
            </w:pPr>
            <w:r>
              <w:t>155.50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39.50</w:t>
            </w:r>
          </w:p>
        </w:tc>
        <w:tc>
          <w:tcPr>
            <w:tcW w:w="2551" w:type="dxa"/>
            <w:vAlign w:val="center"/>
          </w:tcPr>
          <w:p>
            <w:pPr>
              <w:pStyle w:val="12"/>
            </w:pPr>
          </w:p>
        </w:tc>
        <w:tc>
          <w:tcPr>
            <w:tcW w:w="2551" w:type="dxa"/>
            <w:vAlign w:val="center"/>
          </w:tcPr>
          <w:p>
            <w:pPr>
              <w:pStyle w:val="12"/>
            </w:pPr>
            <w:r>
              <w:t>39.50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84.00</w:t>
            </w:r>
          </w:p>
        </w:tc>
        <w:tc>
          <w:tcPr>
            <w:tcW w:w="2551" w:type="dxa"/>
            <w:vAlign w:val="center"/>
          </w:tcPr>
          <w:p>
            <w:pPr>
              <w:pStyle w:val="12"/>
            </w:pPr>
          </w:p>
        </w:tc>
        <w:tc>
          <w:tcPr>
            <w:tcW w:w="2551" w:type="dxa"/>
            <w:vAlign w:val="center"/>
          </w:tcPr>
          <w:p>
            <w:pPr>
              <w:pStyle w:val="12"/>
            </w:pPr>
            <w:r>
              <w:t>84.00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131.00</w:t>
            </w:r>
          </w:p>
        </w:tc>
        <w:tc>
          <w:tcPr>
            <w:tcW w:w="2551" w:type="dxa"/>
            <w:vAlign w:val="center"/>
          </w:tcPr>
          <w:p>
            <w:pPr>
              <w:pStyle w:val="12"/>
            </w:pPr>
            <w:r>
              <w:t>131.00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131.00</w:t>
            </w:r>
          </w:p>
        </w:tc>
        <w:tc>
          <w:tcPr>
            <w:tcW w:w="2551" w:type="dxa"/>
            <w:vAlign w:val="center"/>
          </w:tcPr>
          <w:p>
            <w:pPr>
              <w:pStyle w:val="12"/>
            </w:pPr>
            <w:r>
              <w:t>131.00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10.00</w:t>
            </w:r>
          </w:p>
        </w:tc>
        <w:tc>
          <w:tcPr>
            <w:tcW w:w="2381" w:type="dxa"/>
            <w:vAlign w:val="center"/>
          </w:tcPr>
          <w:p>
            <w:pPr>
              <w:pStyle w:val="16"/>
            </w:pPr>
            <w:r>
              <w:t>10.00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r>
              <w:t>10.00</w:t>
            </w:r>
          </w:p>
        </w:tc>
        <w:tc>
          <w:tcPr>
            <w:tcW w:w="2381" w:type="dxa"/>
            <w:vAlign w:val="center"/>
          </w:tcPr>
          <w:p>
            <w:pPr>
              <w:pStyle w:val="12"/>
            </w:pPr>
            <w:r>
              <w:t>10.00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无极县财政局2025年部门预算信息公开情况说明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无极县财政局2025年部门预算信息公开情况说明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按照《中华人民共和国预算法》、《地方预决算公开操作规程》和《关于进一步推进预算公开工作的实施意见》规定，现将无极县财政局2025年部门预算公开如下：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8"/>
      </w:pPr>
      <w:r>
        <w:t>（二）贯彻执行关于财政、税收、财务、会计管理方面的法律、法规、规章。</w:t>
      </w:r>
    </w:p>
    <w:p>
      <w:pPr>
        <w:pStyle w:val="18"/>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8"/>
      </w:pPr>
      <w:r>
        <w:t>（四）提出上级授权税目税率调整、减免和地方税收政策等重大事项的建议。组织推进税收制度改革。</w:t>
      </w:r>
    </w:p>
    <w:p>
      <w:pPr>
        <w:pStyle w:val="18"/>
      </w:pPr>
      <w:r>
        <w:t>（五）按分工负责政府非税收入管理。负责政府性基金管理，按规定管理行政事业性收费。管理财政票据。贯彻实施彩票管理政策和有关办法，参与管理彩票市场，按规定管理彩票资金。</w:t>
      </w:r>
    </w:p>
    <w:p>
      <w:pPr>
        <w:pStyle w:val="18"/>
      </w:pPr>
      <w:r>
        <w:t>（六）研究制定国库管理制度、国库集中收付制度，按规定开展国库资金现金管理工作。制定政府财务报告编制办法并组织实施。制定政府采购制度并监督管理。</w:t>
      </w:r>
    </w:p>
    <w:p>
      <w:pPr>
        <w:pStyle w:val="18"/>
      </w:pPr>
      <w:r>
        <w:t>（七）拟订政府债务管理制度和办法并组织实施。负责政府债务限额管理，按规定组织政府债券申报、转贷和还本付息等工作。执行国家外债管理政策，管理县政府国外债务。开展对外财经交流。</w:t>
      </w:r>
    </w:p>
    <w:p>
      <w:pPr>
        <w:pStyle w:val="18"/>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按照预算管理有关规定，目前部门预算的编制实行综合预算管理，即全部收入和支出都反映在预算中。无极县财政局机关及所属事业单位的收支包含在部门预算中。</w:t>
      </w:r>
    </w:p>
    <w:p>
      <w:pPr>
        <w:pStyle w:val="19"/>
      </w:pPr>
      <w:r>
        <w:t>1、收入说明</w:t>
      </w:r>
    </w:p>
    <w:p>
      <w:pPr>
        <w:pStyle w:val="19"/>
      </w:pPr>
      <w:r>
        <w:t>反映本部门当年全部收入。2025年预算收入1336.70万元，其中：一般公共预算收入1336.70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财政局年度部门预算中支出预算的总体情况。2025年支出预算1336.70万元，其中基本支出1326.70万元，包括人员经费1171.20万元和日常公用经费155.50万元；项目支出10.00万元，主要为农村财会人员培训。</w:t>
      </w:r>
    </w:p>
    <w:p>
      <w:pPr>
        <w:pStyle w:val="19"/>
      </w:pPr>
      <w:r>
        <w:t>3、比上年增减情况</w:t>
      </w:r>
    </w:p>
    <w:p>
      <w:pPr>
        <w:pStyle w:val="19"/>
      </w:pPr>
      <w:r>
        <w:t>2025年预算收支安排1336.70万元，较2024年预算减少899.05万元，其中：基本支出减少9.05万元，主要为人员减少。项目支出减少890.00万元，主要为项目减少。</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2025年，我部门机关运行经费共计安排</w:t>
      </w:r>
      <w:r>
        <w:rPr>
          <w:rFonts w:hint="eastAsia" w:ascii="Times New Roman" w:hAnsi="Times New Roman" w:eastAsia="方正仿宋_GBK" w:cs="Times New Roman"/>
          <w:sz w:val="28"/>
          <w:szCs w:val="24"/>
          <w:lang w:val="en-US" w:eastAsia="zh-CN" w:bidi="ar-SA"/>
        </w:rPr>
        <w:t>155.50</w:t>
      </w:r>
      <w:r>
        <w:rPr>
          <w:rFonts w:ascii="Times New Roman" w:hAnsi="Times New Roman" w:eastAsia="方正仿宋_GBK" w:cs="Times New Roman"/>
          <w:sz w:val="28"/>
          <w:szCs w:val="24"/>
          <w:lang w:val="en-US" w:eastAsia="uk-UA" w:bidi="ar-SA"/>
        </w:rPr>
        <w:t>万元，主要用于日常维修、办公用房水电费、办公用房取暖费、办公用房物业管理费等日常运行支出。</w:t>
      </w:r>
    </w:p>
    <w:p>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10.00万元，其中因公出国（境）费0.00万元；公务用车购置及运维费0.00万元（其中：公务用车购置费为0.00万元，公务用车运维费0.00万元)。与2024年相比增加10.00万元，增减变化的主要原因是</w:t>
      </w:r>
      <w:r>
        <w:rPr>
          <w:rFonts w:hint="eastAsia"/>
          <w:lang w:val="en-US" w:eastAsia="zh-CN"/>
        </w:rPr>
        <w:t>增加了</w:t>
      </w:r>
      <w:r>
        <w:t>农村财会人员培训</w:t>
      </w:r>
      <w:r>
        <w:rPr>
          <w:rFonts w:hint="eastAsia"/>
          <w:lang w:val="en-US" w:eastAsia="zh-CN"/>
        </w:rPr>
        <w:t>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rPr>
          <w:rFonts w:hint="eastAsia"/>
        </w:rPr>
        <w:t>构建财政事权清晰、服务社会公共需要、管理科学规范的公共财政体系，继续加大对农业、社保、科技、教育、卫生、环保等公共民生领域的投入。</w:t>
      </w:r>
    </w:p>
    <w:p>
      <w:pPr>
        <w:numPr>
          <w:ilvl w:val="0"/>
          <w:numId w:val="2"/>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分项绩效目标</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拟订财税发展规划、政策和改革方案并组织实施。分析预测宏观经济形势，参与制定各项宏观经济政策，提出运用财税政策实施宏观调控和综合平衡社会财力的建议；完善鼓励公益事业发展的财税政策</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rPr>
          <w:rFonts w:hint="eastAsia"/>
        </w:rPr>
        <w:t>加强支出管理。通过优化支出结构、编细编实预算、加快履行政府采购手续、尽快启动项目、及时支付资金、6月底前细化代编预算、按规定及时下达资金等多种措施，确保支出进度达标。</w:t>
      </w:r>
    </w:p>
    <w:p>
      <w:pPr>
        <w:numPr>
          <w:ilvl w:val="0"/>
          <w:numId w:val="3"/>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1、关于提前下达2025年省级农村财会人员培训资金预算的通知绩效目标表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13013025P000176101510</w:t>
            </w:r>
          </w:p>
        </w:tc>
        <w:tc>
          <w:tcPr>
            <w:tcW w:w="2835" w:type="dxa"/>
            <w:vAlign w:val="center"/>
          </w:tcPr>
          <w:p>
            <w:pPr>
              <w:pStyle w:val="11"/>
            </w:pPr>
            <w:r>
              <w:t>项目名称</w:t>
            </w:r>
          </w:p>
        </w:tc>
        <w:tc>
          <w:tcPr>
            <w:tcW w:w="6095" w:type="dxa"/>
            <w:gridSpan w:val="3"/>
            <w:vAlign w:val="center"/>
          </w:tcPr>
          <w:p>
            <w:pPr>
              <w:pStyle w:val="13"/>
            </w:pPr>
            <w:r>
              <w:t>关于提前下达2025年省级农村财会人员培训资金预算的通知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用于农村财会人员培训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1.完成农村财会人员培训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举办业务培训</w:t>
            </w:r>
          </w:p>
        </w:tc>
        <w:tc>
          <w:tcPr>
            <w:tcW w:w="5386" w:type="dxa"/>
            <w:vAlign w:val="center"/>
          </w:tcPr>
          <w:p>
            <w:pPr>
              <w:pStyle w:val="13"/>
            </w:pPr>
            <w:r>
              <w:t>组织召开全县农村财会人员培训会</w:t>
            </w:r>
          </w:p>
        </w:tc>
        <w:tc>
          <w:tcPr>
            <w:tcW w:w="2268" w:type="dxa"/>
            <w:vAlign w:val="center"/>
          </w:tcPr>
          <w:p>
            <w:pPr>
              <w:pStyle w:val="13"/>
            </w:pPr>
            <w:r>
              <w:t>≥2次</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保障培训工作顺利完成</w:t>
            </w:r>
          </w:p>
        </w:tc>
        <w:tc>
          <w:tcPr>
            <w:tcW w:w="5386" w:type="dxa"/>
            <w:vAlign w:val="center"/>
          </w:tcPr>
          <w:p>
            <w:pPr>
              <w:pStyle w:val="13"/>
            </w:pPr>
            <w:r>
              <w:t>培训工作完成程度</w:t>
            </w:r>
          </w:p>
        </w:tc>
        <w:tc>
          <w:tcPr>
            <w:tcW w:w="2268" w:type="dxa"/>
            <w:vAlign w:val="center"/>
          </w:tcPr>
          <w:p>
            <w:pPr>
              <w:pStyle w:val="13"/>
            </w:pPr>
            <w:r>
              <w:t>≥90%</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相关培训工作完成时间</w:t>
            </w:r>
          </w:p>
        </w:tc>
        <w:tc>
          <w:tcPr>
            <w:tcW w:w="5386" w:type="dxa"/>
            <w:vAlign w:val="center"/>
          </w:tcPr>
          <w:p>
            <w:pPr>
              <w:pStyle w:val="13"/>
            </w:pPr>
            <w:r>
              <w:t>相关培训工作完成时间</w:t>
            </w:r>
          </w:p>
        </w:tc>
        <w:tc>
          <w:tcPr>
            <w:tcW w:w="2268" w:type="dxa"/>
            <w:vAlign w:val="center"/>
          </w:tcPr>
          <w:p>
            <w:pPr>
              <w:pStyle w:val="13"/>
            </w:pPr>
            <w:r>
              <w:t>保证农村财会人员工作正常进行</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预算金额</w:t>
            </w:r>
          </w:p>
        </w:tc>
        <w:tc>
          <w:tcPr>
            <w:tcW w:w="2268" w:type="dxa"/>
            <w:vAlign w:val="center"/>
          </w:tcPr>
          <w:p>
            <w:pPr>
              <w:pStyle w:val="13"/>
            </w:pPr>
            <w:r>
              <w:t>保障农村财会人员工作正常进行</w:t>
            </w:r>
          </w:p>
        </w:tc>
        <w:tc>
          <w:tcPr>
            <w:tcW w:w="1276" w:type="dxa"/>
            <w:vAlign w:val="center"/>
          </w:tcPr>
          <w:p>
            <w:pPr>
              <w:pStyle w:val="13"/>
            </w:pPr>
            <w:r>
              <w:t>预算控制数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确保培训工作正常进行</w:t>
            </w:r>
          </w:p>
        </w:tc>
        <w:tc>
          <w:tcPr>
            <w:tcW w:w="2268" w:type="dxa"/>
            <w:vAlign w:val="center"/>
          </w:tcPr>
          <w:p>
            <w:pPr>
              <w:pStyle w:val="13"/>
            </w:pPr>
            <w:r>
              <w:t>保障农村财会人员工作正常进行</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农村财会人员工作正常进行</w:t>
            </w:r>
          </w:p>
        </w:tc>
        <w:tc>
          <w:tcPr>
            <w:tcW w:w="5386" w:type="dxa"/>
            <w:vAlign w:val="center"/>
          </w:tcPr>
          <w:p>
            <w:pPr>
              <w:pStyle w:val="13"/>
            </w:pPr>
            <w:r>
              <w:t>保证农村财会人员工作正常进行</w:t>
            </w:r>
          </w:p>
        </w:tc>
        <w:tc>
          <w:tcPr>
            <w:tcW w:w="2268" w:type="dxa"/>
            <w:vAlign w:val="center"/>
          </w:tcPr>
          <w:p>
            <w:pPr>
              <w:pStyle w:val="13"/>
            </w:pPr>
            <w:r>
              <w:t>保证农村财会人员工作正常进行</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保障农村财会工作发展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提升农村财会人员业务能力</w:t>
            </w:r>
          </w:p>
        </w:tc>
        <w:tc>
          <w:tcPr>
            <w:tcW w:w="2268" w:type="dxa"/>
            <w:vAlign w:val="center"/>
          </w:tcPr>
          <w:p>
            <w:pPr>
              <w:pStyle w:val="13"/>
            </w:pPr>
            <w:r>
              <w:t>农村财会人员工作业务能力增强</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参训对象满意度</w:t>
            </w:r>
          </w:p>
        </w:tc>
        <w:tc>
          <w:tcPr>
            <w:tcW w:w="5386" w:type="dxa"/>
            <w:vAlign w:val="center"/>
          </w:tcPr>
          <w:p>
            <w:pPr>
              <w:pStyle w:val="13"/>
            </w:pPr>
            <w:r>
              <w:t>参训对象满意度</w:t>
            </w:r>
          </w:p>
        </w:tc>
        <w:tc>
          <w:tcPr>
            <w:tcW w:w="2268" w:type="dxa"/>
            <w:vAlign w:val="center"/>
          </w:tcPr>
          <w:p>
            <w:pPr>
              <w:pStyle w:val="13"/>
            </w:pPr>
            <w:r>
              <w:t>≥90%</w:t>
            </w:r>
          </w:p>
        </w:tc>
        <w:tc>
          <w:tcPr>
            <w:tcW w:w="1276" w:type="dxa"/>
            <w:vAlign w:val="center"/>
          </w:tcPr>
          <w:p>
            <w:pPr>
              <w:pStyle w:val="13"/>
            </w:pPr>
            <w:r>
              <w:t>根据工作需要</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318无极县财政局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无极县财政局（含所属单位）上年末固定资产金额为307.77万元（详见下表）。本年度拟购置固定资产总额为0.00万元。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bookmarkStart w:id="20" w:name="_GoBack"/>
      <w:bookmarkEnd w:id="2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318无极县财政局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307.77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1400.08</w:t>
            </w:r>
          </w:p>
        </w:tc>
        <w:tc>
          <w:tcPr>
            <w:tcW w:w="2835" w:type="dxa"/>
            <w:vAlign w:val="center"/>
          </w:tcPr>
          <w:p>
            <w:pPr>
              <w:pStyle w:val="12"/>
            </w:pPr>
            <w:r>
              <w:t>278.56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679</w:t>
            </w:r>
          </w:p>
        </w:tc>
        <w:tc>
          <w:tcPr>
            <w:tcW w:w="2835" w:type="dxa"/>
            <w:vAlign w:val="center"/>
          </w:tcPr>
          <w:p>
            <w:pPr>
              <w:pStyle w:val="12"/>
            </w:pPr>
            <w:r>
              <w:t>129.12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52A671"/>
    <w:multiLevelType w:val="singleLevel"/>
    <w:tmpl w:val="E152A671"/>
    <w:lvl w:ilvl="0" w:tentative="0">
      <w:start w:val="3"/>
      <w:numFmt w:val="chineseCounting"/>
      <w:suff w:val="nothing"/>
      <w:lvlText w:val="%1、"/>
      <w:lvlJc w:val="left"/>
      <w:rPr>
        <w:rFonts w:hint="eastAsia"/>
      </w:rPr>
    </w:lvl>
  </w:abstractNum>
  <w:abstractNum w:abstractNumId="1">
    <w:nsid w:val="372F1A67"/>
    <w:multiLevelType w:val="singleLevel"/>
    <w:tmpl w:val="372F1A67"/>
    <w:lvl w:ilvl="0" w:tentative="0">
      <w:start w:val="6"/>
      <w:numFmt w:val="chineseCounting"/>
      <w:suff w:val="nothing"/>
      <w:lvlText w:val="%1、"/>
      <w:lvlJc w:val="left"/>
      <w:rPr>
        <w:rFonts w:hint="eastAsia"/>
      </w:rPr>
    </w:lvl>
  </w:abstractNum>
  <w:abstractNum w:abstractNumId="2">
    <w:nsid w:val="66D298DA"/>
    <w:multiLevelType w:val="singleLevel"/>
    <w:tmpl w:val="66D298DA"/>
    <w:lvl w:ilvl="0" w:tentative="0">
      <w:start w:val="2"/>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DC31A9"/>
    <w:rsid w:val="17095D2C"/>
    <w:rsid w:val="25E812A1"/>
    <w:rsid w:val="3CE121BB"/>
    <w:rsid w:val="46E83DE4"/>
    <w:rsid w:val="73D93487"/>
    <w:rsid w:val="7578637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45</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2025-09-10T10:58:00Z</dcterms:created>
  <dc:creator>lenovo</dc:creator>
  <cp:lastModifiedBy>浮生</cp:lastModifiedBy>
  <dcterms:modified xsi:type="dcterms:W3CDTF">2025-10-29T06:36:53Z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FF835CA283F2494ABC8FE2B7076EB0B1</vt:lpwstr>
  </property>
</Properties>
</file>