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EEE76F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eastAsia="方正仿宋_GBK"/>
          <w:color w:val="000000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eastAsia="方正仿宋_GBK"/>
          <w:color w:val="000000"/>
          <w:sz w:val="32"/>
          <w:szCs w:val="32"/>
          <w:lang w:eastAsia="zh-CN"/>
        </w:rPr>
        <w:t>附件</w:t>
      </w:r>
      <w:r>
        <w:rPr>
          <w:rFonts w:hint="eastAsia" w:eastAsia="方正仿宋_GBK"/>
          <w:color w:val="000000"/>
          <w:sz w:val="32"/>
          <w:szCs w:val="32"/>
          <w:lang w:val="en-US" w:eastAsia="zh-CN"/>
        </w:rPr>
        <w:t>2：</w:t>
      </w:r>
    </w:p>
    <w:p w14:paraId="5D53E4EA">
      <w:pPr>
        <w:jc w:val="center"/>
        <w:rPr>
          <w:rFonts w:hint="eastAsia"/>
          <w:b/>
          <w:bCs/>
          <w:sz w:val="44"/>
          <w:szCs w:val="44"/>
        </w:rPr>
      </w:pPr>
      <w:r>
        <w:rPr>
          <w:rFonts w:hint="eastAsia"/>
          <w:b/>
          <w:bCs/>
          <w:sz w:val="44"/>
          <w:szCs w:val="44"/>
        </w:rPr>
        <w:t>消防安全重点单位申报表</w:t>
      </w:r>
    </w:p>
    <w:p w14:paraId="5C3B2090">
      <w:pPr>
        <w:jc w:val="center"/>
        <w:rPr>
          <w:rFonts w:hint="eastAsia"/>
          <w:b/>
          <w:bCs/>
          <w:sz w:val="18"/>
          <w:szCs w:val="18"/>
        </w:rPr>
      </w:pPr>
    </w:p>
    <w:tbl>
      <w:tblPr>
        <w:tblStyle w:val="11"/>
        <w:tblW w:w="8838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16"/>
        <w:gridCol w:w="3625"/>
        <w:gridCol w:w="1394"/>
        <w:gridCol w:w="2403"/>
      </w:tblGrid>
      <w:tr w14:paraId="68A4B7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70" w:hRule="atLeast"/>
        </w:trPr>
        <w:tc>
          <w:tcPr>
            <w:tcW w:w="1416" w:type="dxa"/>
            <w:vAlign w:val="center"/>
          </w:tcPr>
          <w:p w14:paraId="75B232A7">
            <w:pPr>
              <w:spacing w:line="280" w:lineRule="exact"/>
              <w:jc w:val="center"/>
              <w:rPr>
                <w:rFonts w:hint="eastAsia"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单位名称</w:t>
            </w:r>
          </w:p>
        </w:tc>
        <w:tc>
          <w:tcPr>
            <w:tcW w:w="3625" w:type="dxa"/>
            <w:vAlign w:val="center"/>
          </w:tcPr>
          <w:p w14:paraId="0F59BEFC">
            <w:pPr>
              <w:spacing w:line="280" w:lineRule="exact"/>
              <w:jc w:val="center"/>
              <w:rPr>
                <w:rFonts w:hint="eastAsia" w:ascii="方正仿宋_GBK" w:hAnsi="方正仿宋_GBK" w:eastAsia="方正仿宋_GBK" w:cs="方正仿宋_GBK"/>
                <w:szCs w:val="21"/>
              </w:rPr>
            </w:pPr>
          </w:p>
        </w:tc>
        <w:tc>
          <w:tcPr>
            <w:tcW w:w="1394" w:type="dxa"/>
            <w:vAlign w:val="center"/>
          </w:tcPr>
          <w:p w14:paraId="2EC21575">
            <w:pPr>
              <w:spacing w:line="280" w:lineRule="exact"/>
              <w:jc w:val="center"/>
              <w:rPr>
                <w:rFonts w:hint="eastAsia"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联系电话</w:t>
            </w:r>
          </w:p>
        </w:tc>
        <w:tc>
          <w:tcPr>
            <w:tcW w:w="2403" w:type="dxa"/>
            <w:vAlign w:val="center"/>
          </w:tcPr>
          <w:p w14:paraId="3DBED70A">
            <w:pPr>
              <w:spacing w:line="280" w:lineRule="exact"/>
              <w:jc w:val="center"/>
              <w:rPr>
                <w:rFonts w:hint="eastAsia" w:ascii="方正仿宋_GBK" w:hAnsi="方正仿宋_GBK" w:eastAsia="方正仿宋_GBK" w:cs="方正仿宋_GBK"/>
                <w:szCs w:val="21"/>
              </w:rPr>
            </w:pPr>
          </w:p>
        </w:tc>
      </w:tr>
      <w:tr w14:paraId="7F7961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71" w:hRule="atLeast"/>
        </w:trPr>
        <w:tc>
          <w:tcPr>
            <w:tcW w:w="1416" w:type="dxa"/>
            <w:vAlign w:val="center"/>
          </w:tcPr>
          <w:p w14:paraId="6FBE4085">
            <w:pPr>
              <w:spacing w:line="280" w:lineRule="exact"/>
              <w:jc w:val="center"/>
              <w:rPr>
                <w:rFonts w:hint="eastAsia"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地址</w:t>
            </w:r>
          </w:p>
        </w:tc>
        <w:tc>
          <w:tcPr>
            <w:tcW w:w="3625" w:type="dxa"/>
            <w:vAlign w:val="center"/>
          </w:tcPr>
          <w:p w14:paraId="0CE4BCF3">
            <w:pPr>
              <w:spacing w:line="280" w:lineRule="exact"/>
              <w:jc w:val="center"/>
              <w:rPr>
                <w:rFonts w:hint="eastAsia" w:ascii="方正仿宋_GBK" w:hAnsi="方正仿宋_GBK" w:eastAsia="方正仿宋_GBK" w:cs="方正仿宋_GBK"/>
                <w:szCs w:val="21"/>
              </w:rPr>
            </w:pPr>
          </w:p>
        </w:tc>
        <w:tc>
          <w:tcPr>
            <w:tcW w:w="1394" w:type="dxa"/>
            <w:vAlign w:val="center"/>
          </w:tcPr>
          <w:p w14:paraId="4D3B40A3">
            <w:pPr>
              <w:spacing w:line="280" w:lineRule="exact"/>
              <w:jc w:val="center"/>
              <w:rPr>
                <w:rFonts w:hint="eastAsia"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邮编</w:t>
            </w:r>
          </w:p>
        </w:tc>
        <w:tc>
          <w:tcPr>
            <w:tcW w:w="2403" w:type="dxa"/>
            <w:vAlign w:val="center"/>
          </w:tcPr>
          <w:p w14:paraId="27F77FF9">
            <w:pPr>
              <w:spacing w:line="280" w:lineRule="exact"/>
              <w:jc w:val="center"/>
              <w:rPr>
                <w:rFonts w:hint="eastAsia" w:ascii="方正仿宋_GBK" w:hAnsi="方正仿宋_GBK" w:eastAsia="方正仿宋_GBK" w:cs="方正仿宋_GBK"/>
                <w:szCs w:val="21"/>
              </w:rPr>
            </w:pPr>
          </w:p>
        </w:tc>
      </w:tr>
      <w:tr w14:paraId="657074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06" w:hRule="atLeast"/>
        </w:trPr>
        <w:tc>
          <w:tcPr>
            <w:tcW w:w="1416" w:type="dxa"/>
            <w:vAlign w:val="top"/>
          </w:tcPr>
          <w:p w14:paraId="1383B1BD">
            <w:pPr>
              <w:spacing w:line="280" w:lineRule="exact"/>
              <w:jc w:val="center"/>
              <w:rPr>
                <w:rFonts w:hint="eastAsia"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是否原消防重点单位</w:t>
            </w:r>
          </w:p>
        </w:tc>
        <w:tc>
          <w:tcPr>
            <w:tcW w:w="7422" w:type="dxa"/>
            <w:gridSpan w:val="3"/>
            <w:vAlign w:val="center"/>
          </w:tcPr>
          <w:p w14:paraId="7868495D">
            <w:pPr>
              <w:spacing w:line="280" w:lineRule="exact"/>
              <w:jc w:val="center"/>
              <w:rPr>
                <w:rFonts w:hint="eastAsia"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□否          □区、县（市）消防重点单位         □市消防重点单位</w:t>
            </w:r>
          </w:p>
        </w:tc>
      </w:tr>
      <w:tr w14:paraId="16AE8F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06" w:hRule="atLeast"/>
        </w:trPr>
        <w:tc>
          <w:tcPr>
            <w:tcW w:w="1416" w:type="dxa"/>
            <w:shd w:val="clear" w:color="auto" w:fill="auto"/>
            <w:vAlign w:val="center"/>
          </w:tcPr>
          <w:p w14:paraId="33DF0B02">
            <w:pPr>
              <w:spacing w:line="280" w:lineRule="exact"/>
              <w:jc w:val="center"/>
              <w:rPr>
                <w:rFonts w:hint="eastAsia"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商场、市场、</w:t>
            </w:r>
          </w:p>
          <w:p w14:paraId="57CE56F2">
            <w:pPr>
              <w:spacing w:line="280" w:lineRule="exact"/>
              <w:jc w:val="center"/>
              <w:rPr>
                <w:rFonts w:hint="eastAsia" w:ascii="方正仿宋_GBK" w:hAnsi="方正仿宋_GBK" w:eastAsia="方正仿宋_GBK" w:cs="方正仿宋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商店类场所</w:t>
            </w:r>
          </w:p>
        </w:tc>
        <w:tc>
          <w:tcPr>
            <w:tcW w:w="7422" w:type="dxa"/>
            <w:gridSpan w:val="3"/>
            <w:shd w:val="clear" w:color="auto" w:fill="auto"/>
            <w:vAlign w:val="center"/>
          </w:tcPr>
          <w:p w14:paraId="39B68DB6">
            <w:pPr>
              <w:spacing w:line="280" w:lineRule="exact"/>
              <w:rPr>
                <w:rFonts w:hint="eastAsia"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□设在一、二类高层公共建筑及其地下、半地下</w:t>
            </w:r>
          </w:p>
          <w:p w14:paraId="0DAE595D">
            <w:pPr>
              <w:spacing w:line="280" w:lineRule="exact"/>
              <w:rPr>
                <w:rFonts w:hint="eastAsia"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□</w:t>
            </w:r>
            <w:r>
              <w:rPr>
                <w:rFonts w:hint="eastAsia" w:ascii="方正仿宋_GBK" w:hAnsi="方正仿宋_GBK" w:eastAsia="方正仿宋_GBK" w:cs="方正仿宋_GBK"/>
                <w:szCs w:val="21"/>
                <w:lang w:eastAsia="zh-CN"/>
              </w:rPr>
              <w:t>□</w:t>
            </w:r>
            <w:r>
              <w:rPr>
                <w:rFonts w:hint="eastAsia" w:ascii="方正仿宋_GBK" w:hAnsi="方正仿宋_GBK" w:eastAsia="方正仿宋_GBK" w:cs="方正仿宋_GBK"/>
                <w:szCs w:val="21"/>
              </w:rPr>
              <w:t>设在单、多层建筑且任一层建筑面积大于1500㎡或总建筑面积大于3000㎡</w:t>
            </w:r>
          </w:p>
          <w:p w14:paraId="40CED15E">
            <w:pPr>
              <w:spacing w:line="280" w:lineRule="exact"/>
              <w:rPr>
                <w:rFonts w:hint="eastAsia" w:ascii="方正仿宋_GBK" w:hAnsi="方正仿宋_GBK" w:eastAsia="方正仿宋_GBK" w:cs="方正仿宋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□设在地下、半地下建筑且总建筑面积大于500㎡</w:t>
            </w:r>
          </w:p>
        </w:tc>
      </w:tr>
      <w:tr w14:paraId="420CEE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06" w:hRule="atLeast"/>
        </w:trPr>
        <w:tc>
          <w:tcPr>
            <w:tcW w:w="1416" w:type="dxa"/>
            <w:shd w:val="clear" w:color="auto" w:fill="auto"/>
            <w:vAlign w:val="center"/>
          </w:tcPr>
          <w:p w14:paraId="4135830E">
            <w:pPr>
              <w:spacing w:line="280" w:lineRule="exact"/>
              <w:jc w:val="center"/>
              <w:rPr>
                <w:rFonts w:hint="eastAsia" w:ascii="方正仿宋_GBK" w:hAnsi="方正仿宋_GBK" w:eastAsia="方正仿宋_GBK" w:cs="方正仿宋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宾馆、旅馆、酒店、饭店类住宿餐饮场所</w:t>
            </w:r>
          </w:p>
        </w:tc>
        <w:tc>
          <w:tcPr>
            <w:tcW w:w="7422" w:type="dxa"/>
            <w:gridSpan w:val="3"/>
            <w:shd w:val="clear" w:color="auto" w:fill="auto"/>
            <w:vAlign w:val="center"/>
          </w:tcPr>
          <w:p w14:paraId="3320E015">
            <w:pPr>
              <w:spacing w:line="280" w:lineRule="exact"/>
              <w:rPr>
                <w:rFonts w:hint="eastAsia"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□设在一、二类高层公共建筑及其地下、半地下</w:t>
            </w:r>
          </w:p>
          <w:p w14:paraId="4EA29A51">
            <w:pPr>
              <w:spacing w:line="280" w:lineRule="exact"/>
              <w:rPr>
                <w:rFonts w:hint="eastAsia"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□设在单、多层建筑且任一层建筑面积大于1500㎡或总建筑面积大于3000㎡</w:t>
            </w:r>
          </w:p>
          <w:p w14:paraId="0F452C78">
            <w:pPr>
              <w:spacing w:line="280" w:lineRule="exact"/>
              <w:rPr>
                <w:rFonts w:hint="eastAsia" w:ascii="方正仿宋_GBK" w:hAnsi="方正仿宋_GBK" w:eastAsia="方正仿宋_GBK" w:cs="方正仿宋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□设在地下、半地下建筑且总建筑面积大于500㎡</w:t>
            </w:r>
          </w:p>
        </w:tc>
      </w:tr>
      <w:tr w14:paraId="30B735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06" w:hRule="atLeast"/>
        </w:trPr>
        <w:tc>
          <w:tcPr>
            <w:tcW w:w="1416" w:type="dxa"/>
            <w:shd w:val="clear" w:color="auto" w:fill="auto"/>
            <w:vAlign w:val="center"/>
          </w:tcPr>
          <w:p w14:paraId="36BD4694">
            <w:pPr>
              <w:spacing w:line="280" w:lineRule="exact"/>
              <w:jc w:val="center"/>
              <w:rPr>
                <w:rFonts w:hint="eastAsia" w:ascii="方正仿宋_GBK" w:hAnsi="方正仿宋_GBK" w:eastAsia="方正仿宋_GBK" w:cs="方正仿宋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体育馆、体育场、会堂</w:t>
            </w:r>
          </w:p>
        </w:tc>
        <w:tc>
          <w:tcPr>
            <w:tcW w:w="7422" w:type="dxa"/>
            <w:gridSpan w:val="3"/>
            <w:shd w:val="clear" w:color="auto" w:fill="auto"/>
            <w:vAlign w:val="center"/>
          </w:tcPr>
          <w:p w14:paraId="133CA5EA">
            <w:pPr>
              <w:spacing w:line="280" w:lineRule="exact"/>
              <w:rPr>
                <w:rFonts w:hint="eastAsia"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□座位数大于3000个的公共体育馆</w:t>
            </w:r>
          </w:p>
          <w:p w14:paraId="34271A0D">
            <w:pPr>
              <w:spacing w:line="280" w:lineRule="exact"/>
              <w:rPr>
                <w:rFonts w:hint="eastAsia"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□座位数大于5000个的公共体育场</w:t>
            </w:r>
          </w:p>
          <w:p w14:paraId="210A2EBE">
            <w:pPr>
              <w:spacing w:line="280" w:lineRule="exact"/>
              <w:rPr>
                <w:rFonts w:hint="eastAsia" w:ascii="方正仿宋_GBK" w:hAnsi="方正仿宋_GBK" w:eastAsia="方正仿宋_GBK" w:cs="方正仿宋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□座位数大于2000个的会堂</w:t>
            </w:r>
          </w:p>
        </w:tc>
      </w:tr>
      <w:tr w14:paraId="7EC102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06" w:hRule="atLeast"/>
        </w:trPr>
        <w:tc>
          <w:tcPr>
            <w:tcW w:w="1416" w:type="dxa"/>
            <w:shd w:val="clear" w:color="auto" w:fill="auto"/>
            <w:vAlign w:val="center"/>
          </w:tcPr>
          <w:p w14:paraId="3E3A943A">
            <w:pPr>
              <w:spacing w:line="280" w:lineRule="exact"/>
              <w:jc w:val="center"/>
              <w:rPr>
                <w:rFonts w:hint="eastAsia" w:ascii="方正仿宋_GBK" w:hAnsi="方正仿宋_GBK" w:eastAsia="方正仿宋_GBK" w:cs="方正仿宋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放映演出场所</w:t>
            </w:r>
          </w:p>
        </w:tc>
        <w:tc>
          <w:tcPr>
            <w:tcW w:w="7422" w:type="dxa"/>
            <w:gridSpan w:val="3"/>
            <w:shd w:val="clear" w:color="auto" w:fill="auto"/>
            <w:vAlign w:val="center"/>
          </w:tcPr>
          <w:p w14:paraId="04B26936">
            <w:pPr>
              <w:spacing w:line="280" w:lineRule="exact"/>
              <w:rPr>
                <w:rFonts w:hint="eastAsia" w:ascii="方正仿宋_GBK" w:hAnsi="方正仿宋_GBK" w:eastAsia="方正仿宋_GBK" w:cs="方正仿宋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□总建筑面积大于2500㎡或设在地下、半地下且座位数大于800个的影剧院、礼堂等放映演出场所</w:t>
            </w:r>
          </w:p>
        </w:tc>
      </w:tr>
      <w:tr w14:paraId="2A99E3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06" w:hRule="atLeast"/>
        </w:trPr>
        <w:tc>
          <w:tcPr>
            <w:tcW w:w="1416" w:type="dxa"/>
            <w:shd w:val="clear" w:color="auto" w:fill="auto"/>
            <w:vAlign w:val="center"/>
          </w:tcPr>
          <w:p w14:paraId="79CA5280">
            <w:pPr>
              <w:spacing w:line="280" w:lineRule="exact"/>
              <w:jc w:val="center"/>
              <w:rPr>
                <w:rFonts w:hint="eastAsia" w:ascii="方正仿宋_GBK" w:hAnsi="方正仿宋_GBK" w:eastAsia="方正仿宋_GBK" w:cs="方正仿宋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放映演出场所</w:t>
            </w:r>
          </w:p>
        </w:tc>
        <w:tc>
          <w:tcPr>
            <w:tcW w:w="7422" w:type="dxa"/>
            <w:gridSpan w:val="3"/>
            <w:shd w:val="clear" w:color="auto" w:fill="auto"/>
            <w:vAlign w:val="center"/>
          </w:tcPr>
          <w:p w14:paraId="79066CA1">
            <w:pPr>
              <w:spacing w:line="280" w:lineRule="exact"/>
              <w:rPr>
                <w:rFonts w:hint="eastAsia" w:ascii="方正仿宋_GBK" w:hAnsi="方正仿宋_GBK" w:eastAsia="方正仿宋_GBK" w:cs="方正仿宋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□总建筑面积大于2500㎡或设在地下、半地下且座位数大于800个的影剧院、礼堂等放映演出场所</w:t>
            </w:r>
          </w:p>
        </w:tc>
      </w:tr>
      <w:tr w14:paraId="0E8490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06" w:hRule="atLeast"/>
        </w:trPr>
        <w:tc>
          <w:tcPr>
            <w:tcW w:w="1416" w:type="dxa"/>
            <w:shd w:val="clear" w:color="auto" w:fill="auto"/>
            <w:vAlign w:val="center"/>
          </w:tcPr>
          <w:p w14:paraId="24EAC8BA">
            <w:pPr>
              <w:spacing w:line="280" w:lineRule="exact"/>
              <w:jc w:val="center"/>
              <w:rPr>
                <w:rFonts w:hint="eastAsia" w:ascii="方正仿宋_GBK" w:hAnsi="方正仿宋_GBK" w:eastAsia="方正仿宋_GBK" w:cs="方正仿宋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公共娱乐场所</w:t>
            </w:r>
          </w:p>
        </w:tc>
        <w:tc>
          <w:tcPr>
            <w:tcW w:w="7422" w:type="dxa"/>
            <w:gridSpan w:val="3"/>
            <w:shd w:val="clear" w:color="auto" w:fill="auto"/>
            <w:vAlign w:val="center"/>
          </w:tcPr>
          <w:p w14:paraId="011BF457">
            <w:pPr>
              <w:spacing w:line="280" w:lineRule="exact"/>
              <w:rPr>
                <w:rFonts w:hint="eastAsia"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设在地下或半地下、多层建筑的地上第四层及以上楼层、高层民用建筑内，设在多层建筑第一层至第三层且楼层建筑面积大于300㎡或总建筑面积大于500㎡的公共娱乐场所：</w:t>
            </w:r>
          </w:p>
          <w:p w14:paraId="6CD302CB">
            <w:pPr>
              <w:spacing w:line="280" w:lineRule="exact"/>
              <w:rPr>
                <w:rFonts w:hint="eastAsia"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□歌舞厅、KTV、卡拉OK厅等歌舞娱乐场所</w:t>
            </w:r>
          </w:p>
          <w:p w14:paraId="4DFA7EC8">
            <w:pPr>
              <w:spacing w:line="280" w:lineRule="exact"/>
              <w:rPr>
                <w:rFonts w:hint="eastAsia"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□具有娱乐功能的夜总会、音乐茶座（酒吧、咖啡厅）和餐饮场所</w:t>
            </w:r>
          </w:p>
          <w:p w14:paraId="56AB2A04">
            <w:pPr>
              <w:spacing w:line="280" w:lineRule="exact"/>
              <w:rPr>
                <w:rFonts w:hint="eastAsia"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□游艺游乐场所、剧本娱乐经营场所</w:t>
            </w:r>
          </w:p>
          <w:p w14:paraId="4003B082">
            <w:pPr>
              <w:spacing w:line="280" w:lineRule="exact"/>
              <w:rPr>
                <w:rFonts w:hint="eastAsia"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□保龄球馆、溜（旱）冰场、桑拿浴室等营业性健身、休闲场所</w:t>
            </w:r>
          </w:p>
          <w:p w14:paraId="20E99B9D">
            <w:pPr>
              <w:spacing w:line="280" w:lineRule="exact"/>
              <w:rPr>
                <w:rFonts w:hint="eastAsia" w:ascii="方正仿宋_GBK" w:hAnsi="方正仿宋_GBK" w:eastAsia="方正仿宋_GBK" w:cs="方正仿宋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□互联网上网服务营业场所</w:t>
            </w:r>
          </w:p>
        </w:tc>
      </w:tr>
      <w:tr w14:paraId="507232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06" w:hRule="atLeast"/>
        </w:trPr>
        <w:tc>
          <w:tcPr>
            <w:tcW w:w="1416" w:type="dxa"/>
            <w:shd w:val="clear" w:color="auto" w:fill="auto"/>
            <w:vAlign w:val="center"/>
          </w:tcPr>
          <w:p w14:paraId="3C910142">
            <w:pPr>
              <w:spacing w:line="280" w:lineRule="exact"/>
              <w:jc w:val="center"/>
              <w:rPr>
                <w:rFonts w:hint="eastAsia" w:ascii="方正仿宋_GBK" w:hAnsi="方正仿宋_GBK" w:eastAsia="方正仿宋_GBK" w:cs="方正仿宋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医疗类场所</w:t>
            </w:r>
          </w:p>
        </w:tc>
        <w:tc>
          <w:tcPr>
            <w:tcW w:w="7422" w:type="dxa"/>
            <w:gridSpan w:val="3"/>
            <w:shd w:val="clear" w:color="auto" w:fill="auto"/>
            <w:vAlign w:val="center"/>
          </w:tcPr>
          <w:p w14:paraId="4AC5CFD5">
            <w:pPr>
              <w:spacing w:line="280" w:lineRule="exact"/>
              <w:rPr>
                <w:rFonts w:hint="eastAsia"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□二级、三级医院；</w:t>
            </w:r>
          </w:p>
          <w:p w14:paraId="53527A31">
            <w:pPr>
              <w:spacing w:line="280" w:lineRule="exact"/>
              <w:rPr>
                <w:rFonts w:hint="eastAsia"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□病房楼总建筑面积大于1000㎡或门诊楼总建筑面积大于2500㎡；</w:t>
            </w:r>
          </w:p>
          <w:p w14:paraId="359D9476">
            <w:pPr>
              <w:spacing w:line="280" w:lineRule="exact"/>
              <w:rPr>
                <w:rFonts w:hint="eastAsia" w:ascii="方正仿宋_GBK" w:hAnsi="方正仿宋_GBK" w:eastAsia="方正仿宋_GBK" w:cs="方正仿宋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 xml:space="preserve">□病房楼、门诊楼设在高层民用建筑内 </w:t>
            </w:r>
          </w:p>
        </w:tc>
      </w:tr>
      <w:tr w14:paraId="6F7B83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06" w:hRule="atLeast"/>
        </w:trPr>
        <w:tc>
          <w:tcPr>
            <w:tcW w:w="1416" w:type="dxa"/>
            <w:shd w:val="clear" w:color="auto" w:fill="auto"/>
            <w:vAlign w:val="center"/>
          </w:tcPr>
          <w:p w14:paraId="3A2E84F5">
            <w:pPr>
              <w:spacing w:line="280" w:lineRule="exact"/>
              <w:jc w:val="center"/>
              <w:rPr>
                <w:rFonts w:hint="eastAsia" w:ascii="方正仿宋_GBK" w:hAnsi="方正仿宋_GBK" w:eastAsia="方正仿宋_GBK" w:cs="方正仿宋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公共娱乐场所</w:t>
            </w:r>
          </w:p>
        </w:tc>
        <w:tc>
          <w:tcPr>
            <w:tcW w:w="7422" w:type="dxa"/>
            <w:gridSpan w:val="3"/>
            <w:shd w:val="clear" w:color="auto" w:fill="auto"/>
            <w:vAlign w:val="center"/>
          </w:tcPr>
          <w:p w14:paraId="0D488FB7">
            <w:pPr>
              <w:spacing w:line="280" w:lineRule="exact"/>
              <w:rPr>
                <w:rFonts w:hint="eastAsia"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设在地下或半地下、多层建筑的地上第四层及以上楼层、高层民用建筑内，设在多层建筑第一层至第三层且楼层建筑面积大于300㎡或总建筑面积大于500㎡的公共娱乐场所：</w:t>
            </w:r>
          </w:p>
          <w:p w14:paraId="7385FA52">
            <w:pPr>
              <w:spacing w:line="280" w:lineRule="exact"/>
              <w:rPr>
                <w:rFonts w:hint="eastAsia"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□歌舞厅、KTV、卡拉OK厅等歌舞娱乐场所</w:t>
            </w:r>
          </w:p>
          <w:p w14:paraId="338D0C35">
            <w:pPr>
              <w:spacing w:line="280" w:lineRule="exact"/>
              <w:rPr>
                <w:rFonts w:hint="eastAsia"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□具有娱乐功能的夜总会、音乐茶座（酒吧、咖啡厅）和餐饮场所</w:t>
            </w:r>
          </w:p>
          <w:p w14:paraId="232E4369">
            <w:pPr>
              <w:spacing w:line="280" w:lineRule="exact"/>
              <w:rPr>
                <w:rFonts w:hint="eastAsia"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□游艺游乐场所、剧本娱乐经营场所</w:t>
            </w:r>
          </w:p>
          <w:p w14:paraId="28A9049B">
            <w:pPr>
              <w:spacing w:line="280" w:lineRule="exact"/>
              <w:rPr>
                <w:rFonts w:hint="eastAsia"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□保龄球馆、溜（旱）冰场、桑拿浴室等营业性健身、休闲场所</w:t>
            </w:r>
          </w:p>
          <w:p w14:paraId="503BD9EB">
            <w:pPr>
              <w:spacing w:line="280" w:lineRule="exact"/>
              <w:rPr>
                <w:rFonts w:hint="eastAsia" w:ascii="方正仿宋_GBK" w:hAnsi="方正仿宋_GBK" w:eastAsia="方正仿宋_GBK" w:cs="方正仿宋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□互联网上网服务营业场所</w:t>
            </w:r>
          </w:p>
        </w:tc>
      </w:tr>
      <w:tr w14:paraId="1CB358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06" w:hRule="atLeast"/>
        </w:trPr>
        <w:tc>
          <w:tcPr>
            <w:tcW w:w="1416" w:type="dxa"/>
            <w:shd w:val="clear" w:color="auto" w:fill="auto"/>
            <w:vAlign w:val="center"/>
          </w:tcPr>
          <w:p w14:paraId="7A0A52AE">
            <w:pPr>
              <w:spacing w:line="280" w:lineRule="exact"/>
              <w:jc w:val="center"/>
              <w:rPr>
                <w:rFonts w:hint="eastAsia" w:ascii="方正仿宋_GBK" w:hAnsi="方正仿宋_GBK" w:eastAsia="方正仿宋_GBK" w:cs="方正仿宋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医疗类场所</w:t>
            </w:r>
          </w:p>
        </w:tc>
        <w:tc>
          <w:tcPr>
            <w:tcW w:w="7422" w:type="dxa"/>
            <w:gridSpan w:val="3"/>
            <w:shd w:val="clear" w:color="auto" w:fill="auto"/>
            <w:vAlign w:val="center"/>
          </w:tcPr>
          <w:p w14:paraId="6E92F4A4">
            <w:pPr>
              <w:spacing w:line="280" w:lineRule="exact"/>
              <w:rPr>
                <w:rFonts w:hint="eastAsia"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□二级、三级医院；</w:t>
            </w:r>
          </w:p>
          <w:p w14:paraId="6C6C4C60">
            <w:pPr>
              <w:spacing w:line="280" w:lineRule="exact"/>
              <w:rPr>
                <w:rFonts w:hint="eastAsia"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□病房楼总建筑面积大于1000㎡或门诊楼总建筑面积大于2500㎡；</w:t>
            </w:r>
          </w:p>
          <w:p w14:paraId="343DA287">
            <w:pPr>
              <w:spacing w:line="280" w:lineRule="exact"/>
              <w:rPr>
                <w:rFonts w:hint="eastAsia" w:ascii="方正仿宋_GBK" w:hAnsi="方正仿宋_GBK" w:eastAsia="方正仿宋_GBK" w:cs="方正仿宋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 xml:space="preserve">□病房楼、门诊楼设在高层民用建筑内 </w:t>
            </w:r>
          </w:p>
        </w:tc>
      </w:tr>
      <w:tr w14:paraId="03B3D3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06" w:hRule="atLeast"/>
        </w:trPr>
        <w:tc>
          <w:tcPr>
            <w:tcW w:w="1416" w:type="dxa"/>
            <w:shd w:val="clear" w:color="auto" w:fill="auto"/>
            <w:vAlign w:val="center"/>
          </w:tcPr>
          <w:p w14:paraId="4B4721A3">
            <w:pPr>
              <w:spacing w:line="280" w:lineRule="exact"/>
              <w:jc w:val="center"/>
              <w:rPr>
                <w:rFonts w:hint="eastAsia" w:ascii="方正仿宋_GBK" w:hAnsi="方正仿宋_GBK" w:eastAsia="方正仿宋_GBK" w:cs="方正仿宋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养老机构、社会福利机构、母婴照护服务机构（月子中心）</w:t>
            </w:r>
          </w:p>
        </w:tc>
        <w:tc>
          <w:tcPr>
            <w:tcW w:w="7422" w:type="dxa"/>
            <w:gridSpan w:val="3"/>
            <w:shd w:val="clear" w:color="auto" w:fill="auto"/>
            <w:vAlign w:val="center"/>
          </w:tcPr>
          <w:p w14:paraId="312663ED">
            <w:pPr>
              <w:tabs>
                <w:tab w:val="left" w:pos="1025"/>
              </w:tabs>
              <w:spacing w:line="280" w:lineRule="exact"/>
              <w:rPr>
                <w:rFonts w:hint="eastAsia" w:ascii="方正仿宋_GBK" w:hAnsi="方正仿宋_GBK" w:eastAsia="方正仿宋_GBK" w:cs="方正仿宋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  <w:lang w:eastAsia="zh-CN"/>
              </w:rPr>
              <w:t>□</w:t>
            </w:r>
            <w:r>
              <w:rPr>
                <w:rFonts w:hint="eastAsia" w:ascii="方正仿宋_GBK" w:hAnsi="方正仿宋_GBK" w:eastAsia="方正仿宋_GBK" w:cs="方正仿宋_GBK"/>
                <w:szCs w:val="21"/>
              </w:rPr>
              <w:t>总建筑面积大于1000㎡的养老机构、社会福利机构、母婴照护服务机构（月子中心）</w:t>
            </w:r>
          </w:p>
        </w:tc>
      </w:tr>
      <w:tr w14:paraId="5F45C5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06" w:hRule="atLeast"/>
        </w:trPr>
        <w:tc>
          <w:tcPr>
            <w:tcW w:w="1416" w:type="dxa"/>
            <w:shd w:val="clear" w:color="auto" w:fill="auto"/>
            <w:vAlign w:val="center"/>
          </w:tcPr>
          <w:p w14:paraId="57DE1E3D">
            <w:pPr>
              <w:spacing w:line="280" w:lineRule="exact"/>
              <w:jc w:val="center"/>
              <w:rPr>
                <w:rFonts w:hint="eastAsia"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学校、校外</w:t>
            </w:r>
          </w:p>
          <w:p w14:paraId="1C2AE958">
            <w:pPr>
              <w:spacing w:line="280" w:lineRule="exact"/>
              <w:jc w:val="center"/>
              <w:rPr>
                <w:rFonts w:hint="eastAsia" w:ascii="方正仿宋_GBK" w:hAnsi="方正仿宋_GBK" w:eastAsia="方正仿宋_GBK" w:cs="方正仿宋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培训机构</w:t>
            </w:r>
          </w:p>
        </w:tc>
        <w:tc>
          <w:tcPr>
            <w:tcW w:w="7422" w:type="dxa"/>
            <w:gridSpan w:val="3"/>
            <w:shd w:val="clear" w:color="auto" w:fill="auto"/>
            <w:vAlign w:val="center"/>
          </w:tcPr>
          <w:p w14:paraId="06247C79">
            <w:pPr>
              <w:spacing w:line="280" w:lineRule="exact"/>
              <w:rPr>
                <w:rFonts w:hint="eastAsia" w:ascii="方正仿宋_GBK" w:hAnsi="方正仿宋_GBK" w:eastAsia="方正仿宋_GBK" w:cs="方正仿宋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□集体宿舍总建筑面积大于1000㎡的寄宿制学校、校外培训机构，总建筑面积大于10000㎡的学校</w:t>
            </w:r>
          </w:p>
        </w:tc>
      </w:tr>
      <w:tr w14:paraId="1FF6FA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06" w:hRule="atLeast"/>
        </w:trPr>
        <w:tc>
          <w:tcPr>
            <w:tcW w:w="1416" w:type="dxa"/>
            <w:shd w:val="clear" w:color="auto" w:fill="auto"/>
            <w:vAlign w:val="center"/>
          </w:tcPr>
          <w:p w14:paraId="32FEB07D">
            <w:pPr>
              <w:spacing w:line="280" w:lineRule="exact"/>
              <w:jc w:val="center"/>
              <w:rPr>
                <w:rFonts w:hint="eastAsia"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托儿所、</w:t>
            </w:r>
          </w:p>
          <w:p w14:paraId="166AC8B1">
            <w:pPr>
              <w:spacing w:line="280" w:lineRule="exact"/>
              <w:jc w:val="center"/>
              <w:rPr>
                <w:rFonts w:hint="eastAsia" w:ascii="方正仿宋_GBK" w:hAnsi="方正仿宋_GBK" w:eastAsia="方正仿宋_GBK" w:cs="方正仿宋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幼儿园、儿童校外培训机构</w:t>
            </w:r>
          </w:p>
        </w:tc>
        <w:tc>
          <w:tcPr>
            <w:tcW w:w="7422" w:type="dxa"/>
            <w:gridSpan w:val="3"/>
            <w:shd w:val="clear" w:color="auto" w:fill="auto"/>
            <w:vAlign w:val="center"/>
          </w:tcPr>
          <w:p w14:paraId="3EF6B6BF">
            <w:pPr>
              <w:spacing w:line="280" w:lineRule="exact"/>
              <w:rPr>
                <w:rFonts w:hint="eastAsia" w:ascii="方正仿宋_GBK" w:hAnsi="方正仿宋_GBK" w:eastAsia="方正仿宋_GBK" w:cs="方正仿宋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□中型、大型托儿所、幼儿园，儿童用房总建筑面积大于1000㎡的托儿所、幼儿园、儿童校外培训机构</w:t>
            </w:r>
          </w:p>
        </w:tc>
      </w:tr>
      <w:tr w14:paraId="304C72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06" w:hRule="atLeast"/>
        </w:trPr>
        <w:tc>
          <w:tcPr>
            <w:tcW w:w="1416" w:type="dxa"/>
            <w:shd w:val="clear" w:color="auto" w:fill="auto"/>
            <w:vAlign w:val="center"/>
          </w:tcPr>
          <w:p w14:paraId="27F21E4A">
            <w:pPr>
              <w:spacing w:line="280" w:lineRule="exact"/>
              <w:jc w:val="center"/>
              <w:rPr>
                <w:rFonts w:hint="eastAsia" w:ascii="方正仿宋_GBK" w:hAnsi="方正仿宋_GBK" w:eastAsia="方正仿宋_GBK" w:cs="方正仿宋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国家机关</w:t>
            </w:r>
          </w:p>
        </w:tc>
        <w:tc>
          <w:tcPr>
            <w:tcW w:w="7422" w:type="dxa"/>
            <w:gridSpan w:val="3"/>
            <w:shd w:val="clear" w:color="auto" w:fill="auto"/>
            <w:vAlign w:val="center"/>
          </w:tcPr>
          <w:p w14:paraId="515CA4D1">
            <w:pPr>
              <w:spacing w:line="280" w:lineRule="exact"/>
              <w:rPr>
                <w:rFonts w:hint="eastAsia"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□县级以上党委、人大、政府、政协、纪委监委、人民法院、人民检察院；</w:t>
            </w:r>
          </w:p>
          <w:p w14:paraId="46BEDFB4">
            <w:pPr>
              <w:spacing w:line="280" w:lineRule="exact"/>
              <w:rPr>
                <w:rFonts w:hint="eastAsia" w:ascii="方正仿宋_GBK" w:hAnsi="方正仿宋_GBK" w:eastAsia="方正仿宋_GBK" w:cs="方正仿宋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□设在高层公共建筑内的其他国家机关</w:t>
            </w:r>
          </w:p>
        </w:tc>
      </w:tr>
      <w:tr w14:paraId="3D01FF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55" w:hRule="atLeast"/>
        </w:trPr>
        <w:tc>
          <w:tcPr>
            <w:tcW w:w="1416" w:type="dxa"/>
            <w:shd w:val="clear" w:color="auto" w:fill="auto"/>
            <w:vAlign w:val="center"/>
          </w:tcPr>
          <w:p w14:paraId="02DA3B75">
            <w:pPr>
              <w:spacing w:line="280" w:lineRule="exact"/>
              <w:jc w:val="center"/>
              <w:rPr>
                <w:rFonts w:hint="eastAsia" w:ascii="方正仿宋_GBK" w:hAnsi="方正仿宋_GBK" w:eastAsia="方正仿宋_GBK" w:cs="方正仿宋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广播电台、电视台和邮政、通信枢纽</w:t>
            </w:r>
          </w:p>
        </w:tc>
        <w:tc>
          <w:tcPr>
            <w:tcW w:w="7422" w:type="dxa"/>
            <w:gridSpan w:val="3"/>
            <w:shd w:val="clear" w:color="auto" w:fill="auto"/>
            <w:vAlign w:val="center"/>
          </w:tcPr>
          <w:p w14:paraId="76F20ECD">
            <w:pPr>
              <w:spacing w:line="280" w:lineRule="exact"/>
              <w:rPr>
                <w:rFonts w:hint="eastAsia"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□建筑设有自动消防设施的县级以上广播电台、电视台</w:t>
            </w:r>
          </w:p>
          <w:p w14:paraId="51DB8F75">
            <w:pPr>
              <w:spacing w:line="280" w:lineRule="exact"/>
              <w:rPr>
                <w:rFonts w:hint="eastAsia" w:ascii="方正仿宋_GBK" w:hAnsi="方正仿宋_GBK" w:eastAsia="方正仿宋_GBK" w:cs="方正仿宋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□设有自动消防设施的县级以上邮政、通信枢纽、防灾指挥调度单位</w:t>
            </w:r>
          </w:p>
        </w:tc>
      </w:tr>
      <w:tr w14:paraId="308842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55" w:hRule="atLeast"/>
        </w:trPr>
        <w:tc>
          <w:tcPr>
            <w:tcW w:w="1416" w:type="dxa"/>
            <w:shd w:val="clear" w:color="auto" w:fill="auto"/>
            <w:vAlign w:val="center"/>
          </w:tcPr>
          <w:p w14:paraId="690705E4">
            <w:pPr>
              <w:spacing w:line="280" w:lineRule="exact"/>
              <w:jc w:val="center"/>
              <w:rPr>
                <w:rFonts w:hint="eastAsia" w:ascii="方正仿宋_GBK" w:hAnsi="方正仿宋_GBK" w:eastAsia="方正仿宋_GBK" w:cs="方正仿宋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客运车站、码头、民用机场</w:t>
            </w:r>
          </w:p>
        </w:tc>
        <w:tc>
          <w:tcPr>
            <w:tcW w:w="7422" w:type="dxa"/>
            <w:gridSpan w:val="3"/>
            <w:shd w:val="clear" w:color="auto" w:fill="auto"/>
            <w:vAlign w:val="center"/>
          </w:tcPr>
          <w:p w14:paraId="2A5FA174">
            <w:pPr>
              <w:spacing w:line="280" w:lineRule="exact"/>
              <w:rPr>
                <w:rFonts w:hint="eastAsia"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□候车（船）厅总建筑面积大于1000㎡的公路客运车站、船舶码头</w:t>
            </w:r>
          </w:p>
          <w:p w14:paraId="548266C1">
            <w:pPr>
              <w:spacing w:line="280" w:lineRule="exact"/>
              <w:rPr>
                <w:rFonts w:hint="eastAsia"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□城市地下客运轨道交通</w:t>
            </w:r>
          </w:p>
          <w:p w14:paraId="22988E6A">
            <w:pPr>
              <w:spacing w:line="280" w:lineRule="exact"/>
              <w:rPr>
                <w:rFonts w:hint="eastAsia" w:ascii="方正仿宋_GBK" w:hAnsi="方正仿宋_GBK" w:eastAsia="方正仿宋_GBK" w:cs="方正仿宋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□民用运输机场</w:t>
            </w:r>
          </w:p>
        </w:tc>
      </w:tr>
      <w:tr w14:paraId="59B7B3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55" w:hRule="atLeast"/>
        </w:trPr>
        <w:tc>
          <w:tcPr>
            <w:tcW w:w="1416" w:type="dxa"/>
            <w:vMerge w:val="restart"/>
            <w:shd w:val="clear" w:color="auto" w:fill="auto"/>
            <w:vAlign w:val="center"/>
          </w:tcPr>
          <w:p w14:paraId="05778E01">
            <w:pPr>
              <w:spacing w:line="280" w:lineRule="exact"/>
              <w:jc w:val="center"/>
              <w:rPr>
                <w:rFonts w:hint="eastAsia" w:ascii="方正仿宋_GBK" w:hAnsi="方正仿宋_GBK" w:eastAsia="方正仿宋_GBK" w:cs="方正仿宋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公共图书馆、展览馆、博物馆、档案馆以及具有火灾危险性的文物保护单位</w:t>
            </w:r>
          </w:p>
        </w:tc>
        <w:tc>
          <w:tcPr>
            <w:tcW w:w="7422" w:type="dxa"/>
            <w:gridSpan w:val="3"/>
            <w:shd w:val="clear" w:color="auto" w:fill="auto"/>
            <w:vAlign w:val="center"/>
          </w:tcPr>
          <w:p w14:paraId="18311D99">
            <w:pPr>
              <w:spacing w:line="280" w:lineRule="exact"/>
              <w:rPr>
                <w:rFonts w:hint="eastAsia"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公共图书馆、展览馆、博物馆类场所：</w:t>
            </w:r>
          </w:p>
          <w:p w14:paraId="284EB180">
            <w:pPr>
              <w:spacing w:line="280" w:lineRule="exact"/>
              <w:rPr>
                <w:rFonts w:hint="eastAsia"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□设在一、二类高层公共建筑及其地下、半地下</w:t>
            </w:r>
          </w:p>
          <w:p w14:paraId="63D5B7B6">
            <w:pPr>
              <w:spacing w:line="280" w:lineRule="exact"/>
              <w:rPr>
                <w:rFonts w:hint="eastAsia" w:ascii="方正仿宋_GBK" w:hAnsi="方正仿宋_GBK" w:eastAsia="方正仿宋_GBK" w:cs="方正仿宋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□设在单、多层建筑且任一层建筑面积大于1500㎡或总建筑面积大于3000㎡</w:t>
            </w:r>
          </w:p>
        </w:tc>
      </w:tr>
      <w:tr w14:paraId="4A203E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55" w:hRule="atLeast"/>
        </w:trPr>
        <w:tc>
          <w:tcPr>
            <w:tcW w:w="1416" w:type="dxa"/>
            <w:vMerge w:val="continue"/>
            <w:shd w:val="clear" w:color="auto" w:fill="auto"/>
            <w:vAlign w:val="center"/>
          </w:tcPr>
          <w:p w14:paraId="4B34F3AD">
            <w:pPr>
              <w:spacing w:line="280" w:lineRule="exact"/>
              <w:jc w:val="center"/>
              <w:rPr>
                <w:rFonts w:hint="eastAsia" w:ascii="方正仿宋_GBK" w:hAnsi="方正仿宋_GBK" w:eastAsia="方正仿宋_GBK" w:cs="方正仿宋_GBK"/>
                <w:szCs w:val="21"/>
              </w:rPr>
            </w:pPr>
          </w:p>
        </w:tc>
        <w:tc>
          <w:tcPr>
            <w:tcW w:w="7422" w:type="dxa"/>
            <w:gridSpan w:val="3"/>
            <w:shd w:val="clear" w:color="auto" w:fill="auto"/>
            <w:vAlign w:val="center"/>
          </w:tcPr>
          <w:p w14:paraId="009D099B">
            <w:pPr>
              <w:spacing w:line="280" w:lineRule="exact"/>
              <w:rPr>
                <w:rFonts w:hint="eastAsia"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□县级以上档案馆</w:t>
            </w:r>
          </w:p>
          <w:p w14:paraId="2BD0F507">
            <w:pPr>
              <w:spacing w:line="280" w:lineRule="exact"/>
              <w:rPr>
                <w:rFonts w:hint="eastAsia" w:ascii="方正仿宋_GBK" w:hAnsi="方正仿宋_GBK" w:eastAsia="方正仿宋_GBK" w:cs="方正仿宋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□具有火灾危险性的省级以上文物保护单位、世界文化遗产</w:t>
            </w:r>
          </w:p>
        </w:tc>
      </w:tr>
      <w:tr w14:paraId="26E892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55" w:hRule="atLeast"/>
        </w:trPr>
        <w:tc>
          <w:tcPr>
            <w:tcW w:w="1416" w:type="dxa"/>
            <w:shd w:val="clear" w:color="auto" w:fill="auto"/>
            <w:vAlign w:val="center"/>
          </w:tcPr>
          <w:p w14:paraId="6933A42D">
            <w:pPr>
              <w:spacing w:line="280" w:lineRule="exact"/>
              <w:jc w:val="center"/>
              <w:rPr>
                <w:rFonts w:hint="eastAsia" w:ascii="方正仿宋_GBK" w:hAnsi="方正仿宋_GBK" w:eastAsia="方正仿宋_GBK" w:cs="方正仿宋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pacing w:val="-11"/>
                <w:szCs w:val="21"/>
              </w:rPr>
              <w:t>发电厂（站）和电网经营企业</w:t>
            </w:r>
          </w:p>
        </w:tc>
        <w:tc>
          <w:tcPr>
            <w:tcW w:w="7422" w:type="dxa"/>
            <w:gridSpan w:val="3"/>
            <w:shd w:val="clear" w:color="auto" w:fill="auto"/>
            <w:vAlign w:val="center"/>
          </w:tcPr>
          <w:p w14:paraId="1DE49DD2">
            <w:pPr>
              <w:spacing w:line="280" w:lineRule="exact"/>
              <w:rPr>
                <w:rFonts w:hint="eastAsia"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□</w:t>
            </w:r>
            <w:r>
              <w:rPr>
                <w:rFonts w:hint="eastAsia" w:ascii="方正仿宋_GBK" w:hAnsi="方正仿宋_GBK" w:eastAsia="方正仿宋_GBK" w:cs="方正仿宋_GBK"/>
                <w:spacing w:val="-11"/>
                <w:szCs w:val="21"/>
              </w:rPr>
              <w:t>总装机容量不小于300MW的火力、水力发电厂（站）</w:t>
            </w:r>
          </w:p>
          <w:p w14:paraId="2517A57C">
            <w:pPr>
              <w:spacing w:line="280" w:lineRule="exact"/>
              <w:rPr>
                <w:rFonts w:hint="eastAsia"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□总装机容量不小于200MW的光伏发电站、风力发电站，装机容量不小于50MW的光热发电站，装机容量不小于10MW的储能电站</w:t>
            </w:r>
          </w:p>
          <w:p w14:paraId="13664733">
            <w:pPr>
              <w:spacing w:line="280" w:lineRule="exact"/>
              <w:rPr>
                <w:rFonts w:hint="eastAsia"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□电压不小于220KV的枢纽变电站、区域变电站、地区变电站</w:t>
            </w:r>
          </w:p>
          <w:p w14:paraId="5CA89225">
            <w:pPr>
              <w:spacing w:line="280" w:lineRule="exact"/>
              <w:rPr>
                <w:rFonts w:hint="eastAsia" w:ascii="方正仿宋_GBK" w:hAnsi="方正仿宋_GBK" w:eastAsia="方正仿宋_GBK" w:cs="方正仿宋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□县级以上电力调度中心、电网经营企业</w:t>
            </w:r>
          </w:p>
        </w:tc>
      </w:tr>
      <w:tr w14:paraId="390944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55" w:hRule="atLeast"/>
        </w:trPr>
        <w:tc>
          <w:tcPr>
            <w:tcW w:w="1416" w:type="dxa"/>
            <w:shd w:val="clear" w:color="auto" w:fill="auto"/>
            <w:vAlign w:val="center"/>
          </w:tcPr>
          <w:p w14:paraId="1EB50A45">
            <w:pPr>
              <w:spacing w:line="280" w:lineRule="exact"/>
              <w:jc w:val="center"/>
              <w:rPr>
                <w:rFonts w:hint="eastAsia" w:ascii="方正仿宋_GBK" w:hAnsi="方正仿宋_GBK" w:eastAsia="方正仿宋_GBK" w:cs="方正仿宋_GBK"/>
                <w:spacing w:val="-11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pacing w:val="-11"/>
                <w:szCs w:val="21"/>
              </w:rPr>
              <w:t>易燃易爆化学物品的生产、充装、储存、供应、销售单位</w:t>
            </w:r>
          </w:p>
        </w:tc>
        <w:tc>
          <w:tcPr>
            <w:tcW w:w="7422" w:type="dxa"/>
            <w:gridSpan w:val="3"/>
            <w:shd w:val="clear" w:color="auto" w:fill="auto"/>
            <w:vAlign w:val="center"/>
          </w:tcPr>
          <w:p w14:paraId="52E4DEE6">
            <w:pPr>
              <w:spacing w:line="280" w:lineRule="exact"/>
              <w:rPr>
                <w:rFonts w:hint="eastAsia"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□固定资产大于5000万元（不含土地价值）的易燃易爆危险化学物品的生产企业；</w:t>
            </w:r>
          </w:p>
          <w:p w14:paraId="0BBFE694">
            <w:pPr>
              <w:spacing w:line="280" w:lineRule="exact"/>
              <w:rPr>
                <w:rFonts w:hint="eastAsia"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□设计总容量不小于500m³的易燃易爆气体和液体的充装站、供应站、调压站；</w:t>
            </w:r>
          </w:p>
          <w:p w14:paraId="42947BD8">
            <w:pPr>
              <w:spacing w:line="280" w:lineRule="exact"/>
              <w:rPr>
                <w:rFonts w:hint="eastAsia"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 xml:space="preserve">□储存易燃易爆危险物品的专用仓库（石油库、化工原料库、堆场）； </w:t>
            </w:r>
          </w:p>
          <w:p w14:paraId="6A4FBC0F">
            <w:pPr>
              <w:spacing w:line="280" w:lineRule="exact"/>
              <w:rPr>
                <w:rFonts w:hint="eastAsia" w:ascii="方正仿宋_GBK" w:hAnsi="方正仿宋_GBK" w:eastAsia="方正仿宋_GBK" w:cs="方正仿宋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□一级营业性汽车加油站、加气站、加油加气合建站、加氢合建站。</w:t>
            </w:r>
          </w:p>
        </w:tc>
      </w:tr>
      <w:tr w14:paraId="15649D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55" w:hRule="atLeast"/>
        </w:trPr>
        <w:tc>
          <w:tcPr>
            <w:tcW w:w="1416" w:type="dxa"/>
            <w:shd w:val="clear" w:color="auto" w:fill="auto"/>
            <w:vAlign w:val="center"/>
          </w:tcPr>
          <w:p w14:paraId="38E2E43A">
            <w:pPr>
              <w:spacing w:line="280" w:lineRule="exact"/>
              <w:jc w:val="center"/>
              <w:rPr>
                <w:rFonts w:hint="eastAsia" w:ascii="方正仿宋_GBK" w:hAnsi="方正仿宋_GBK" w:eastAsia="方正仿宋_GBK" w:cs="方正仿宋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服装、制鞋等劳动密集型生产、加工企业</w:t>
            </w:r>
          </w:p>
        </w:tc>
        <w:tc>
          <w:tcPr>
            <w:tcW w:w="7422" w:type="dxa"/>
            <w:gridSpan w:val="3"/>
            <w:shd w:val="clear" w:color="auto" w:fill="auto"/>
            <w:vAlign w:val="center"/>
          </w:tcPr>
          <w:p w14:paraId="5BBD4D88">
            <w:pPr>
              <w:spacing w:line="280" w:lineRule="exact"/>
              <w:rPr>
                <w:rFonts w:hint="eastAsia"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服装、鞋帽、玩具、木制品、电子、塑料、食品加工等类似劳动密集型企业：</w:t>
            </w:r>
          </w:p>
          <w:p w14:paraId="70086BDA">
            <w:pPr>
              <w:spacing w:line="280" w:lineRule="exact"/>
              <w:rPr>
                <w:rFonts w:hint="eastAsia"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□厂房地上占地面积大于1500㎡或总建筑面积大于3000㎡</w:t>
            </w:r>
          </w:p>
          <w:p w14:paraId="729BD05E">
            <w:pPr>
              <w:spacing w:line="280" w:lineRule="exact"/>
              <w:rPr>
                <w:rFonts w:hint="eastAsia"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□生产车间员工总数大于1000人或同一工作时间段生产车间员工人数大于200人</w:t>
            </w:r>
          </w:p>
          <w:p w14:paraId="65C1B728">
            <w:pPr>
              <w:spacing w:line="280" w:lineRule="exact"/>
              <w:rPr>
                <w:rFonts w:hint="eastAsia" w:ascii="方正仿宋_GBK" w:hAnsi="方正仿宋_GBK" w:eastAsia="方正仿宋_GBK" w:cs="方正仿宋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□设有总建筑面积大于1000㎡的员工集体宿舍</w:t>
            </w:r>
          </w:p>
        </w:tc>
      </w:tr>
      <w:tr w14:paraId="2EE202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55" w:hRule="atLeast"/>
        </w:trPr>
        <w:tc>
          <w:tcPr>
            <w:tcW w:w="1416" w:type="dxa"/>
            <w:shd w:val="clear" w:color="auto" w:fill="auto"/>
            <w:vAlign w:val="center"/>
          </w:tcPr>
          <w:p w14:paraId="765F2A0F">
            <w:pPr>
              <w:spacing w:line="280" w:lineRule="exact"/>
              <w:jc w:val="center"/>
              <w:rPr>
                <w:rFonts w:hint="eastAsia"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重要的科研</w:t>
            </w:r>
          </w:p>
          <w:p w14:paraId="6A9225DD">
            <w:pPr>
              <w:spacing w:line="280" w:lineRule="exact"/>
              <w:jc w:val="center"/>
              <w:rPr>
                <w:rFonts w:hint="eastAsia" w:ascii="方正仿宋_GBK" w:hAnsi="方正仿宋_GBK" w:eastAsia="方正仿宋_GBK" w:cs="方正仿宋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单位</w:t>
            </w:r>
          </w:p>
        </w:tc>
        <w:tc>
          <w:tcPr>
            <w:tcW w:w="7422" w:type="dxa"/>
            <w:gridSpan w:val="3"/>
            <w:shd w:val="clear" w:color="auto" w:fill="auto"/>
            <w:vAlign w:val="center"/>
          </w:tcPr>
          <w:p w14:paraId="3E0C8DDA">
            <w:pPr>
              <w:spacing w:line="280" w:lineRule="exact"/>
              <w:rPr>
                <w:rFonts w:hint="eastAsia"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□省级以上科研单位</w:t>
            </w:r>
          </w:p>
          <w:p w14:paraId="7514DF88">
            <w:pPr>
              <w:spacing w:line="280" w:lineRule="exact"/>
              <w:rPr>
                <w:rFonts w:hint="eastAsia" w:ascii="方正仿宋_GBK" w:hAnsi="方正仿宋_GBK" w:eastAsia="方正仿宋_GBK" w:cs="方正仿宋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□设备价值大于5000万元、科研实验中具有火灾危险性的科研单位</w:t>
            </w:r>
          </w:p>
        </w:tc>
      </w:tr>
      <w:tr w14:paraId="682E99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55" w:hRule="atLeast"/>
        </w:trPr>
        <w:tc>
          <w:tcPr>
            <w:tcW w:w="1416" w:type="dxa"/>
            <w:shd w:val="clear" w:color="auto" w:fill="auto"/>
            <w:vAlign w:val="center"/>
          </w:tcPr>
          <w:p w14:paraId="208EFBD6">
            <w:pPr>
              <w:spacing w:line="280" w:lineRule="exact"/>
              <w:jc w:val="center"/>
              <w:rPr>
                <w:rFonts w:hint="eastAsia" w:ascii="方正仿宋_GBK" w:hAnsi="方正仿宋_GBK" w:eastAsia="方正仿宋_GBK" w:cs="方正仿宋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高层公共建筑</w:t>
            </w:r>
          </w:p>
        </w:tc>
        <w:tc>
          <w:tcPr>
            <w:tcW w:w="7422" w:type="dxa"/>
            <w:gridSpan w:val="3"/>
            <w:shd w:val="clear" w:color="auto" w:fill="auto"/>
            <w:vAlign w:val="center"/>
          </w:tcPr>
          <w:p w14:paraId="6DEFD3EA">
            <w:pPr>
              <w:spacing w:line="280" w:lineRule="exact"/>
              <w:rPr>
                <w:rFonts w:hint="eastAsia" w:ascii="方正仿宋_GBK" w:hAnsi="方正仿宋_GBK" w:eastAsia="方正仿宋_GBK" w:cs="方正仿宋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□高层商住楼、单体建筑面积大于40000㎡或建筑高度超过50m的办公楼（写字楼）、公寓楼</w:t>
            </w:r>
          </w:p>
        </w:tc>
      </w:tr>
      <w:tr w14:paraId="4BA644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55" w:hRule="atLeast"/>
        </w:trPr>
        <w:tc>
          <w:tcPr>
            <w:tcW w:w="1416" w:type="dxa"/>
            <w:shd w:val="clear" w:color="auto" w:fill="auto"/>
            <w:vAlign w:val="center"/>
          </w:tcPr>
          <w:p w14:paraId="0B5C24CA">
            <w:pPr>
              <w:spacing w:line="280" w:lineRule="exact"/>
              <w:jc w:val="center"/>
              <w:rPr>
                <w:rFonts w:hint="eastAsia"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隧道、</w:t>
            </w:r>
          </w:p>
          <w:p w14:paraId="6B82F6C4">
            <w:pPr>
              <w:spacing w:line="280" w:lineRule="exact"/>
              <w:jc w:val="center"/>
              <w:rPr>
                <w:rFonts w:hint="eastAsia" w:ascii="方正仿宋_GBK" w:hAnsi="方正仿宋_GBK" w:eastAsia="方正仿宋_GBK" w:cs="方正仿宋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地下综合管廊</w:t>
            </w:r>
          </w:p>
        </w:tc>
        <w:tc>
          <w:tcPr>
            <w:tcW w:w="7422" w:type="dxa"/>
            <w:gridSpan w:val="3"/>
            <w:shd w:val="clear" w:color="auto" w:fill="auto"/>
            <w:vAlign w:val="center"/>
          </w:tcPr>
          <w:p w14:paraId="26EC17E2">
            <w:pPr>
              <w:spacing w:line="280" w:lineRule="exact"/>
              <w:rPr>
                <w:rFonts w:hint="eastAsia"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□城市重要交通隧道</w:t>
            </w:r>
          </w:p>
          <w:p w14:paraId="2758BC11">
            <w:pPr>
              <w:spacing w:line="280" w:lineRule="exact"/>
              <w:rPr>
                <w:rFonts w:hint="eastAsia"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□城市地下观光隧道</w:t>
            </w:r>
          </w:p>
          <w:p w14:paraId="511E810E">
            <w:pPr>
              <w:spacing w:line="280" w:lineRule="exact"/>
              <w:rPr>
                <w:rFonts w:hint="eastAsia" w:ascii="方正仿宋_GBK" w:hAnsi="方正仿宋_GBK" w:eastAsia="方正仿宋_GBK" w:cs="方正仿宋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□城市地下综合管廊</w:t>
            </w:r>
          </w:p>
        </w:tc>
      </w:tr>
      <w:tr w14:paraId="5116CE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55" w:hRule="atLeast"/>
        </w:trPr>
        <w:tc>
          <w:tcPr>
            <w:tcW w:w="1416" w:type="dxa"/>
            <w:shd w:val="clear" w:color="auto" w:fill="auto"/>
            <w:vAlign w:val="center"/>
          </w:tcPr>
          <w:p w14:paraId="5EE74041">
            <w:pPr>
              <w:spacing w:line="280" w:lineRule="exact"/>
              <w:jc w:val="center"/>
              <w:rPr>
                <w:rFonts w:hint="eastAsia" w:ascii="方正仿宋_GBK" w:hAnsi="方正仿宋_GBK" w:eastAsia="方正仿宋_GBK" w:cs="方正仿宋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粮库、棉库、堆场</w:t>
            </w:r>
          </w:p>
        </w:tc>
        <w:tc>
          <w:tcPr>
            <w:tcW w:w="7422" w:type="dxa"/>
            <w:gridSpan w:val="3"/>
            <w:shd w:val="clear" w:color="auto" w:fill="auto"/>
            <w:vAlign w:val="center"/>
          </w:tcPr>
          <w:p w14:paraId="532E14C7">
            <w:pPr>
              <w:spacing w:line="280" w:lineRule="exact"/>
              <w:rPr>
                <w:rFonts w:hint="eastAsia"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□国家储备粮库，设计总储量不小于10000吨的其他粮库；</w:t>
            </w:r>
          </w:p>
          <w:p w14:paraId="7A0CFE68">
            <w:pPr>
              <w:spacing w:line="280" w:lineRule="exact"/>
              <w:rPr>
                <w:rFonts w:hint="eastAsia" w:ascii="方正仿宋_GBK" w:hAnsi="方正仿宋_GBK" w:eastAsia="方正仿宋_GBK" w:cs="方正仿宋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□设计总储量不小于500吨的棉库或不小于10000m³的木材堆场</w:t>
            </w:r>
          </w:p>
        </w:tc>
      </w:tr>
      <w:tr w14:paraId="051C64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55" w:hRule="atLeast"/>
        </w:trPr>
        <w:tc>
          <w:tcPr>
            <w:tcW w:w="1416" w:type="dxa"/>
            <w:shd w:val="clear" w:color="auto" w:fill="auto"/>
            <w:vAlign w:val="center"/>
          </w:tcPr>
          <w:p w14:paraId="7B6EEB24">
            <w:pPr>
              <w:spacing w:line="280" w:lineRule="exact"/>
              <w:jc w:val="center"/>
              <w:rPr>
                <w:rFonts w:hint="eastAsia" w:ascii="方正仿宋_GBK" w:hAnsi="方正仿宋_GBK" w:eastAsia="方正仿宋_GBK" w:cs="方正仿宋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仓储物流企业</w:t>
            </w:r>
          </w:p>
        </w:tc>
        <w:tc>
          <w:tcPr>
            <w:tcW w:w="7422" w:type="dxa"/>
            <w:gridSpan w:val="3"/>
            <w:shd w:val="clear" w:color="auto" w:fill="auto"/>
            <w:vAlign w:val="center"/>
          </w:tcPr>
          <w:p w14:paraId="2CE0FA23">
            <w:pPr>
              <w:spacing w:line="280" w:lineRule="exact"/>
              <w:rPr>
                <w:rFonts w:hint="eastAsia" w:ascii="方正仿宋_GBK" w:hAnsi="方正仿宋_GBK" w:eastAsia="方正仿宋_GBK" w:cs="方正仿宋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□</w:t>
            </w:r>
            <w:r>
              <w:rPr>
                <w:rFonts w:hint="eastAsia" w:ascii="方正仿宋_GBK" w:hAnsi="方正仿宋_GBK" w:eastAsia="方正仿宋_GBK" w:cs="方正仿宋_GBK"/>
                <w:spacing w:val="-6"/>
                <w:szCs w:val="21"/>
              </w:rPr>
              <w:t>总储存面积大于5000㎡的可燃物品仓储物流企业</w:t>
            </w:r>
          </w:p>
        </w:tc>
      </w:tr>
      <w:tr w14:paraId="29075F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55" w:hRule="atLeast"/>
        </w:trPr>
        <w:tc>
          <w:tcPr>
            <w:tcW w:w="1416" w:type="dxa"/>
            <w:shd w:val="clear" w:color="auto" w:fill="auto"/>
            <w:vAlign w:val="center"/>
          </w:tcPr>
          <w:p w14:paraId="53AF3C97">
            <w:pPr>
              <w:spacing w:line="280" w:lineRule="exact"/>
              <w:jc w:val="center"/>
              <w:rPr>
                <w:rFonts w:hint="eastAsia" w:ascii="方正仿宋_GBK" w:hAnsi="方正仿宋_GBK" w:eastAsia="方正仿宋_GBK" w:cs="方正仿宋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汽车库、修车库和停车场</w:t>
            </w:r>
          </w:p>
        </w:tc>
        <w:tc>
          <w:tcPr>
            <w:tcW w:w="7422" w:type="dxa"/>
            <w:gridSpan w:val="3"/>
            <w:shd w:val="clear" w:color="auto" w:fill="auto"/>
            <w:vAlign w:val="center"/>
          </w:tcPr>
          <w:p w14:paraId="537AD7B3">
            <w:pPr>
              <w:spacing w:line="280" w:lineRule="exact"/>
              <w:rPr>
                <w:rFonts w:hint="eastAsia" w:ascii="方正仿宋_GBK" w:hAnsi="方正仿宋_GBK" w:eastAsia="方正仿宋_GBK" w:cs="方正仿宋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□设有自动消防设施的汽车库、修车库和停车场（住宅小区内不对外开放的汽车库、修车库和停车场除外）</w:t>
            </w:r>
          </w:p>
        </w:tc>
      </w:tr>
      <w:tr w14:paraId="35A1DC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55" w:hRule="atLeast"/>
        </w:trPr>
        <w:tc>
          <w:tcPr>
            <w:tcW w:w="1416" w:type="dxa"/>
            <w:shd w:val="clear" w:color="auto" w:fill="auto"/>
            <w:vAlign w:val="center"/>
          </w:tcPr>
          <w:p w14:paraId="1C0BE414">
            <w:pPr>
              <w:spacing w:line="280" w:lineRule="exact"/>
              <w:jc w:val="center"/>
              <w:rPr>
                <w:rFonts w:hint="eastAsia" w:ascii="方正仿宋_GBK" w:hAnsi="方正仿宋_GBK" w:eastAsia="方正仿宋_GBK" w:cs="方正仿宋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金融机构</w:t>
            </w:r>
          </w:p>
        </w:tc>
        <w:tc>
          <w:tcPr>
            <w:tcW w:w="7422" w:type="dxa"/>
            <w:gridSpan w:val="3"/>
            <w:shd w:val="clear" w:color="auto" w:fill="auto"/>
            <w:vAlign w:val="center"/>
          </w:tcPr>
          <w:p w14:paraId="24187E75">
            <w:pPr>
              <w:spacing w:line="280" w:lineRule="exact"/>
              <w:rPr>
                <w:rFonts w:hint="eastAsia"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□支行（一级）以上的银行，办公场所为高层建筑的金融机构</w:t>
            </w:r>
          </w:p>
          <w:p w14:paraId="1629A68F">
            <w:pPr>
              <w:spacing w:line="280" w:lineRule="exact"/>
              <w:rPr>
                <w:rFonts w:hint="eastAsia"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□营业厅面积大于1000㎡的证券交易所</w:t>
            </w:r>
          </w:p>
          <w:p w14:paraId="2F222679">
            <w:pPr>
              <w:spacing w:line="280" w:lineRule="exact"/>
              <w:rPr>
                <w:rFonts w:hint="eastAsia" w:ascii="方正仿宋_GBK" w:hAnsi="方正仿宋_GBK" w:eastAsia="方正仿宋_GBK" w:cs="方正仿宋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□银行业、保险业、证券业务数据处理中心</w:t>
            </w:r>
          </w:p>
        </w:tc>
      </w:tr>
      <w:tr w14:paraId="57F5DF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55" w:hRule="atLeast"/>
        </w:trPr>
        <w:tc>
          <w:tcPr>
            <w:tcW w:w="1416" w:type="dxa"/>
            <w:shd w:val="clear" w:color="auto" w:fill="auto"/>
            <w:vAlign w:val="center"/>
          </w:tcPr>
          <w:p w14:paraId="4593FC0F">
            <w:pPr>
              <w:spacing w:line="280" w:lineRule="exact"/>
              <w:jc w:val="center"/>
              <w:rPr>
                <w:rFonts w:hint="eastAsia" w:ascii="方正仿宋_GBK" w:hAnsi="方正仿宋_GBK" w:eastAsia="方正仿宋_GBK" w:cs="方正仿宋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对公众开放、具有火灾危险性的旅游景区、宗教活动场所</w:t>
            </w:r>
          </w:p>
        </w:tc>
        <w:tc>
          <w:tcPr>
            <w:tcW w:w="7422" w:type="dxa"/>
            <w:gridSpan w:val="3"/>
            <w:shd w:val="clear" w:color="auto" w:fill="auto"/>
            <w:vAlign w:val="center"/>
          </w:tcPr>
          <w:p w14:paraId="7E580478">
            <w:pPr>
              <w:spacing w:line="280" w:lineRule="exact"/>
              <w:rPr>
                <w:rFonts w:hint="eastAsia" w:ascii="方正仿宋_GBK" w:hAnsi="方正仿宋_GBK" w:eastAsia="方正仿宋_GBK" w:cs="方正仿宋_GBK"/>
                <w:szCs w:val="21"/>
              </w:rPr>
            </w:pPr>
          </w:p>
          <w:p w14:paraId="3C45E381">
            <w:pPr>
              <w:spacing w:line="280" w:lineRule="exact"/>
              <w:rPr>
                <w:rFonts w:hint="eastAsia"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□AAAA级以上的旅游景区</w:t>
            </w:r>
          </w:p>
          <w:p w14:paraId="7D115121">
            <w:pPr>
              <w:spacing w:line="280" w:lineRule="exact"/>
              <w:rPr>
                <w:rFonts w:hint="eastAsia"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□总建筑面积大于2500㎡的宗教活动场所</w:t>
            </w:r>
          </w:p>
          <w:p w14:paraId="10096D30">
            <w:pPr>
              <w:spacing w:line="280" w:lineRule="exact"/>
              <w:rPr>
                <w:rFonts w:hint="eastAsia" w:ascii="方正仿宋_GBK" w:hAnsi="方正仿宋_GBK" w:eastAsia="方正仿宋_GBK" w:cs="方正仿宋_GBK"/>
                <w:kern w:val="2"/>
                <w:sz w:val="21"/>
                <w:szCs w:val="21"/>
                <w:lang w:val="en-US" w:eastAsia="zh-CN" w:bidi="ar-SA"/>
              </w:rPr>
            </w:pPr>
          </w:p>
        </w:tc>
      </w:tr>
      <w:tr w14:paraId="71DC09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55" w:hRule="atLeast"/>
        </w:trPr>
        <w:tc>
          <w:tcPr>
            <w:tcW w:w="1416" w:type="dxa"/>
            <w:shd w:val="clear" w:color="auto" w:fill="auto"/>
            <w:vAlign w:val="center"/>
          </w:tcPr>
          <w:p w14:paraId="359CC8EE">
            <w:pPr>
              <w:spacing w:line="280" w:lineRule="exact"/>
              <w:jc w:val="center"/>
              <w:rPr>
                <w:rFonts w:hint="eastAsia" w:ascii="方正仿宋_GBK" w:hAnsi="方正仿宋_GBK" w:eastAsia="方正仿宋_GBK" w:cs="方正仿宋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工业企业</w:t>
            </w:r>
          </w:p>
        </w:tc>
        <w:tc>
          <w:tcPr>
            <w:tcW w:w="7422" w:type="dxa"/>
            <w:gridSpan w:val="3"/>
            <w:shd w:val="clear" w:color="auto" w:fill="auto"/>
            <w:vAlign w:val="center"/>
          </w:tcPr>
          <w:p w14:paraId="1C185A14">
            <w:pPr>
              <w:spacing w:line="280" w:lineRule="exact"/>
              <w:rPr>
                <w:rFonts w:hint="eastAsia"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固定资产（建筑、设备、原材料等，不含土地价值）价值大于5000万元的具有火灾危险的工业企业：</w:t>
            </w:r>
          </w:p>
          <w:p w14:paraId="02B216B8">
            <w:pPr>
              <w:spacing w:line="280" w:lineRule="exact"/>
              <w:rPr>
                <w:rFonts w:hint="eastAsia" w:ascii="方正仿宋_GBK" w:hAnsi="方正仿宋_GBK" w:eastAsia="方正仿宋_GBK" w:cs="方正仿宋_GBK"/>
                <w:szCs w:val="21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□汽车□造船□电器□医药</w:t>
            </w:r>
          </w:p>
          <w:p w14:paraId="7C6E4140">
            <w:pPr>
              <w:spacing w:line="280" w:lineRule="exact"/>
              <w:rPr>
                <w:rFonts w:hint="eastAsia" w:ascii="方正仿宋_GBK" w:hAnsi="方正仿宋_GBK" w:eastAsia="方正仿宋_GBK" w:cs="方正仿宋_GBK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szCs w:val="21"/>
              </w:rPr>
              <w:t>□烟草□纺织□制革□造纸</w:t>
            </w:r>
          </w:p>
        </w:tc>
      </w:tr>
    </w:tbl>
    <w:p w14:paraId="648F32C7">
      <w:pPr>
        <w:spacing w:line="280" w:lineRule="exact"/>
        <w:rPr>
          <w:rFonts w:hint="eastAsia" w:ascii="仿宋_GB2312" w:hAnsi="Times New Roman" w:eastAsia="仿宋_GB2312" w:cs="Times New Roman"/>
          <w:szCs w:val="21"/>
        </w:rPr>
      </w:pPr>
    </w:p>
    <w:p w14:paraId="5FED69C0">
      <w:pPr>
        <w:spacing w:line="280" w:lineRule="exact"/>
        <w:jc w:val="left"/>
        <w:rPr>
          <w:rFonts w:hint="eastAsia" w:ascii="方正仿宋_GBK" w:hAnsi="方正仿宋_GBK" w:eastAsia="方正仿宋_GBK" w:cs="方正仿宋_GBK"/>
          <w:szCs w:val="21"/>
          <w:lang w:eastAsia="zh-CN"/>
        </w:rPr>
      </w:pPr>
      <w:r>
        <w:rPr>
          <w:rFonts w:hint="eastAsia" w:ascii="方正仿宋_GBK" w:hAnsi="方正仿宋_GBK" w:eastAsia="方正仿宋_GBK" w:cs="方正仿宋_GBK"/>
          <w:szCs w:val="21"/>
        </w:rPr>
        <w:t>注：“公共娱乐场所”是指公众开放的下列室内场所：（1）影剧院、录像厅、礼堂等演出、放映场所；（2）舞厅、卡拉OK等歌舞娱乐场所；（3）具有娱乐功能的夜总会、音乐茶座和餐饮场所；（4）游艺、游乐场所；（5）保龄球馆、旱冰场、桑拿浴室、美容院、棋牌室、洗脚房等营业性场所</w:t>
      </w:r>
      <w:r>
        <w:rPr>
          <w:rFonts w:hint="eastAsia" w:ascii="方正仿宋_GBK" w:hAnsi="方正仿宋_GBK" w:eastAsia="方正仿宋_GBK" w:cs="方正仿宋_GBK"/>
          <w:szCs w:val="21"/>
          <w:lang w:eastAsia="zh-CN"/>
        </w:rPr>
        <w:t>。</w:t>
      </w:r>
    </w:p>
    <w:p w14:paraId="049A0E36">
      <w:pPr>
        <w:spacing w:line="280" w:lineRule="exact"/>
        <w:jc w:val="left"/>
        <w:rPr>
          <w:rFonts w:hint="eastAsia" w:ascii="方正仿宋_GBK" w:hAnsi="方正仿宋_GBK" w:eastAsia="方正仿宋_GBK" w:cs="方正仿宋_GBK"/>
          <w:szCs w:val="21"/>
        </w:rPr>
      </w:pPr>
    </w:p>
    <w:p w14:paraId="58CC66A2">
      <w:pPr>
        <w:spacing w:line="560" w:lineRule="exact"/>
        <w:rPr>
          <w:rFonts w:hint="eastAsia" w:ascii="仿宋_GB2312" w:hAnsi="宋体" w:eastAsia="仿宋_GB2312"/>
          <w:kern w:val="0"/>
          <w:sz w:val="32"/>
          <w:szCs w:val="32"/>
        </w:rPr>
      </w:pPr>
    </w:p>
    <w:p w14:paraId="4BA845D4">
      <w:pPr>
        <w:spacing w:line="560" w:lineRule="exact"/>
        <w:rPr>
          <w:rFonts w:hint="eastAsia" w:ascii="仿宋_GB2312" w:hAnsi="宋体" w:eastAsia="仿宋_GB2312"/>
          <w:kern w:val="0"/>
          <w:sz w:val="32"/>
          <w:szCs w:val="32"/>
        </w:rPr>
      </w:pPr>
    </w:p>
    <w:p w14:paraId="5C60B4DF">
      <w:pPr>
        <w:spacing w:line="560" w:lineRule="exact"/>
        <w:rPr>
          <w:rFonts w:hint="eastAsia" w:ascii="仿宋_GB2312" w:hAnsi="宋体" w:eastAsia="仿宋_GB2312"/>
          <w:kern w:val="0"/>
          <w:sz w:val="32"/>
          <w:szCs w:val="32"/>
        </w:rPr>
      </w:pPr>
    </w:p>
    <w:p w14:paraId="53DB67C3">
      <w:pPr>
        <w:spacing w:line="560" w:lineRule="exact"/>
        <w:rPr>
          <w:rFonts w:hint="eastAsia" w:ascii="仿宋_GB2312" w:hAnsi="宋体" w:eastAsia="仿宋_GB2312"/>
          <w:kern w:val="0"/>
          <w:sz w:val="32"/>
          <w:szCs w:val="32"/>
        </w:rPr>
      </w:pPr>
    </w:p>
    <w:p w14:paraId="1ACAB6A4">
      <w:pPr>
        <w:spacing w:line="560" w:lineRule="exact"/>
        <w:rPr>
          <w:rFonts w:hint="eastAsia" w:ascii="仿宋_GB2312" w:hAnsi="宋体" w:eastAsia="仿宋_GB2312"/>
          <w:kern w:val="0"/>
          <w:sz w:val="32"/>
          <w:szCs w:val="32"/>
        </w:rPr>
      </w:pPr>
    </w:p>
    <w:p w14:paraId="3750F19F">
      <w:pPr>
        <w:spacing w:line="560" w:lineRule="exact"/>
        <w:rPr>
          <w:rFonts w:hint="eastAsia" w:ascii="仿宋_GB2312" w:hAnsi="宋体" w:eastAsia="仿宋_GB2312"/>
          <w:kern w:val="0"/>
          <w:sz w:val="32"/>
          <w:szCs w:val="32"/>
        </w:rPr>
      </w:pPr>
    </w:p>
    <w:p w14:paraId="785C3CEF">
      <w:pPr>
        <w:spacing w:line="560" w:lineRule="exact"/>
        <w:rPr>
          <w:rFonts w:hint="eastAsia" w:ascii="仿宋_GB2312" w:hAnsi="宋体" w:eastAsia="仿宋_GB2312"/>
          <w:kern w:val="0"/>
          <w:sz w:val="32"/>
          <w:szCs w:val="32"/>
        </w:rPr>
      </w:pPr>
    </w:p>
    <w:p w14:paraId="00516F6B">
      <w:pPr>
        <w:spacing w:line="560" w:lineRule="exact"/>
        <w:rPr>
          <w:rFonts w:hint="eastAsia" w:ascii="仿宋_GB2312" w:hAnsi="宋体" w:eastAsia="仿宋_GB2312"/>
          <w:kern w:val="0"/>
          <w:sz w:val="32"/>
          <w:szCs w:val="32"/>
        </w:rPr>
      </w:pPr>
    </w:p>
    <w:p w14:paraId="2E4C5676">
      <w:pPr>
        <w:spacing w:line="560" w:lineRule="exact"/>
        <w:rPr>
          <w:rFonts w:hint="eastAsia" w:ascii="仿宋_GB2312" w:hAnsi="宋体" w:eastAsia="仿宋_GB2312"/>
          <w:kern w:val="0"/>
          <w:sz w:val="32"/>
          <w:szCs w:val="32"/>
        </w:rPr>
      </w:pPr>
    </w:p>
    <w:p w14:paraId="6F845CB4">
      <w:pPr>
        <w:spacing w:line="560" w:lineRule="exact"/>
        <w:rPr>
          <w:rFonts w:hint="eastAsia" w:ascii="仿宋_GB2312" w:hAnsi="宋体" w:eastAsia="仿宋_GB2312"/>
          <w:kern w:val="0"/>
          <w:sz w:val="32"/>
          <w:szCs w:val="32"/>
        </w:rPr>
      </w:pPr>
    </w:p>
    <w:p w14:paraId="0371759B">
      <w:pPr>
        <w:spacing w:line="560" w:lineRule="exact"/>
        <w:rPr>
          <w:rFonts w:hint="eastAsia" w:ascii="仿宋_GB2312" w:hAnsi="宋体" w:eastAsia="仿宋_GB2312"/>
          <w:kern w:val="0"/>
          <w:sz w:val="32"/>
          <w:szCs w:val="32"/>
        </w:rPr>
      </w:pPr>
    </w:p>
    <w:p w14:paraId="4EC3E208">
      <w:pPr>
        <w:spacing w:line="560" w:lineRule="exact"/>
        <w:rPr>
          <w:rFonts w:hint="eastAsia" w:ascii="仿宋_GB2312" w:hAnsi="宋体" w:eastAsia="仿宋_GB2312"/>
          <w:kern w:val="0"/>
          <w:sz w:val="32"/>
          <w:szCs w:val="32"/>
        </w:rPr>
      </w:pPr>
    </w:p>
    <w:p w14:paraId="4CED2F46">
      <w:pPr>
        <w:spacing w:line="560" w:lineRule="exact"/>
        <w:rPr>
          <w:rFonts w:hint="eastAsia" w:ascii="仿宋_GB2312" w:hAnsi="宋体" w:eastAsia="仿宋_GB2312"/>
          <w:kern w:val="0"/>
          <w:sz w:val="32"/>
          <w:szCs w:val="32"/>
        </w:rPr>
      </w:pPr>
    </w:p>
    <w:p w14:paraId="70B34638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JhNGUwMDA1YmIxNGJhMWMwMGJiN2UzY2UyNmFmY2YifQ=="/>
  </w:docVars>
  <w:rsids>
    <w:rsidRoot w:val="00000000"/>
    <w:rsid w:val="01622F31"/>
    <w:rsid w:val="04736639"/>
    <w:rsid w:val="04D33C1D"/>
    <w:rsid w:val="050005AB"/>
    <w:rsid w:val="06E544B7"/>
    <w:rsid w:val="0BD25B26"/>
    <w:rsid w:val="11893B87"/>
    <w:rsid w:val="13664E1F"/>
    <w:rsid w:val="16FE69A6"/>
    <w:rsid w:val="1A937A65"/>
    <w:rsid w:val="1C8D7CDE"/>
    <w:rsid w:val="1DD12435"/>
    <w:rsid w:val="1F465A07"/>
    <w:rsid w:val="2221463C"/>
    <w:rsid w:val="25626093"/>
    <w:rsid w:val="36FB1E91"/>
    <w:rsid w:val="3B5106BB"/>
    <w:rsid w:val="3CC65C3F"/>
    <w:rsid w:val="427C30DF"/>
    <w:rsid w:val="4460529C"/>
    <w:rsid w:val="45F2716E"/>
    <w:rsid w:val="4A660C1F"/>
    <w:rsid w:val="4B525C49"/>
    <w:rsid w:val="51913415"/>
    <w:rsid w:val="51CB5EB6"/>
    <w:rsid w:val="586C05F3"/>
    <w:rsid w:val="58916DC8"/>
    <w:rsid w:val="599F6032"/>
    <w:rsid w:val="5CB873D1"/>
    <w:rsid w:val="6BD749C5"/>
    <w:rsid w:val="70DA50DF"/>
    <w:rsid w:val="771865D6"/>
    <w:rsid w:val="7771189F"/>
    <w:rsid w:val="7A866703"/>
    <w:rsid w:val="7DC15D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qFormat="1"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paragraph" w:styleId="3">
    <w:name w:val="heading 2"/>
    <w:basedOn w:val="1"/>
    <w:next w:val="1"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character" w:default="1" w:styleId="12">
    <w:name w:val="Default Paragraph Font"/>
    <w:semiHidden/>
    <w:qFormat/>
    <w:uiPriority w:val="0"/>
  </w:style>
  <w:style w:type="table" w:default="1" w:styleId="11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Normal Indent"/>
    <w:basedOn w:val="1"/>
    <w:next w:val="1"/>
    <w:qFormat/>
    <w:uiPriority w:val="0"/>
    <w:pPr>
      <w:ind w:firstLine="420" w:firstLineChars="200"/>
    </w:pPr>
    <w:rPr>
      <w:rFonts w:eastAsia="仿宋"/>
    </w:rPr>
  </w:style>
  <w:style w:type="paragraph" w:styleId="5">
    <w:name w:val="Body Text"/>
    <w:basedOn w:val="1"/>
    <w:next w:val="6"/>
    <w:qFormat/>
    <w:uiPriority w:val="0"/>
    <w:rPr>
      <w:rFonts w:ascii="Times New Roman" w:hAnsi="Times New Roman" w:eastAsia="宋体" w:cs="Times New Roman"/>
    </w:rPr>
  </w:style>
  <w:style w:type="paragraph" w:styleId="6">
    <w:name w:val="toc 5"/>
    <w:basedOn w:val="1"/>
    <w:next w:val="1"/>
    <w:qFormat/>
    <w:uiPriority w:val="0"/>
    <w:pPr>
      <w:ind w:left="1680"/>
    </w:pPr>
  </w:style>
  <w:style w:type="paragraph" w:styleId="7">
    <w:name w:val="Body Text Indent"/>
    <w:basedOn w:val="1"/>
    <w:next w:val="4"/>
    <w:unhideWhenUsed/>
    <w:qFormat/>
    <w:uiPriority w:val="99"/>
    <w:pPr>
      <w:spacing w:after="120"/>
      <w:ind w:left="420" w:leftChars="200"/>
    </w:pPr>
  </w:style>
  <w:style w:type="paragraph" w:styleId="8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10">
    <w:name w:val="Body Text First Indent 2"/>
    <w:basedOn w:val="7"/>
    <w:next w:val="1"/>
    <w:unhideWhenUsed/>
    <w:qFormat/>
    <w:uiPriority w:val="0"/>
    <w:pPr>
      <w:ind w:firstLine="420" w:firstLineChars="200"/>
    </w:pPr>
    <w:rPr>
      <w:kern w:val="0"/>
      <w:sz w:val="20"/>
      <w:szCs w:val="24"/>
    </w:rPr>
  </w:style>
  <w:style w:type="character" w:styleId="13">
    <w:name w:val="Strong"/>
    <w:basedOn w:val="12"/>
    <w:qFormat/>
    <w:uiPriority w:val="0"/>
    <w:rPr>
      <w:b/>
    </w:rPr>
  </w:style>
  <w:style w:type="paragraph" w:customStyle="1" w:styleId="14">
    <w:name w:val="List Paragraph"/>
    <w:basedOn w:val="1"/>
    <w:qFormat/>
    <w:uiPriority w:val="34"/>
    <w:pPr>
      <w:ind w:firstLine="420" w:firstLineChars="200"/>
    </w:pPr>
    <w:rPr>
      <w:rFonts w:ascii="Calibri" w:hAnsi="Calibri" w:eastAsia="宋体" w:cs="Times New Roman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2349</Words>
  <Characters>2508</Characters>
  <Lines>0</Lines>
  <Paragraphs>0</Paragraphs>
  <TotalTime>0</TotalTime>
  <ScaleCrop>false</ScaleCrop>
  <LinksUpToDate>false</LinksUpToDate>
  <CharactersWithSpaces>2530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2023-12-14T00:45:00Z</dcterms:created>
  <dc:creator>Administrator</dc:creator>
  <cp:lastModifiedBy>春暖花开</cp:lastModifiedBy>
  <dcterms:modified xsi:type="dcterms:W3CDTF">2026-01-28T01:42:13Z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2E174160893E4C518FD7F5F63B3A6F02_13</vt:lpwstr>
  </property>
  <property fmtid="{D5CDD505-2E9C-101B-9397-08002B2CF9AE}" pid="4" name="KSOTemplateDocerSaveRecord">
    <vt:lpwstr>eyJoZGlkIjoiNzgxZjNjZWIyZDg0NjY5ZGQ3ZDYzMDVjM2QwZDRjMTYiLCJ1c2VySWQiOiI2NDgzMzg3NjkifQ==</vt:lpwstr>
  </property>
</Properties>
</file>