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EAD5F03">
      <w:pPr>
        <w:jc w:val="both"/>
        <w:rPr>
          <w:rFonts w:hint="eastAsia" w:ascii="宋体" w:hAnsi="宋体" w:eastAsia="宋体" w:cs="宋体"/>
          <w:sz w:val="24"/>
          <w:szCs w:val="24"/>
          <w:lang w:val="en-US" w:eastAsia="zh-CN"/>
        </w:rPr>
      </w:pPr>
    </w:p>
    <w:p w14:paraId="7AF2D7C0">
      <w:pPr>
        <w:jc w:val="both"/>
        <w:rPr>
          <w:rFonts w:hint="eastAsia" w:ascii="宋体" w:hAnsi="宋体" w:eastAsia="宋体" w:cs="宋体"/>
          <w:sz w:val="24"/>
          <w:szCs w:val="24"/>
          <w:lang w:val="en-US" w:eastAsia="zh-CN"/>
        </w:rPr>
      </w:pPr>
    </w:p>
    <w:p w14:paraId="4549D35A">
      <w:pPr>
        <w:jc w:val="both"/>
        <w:rPr>
          <w:rFonts w:hint="eastAsia" w:ascii="宋体" w:hAnsi="宋体" w:eastAsia="宋体" w:cs="宋体"/>
          <w:sz w:val="24"/>
          <w:szCs w:val="24"/>
          <w:lang w:val="en-US" w:eastAsia="zh-CN"/>
        </w:rPr>
      </w:pPr>
    </w:p>
    <w:p w14:paraId="16857B68">
      <w:pPr>
        <w:jc w:val="both"/>
        <w:rPr>
          <w:rFonts w:hint="eastAsia" w:ascii="宋体" w:hAnsi="宋体" w:eastAsia="宋体" w:cs="宋体"/>
          <w:sz w:val="24"/>
          <w:szCs w:val="24"/>
          <w:lang w:val="en-US" w:eastAsia="zh-CN"/>
        </w:rPr>
      </w:pPr>
    </w:p>
    <w:p w14:paraId="5C1F2D3F">
      <w:pPr>
        <w:jc w:val="both"/>
        <w:rPr>
          <w:rFonts w:hint="eastAsia" w:ascii="宋体" w:hAnsi="宋体" w:eastAsia="宋体" w:cs="宋体"/>
          <w:sz w:val="24"/>
          <w:szCs w:val="24"/>
          <w:lang w:val="en-US" w:eastAsia="zh-CN"/>
        </w:rPr>
      </w:pPr>
    </w:p>
    <w:p w14:paraId="33E3C386">
      <w:pPr>
        <w:jc w:val="right"/>
        <w:rPr>
          <w:rFonts w:hint="eastAsia" w:ascii="楷体" w:hAnsi="楷体" w:eastAsia="楷体" w:cs="楷体"/>
          <w:color w:val="auto"/>
          <w:kern w:val="2"/>
          <w:sz w:val="32"/>
          <w:szCs w:val="32"/>
          <w:lang w:val="en-US" w:eastAsia="zh-CN" w:bidi="ar-SA"/>
        </w:rPr>
      </w:pPr>
      <w:r>
        <w:rPr>
          <w:rFonts w:hint="eastAsia" w:ascii="宋体" w:hAnsi="宋体" w:eastAsia="宋体" w:cs="宋体"/>
          <w:sz w:val="24"/>
          <w:szCs w:val="24"/>
          <w:lang w:val="en-US" w:eastAsia="zh-CN"/>
        </w:rPr>
        <w:t xml:space="preserve">                               </w:t>
      </w:r>
      <w:r>
        <w:rPr>
          <w:rFonts w:hint="eastAsia" w:ascii="楷体" w:hAnsi="楷体" w:eastAsia="楷体" w:cs="楷体"/>
          <w:color w:val="auto"/>
          <w:kern w:val="2"/>
          <w:sz w:val="32"/>
          <w:szCs w:val="32"/>
          <w:lang w:val="en-US" w:eastAsia="zh-CN" w:bidi="ar-SA"/>
        </w:rPr>
        <w:t>无数政委经开环批〔2026〕9号</w:t>
      </w:r>
    </w:p>
    <w:p w14:paraId="3FF7810D">
      <w:pPr>
        <w:jc w:val="center"/>
        <w:rPr>
          <w:rFonts w:hint="eastAsia" w:eastAsia="宋体" w:cs="宋体" w:asciiTheme="minorAscii" w:hAnsiTheme="minorAscii"/>
          <w:b/>
          <w:bCs/>
          <w:sz w:val="44"/>
          <w:szCs w:val="44"/>
          <w:lang w:val="en-US" w:eastAsia="zh-CN"/>
        </w:rPr>
      </w:pPr>
    </w:p>
    <w:p w14:paraId="2DBE4D61">
      <w:pPr>
        <w:jc w:val="center"/>
        <w:rPr>
          <w:rFonts w:hint="eastAsia" w:eastAsia="宋体" w:cs="宋体" w:asciiTheme="minorAscii" w:hAnsiTheme="minorAscii"/>
          <w:b/>
          <w:bCs/>
          <w:sz w:val="44"/>
          <w:szCs w:val="44"/>
          <w:lang w:val="en-US" w:eastAsia="zh-CN"/>
        </w:rPr>
      </w:pPr>
      <w:r>
        <w:rPr>
          <w:rFonts w:hint="eastAsia" w:eastAsia="宋体" w:cs="宋体" w:asciiTheme="minorAscii" w:hAnsiTheme="minorAscii"/>
          <w:b/>
          <w:bCs/>
          <w:sz w:val="44"/>
          <w:szCs w:val="44"/>
          <w:lang w:val="en-US" w:eastAsia="zh-CN"/>
        </w:rPr>
        <w:t>河北无极经济开发区管委会</w:t>
      </w:r>
    </w:p>
    <w:p w14:paraId="50F48490">
      <w:pPr>
        <w:jc w:val="center"/>
        <w:rPr>
          <w:rFonts w:hint="default" w:eastAsia="宋体" w:cs="宋体" w:asciiTheme="minorAscii" w:hAnsiTheme="minorAscii"/>
          <w:b/>
          <w:bCs/>
          <w:sz w:val="44"/>
          <w:szCs w:val="44"/>
        </w:rPr>
      </w:pPr>
      <w:r>
        <w:rPr>
          <w:rFonts w:hint="default" w:eastAsia="宋体" w:cs="宋体" w:asciiTheme="minorAscii" w:hAnsiTheme="minorAscii"/>
          <w:b/>
          <w:bCs/>
          <w:sz w:val="44"/>
          <w:szCs w:val="44"/>
        </w:rPr>
        <w:t>关于</w:t>
      </w:r>
      <w:r>
        <w:rPr>
          <w:rFonts w:hint="eastAsia" w:eastAsia="宋体" w:cs="宋体" w:asciiTheme="minorAscii" w:hAnsiTheme="minorAscii"/>
          <w:b/>
          <w:bCs/>
          <w:sz w:val="44"/>
          <w:szCs w:val="44"/>
          <w:lang w:eastAsia="zh-CN"/>
        </w:rPr>
        <w:t>《河北互旺建筑材料有限公司智能制造生产基地建设项目》</w:t>
      </w:r>
      <w:r>
        <w:rPr>
          <w:rFonts w:hint="default" w:eastAsia="宋体" w:cs="宋体" w:asciiTheme="minorAscii" w:hAnsiTheme="minorAscii"/>
          <w:b/>
          <w:bCs/>
          <w:sz w:val="44"/>
          <w:szCs w:val="44"/>
        </w:rPr>
        <w:t>环境影响报告表的</w:t>
      </w:r>
    </w:p>
    <w:p w14:paraId="70A77B77">
      <w:pPr>
        <w:jc w:val="center"/>
        <w:rPr>
          <w:rFonts w:hint="default" w:eastAsia="宋体" w:cs="宋体" w:asciiTheme="minorAscii" w:hAnsiTheme="minorAscii"/>
          <w:b/>
          <w:bCs/>
          <w:sz w:val="44"/>
          <w:szCs w:val="44"/>
        </w:rPr>
      </w:pPr>
      <w:r>
        <w:rPr>
          <w:rFonts w:hint="default" w:eastAsia="宋体" w:cs="宋体" w:asciiTheme="minorAscii" w:hAnsiTheme="minorAscii"/>
          <w:b/>
          <w:bCs/>
          <w:sz w:val="44"/>
          <w:szCs w:val="44"/>
        </w:rPr>
        <w:t>批复意见</w:t>
      </w:r>
    </w:p>
    <w:p w14:paraId="7F86CC59">
      <w:pPr>
        <w:jc w:val="center"/>
        <w:rPr>
          <w:rFonts w:hint="default" w:eastAsia="宋体" w:cs="宋体" w:asciiTheme="minorAscii" w:hAnsiTheme="minorAscii"/>
          <w:b/>
          <w:bCs/>
          <w:sz w:val="44"/>
          <w:szCs w:val="44"/>
        </w:rPr>
      </w:pPr>
    </w:p>
    <w:p w14:paraId="0D3044D4">
      <w:pPr>
        <w:keepNext w:val="0"/>
        <w:keepLines w:val="0"/>
        <w:pageBreakBefore w:val="0"/>
        <w:widowControl w:val="0"/>
        <w:kinsoku/>
        <w:wordWrap/>
        <w:overflowPunct/>
        <w:topLinePunct w:val="0"/>
        <w:autoSpaceDE/>
        <w:autoSpaceDN/>
        <w:bidi w:val="0"/>
        <w:adjustRightInd/>
        <w:snapToGrid/>
        <w:spacing w:line="500" w:lineRule="exact"/>
        <w:jc w:val="both"/>
        <w:textAlignment w:val="auto"/>
        <w:rPr>
          <w:rFonts w:hint="eastAsia" w:ascii="仿宋_GB2312" w:hAnsi="仿宋_GB2312" w:eastAsia="仿宋_GB2312" w:cs="仿宋_GB2312"/>
          <w:color w:val="000000"/>
          <w:kern w:val="2"/>
          <w:sz w:val="32"/>
          <w:szCs w:val="32"/>
          <w:lang w:val="en-US" w:eastAsia="zh-CN" w:bidi="ar-SA"/>
        </w:rPr>
      </w:pPr>
      <w:r>
        <w:rPr>
          <w:rFonts w:hint="eastAsia" w:ascii="仿宋_GB2312" w:hAnsi="仿宋_GB2312" w:eastAsia="仿宋_GB2312" w:cs="仿宋_GB2312"/>
          <w:color w:val="000000"/>
          <w:kern w:val="2"/>
          <w:sz w:val="32"/>
          <w:szCs w:val="32"/>
          <w:lang w:val="en-US" w:eastAsia="zh-CN" w:bidi="ar-SA"/>
        </w:rPr>
        <w:t xml:space="preserve">河北互旺建筑材料有限公司： </w:t>
      </w:r>
    </w:p>
    <w:p w14:paraId="42DA8179">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仿宋_GB2312" w:hAnsi="仿宋_GB2312" w:eastAsia="仿宋_GB2312" w:cs="仿宋_GB2312"/>
          <w:color w:val="000000"/>
          <w:kern w:val="2"/>
          <w:sz w:val="32"/>
          <w:szCs w:val="32"/>
          <w:lang w:val="en-US" w:eastAsia="zh-CN" w:bidi="ar-SA"/>
        </w:rPr>
      </w:pPr>
      <w:r>
        <w:rPr>
          <w:rFonts w:hint="eastAsia" w:ascii="仿宋_GB2312" w:hAnsi="仿宋_GB2312" w:eastAsia="仿宋_GB2312" w:cs="仿宋_GB2312"/>
          <w:color w:val="000000"/>
          <w:kern w:val="2"/>
          <w:sz w:val="32"/>
          <w:szCs w:val="32"/>
          <w:lang w:val="en-US" w:eastAsia="zh-CN" w:bidi="ar-SA"/>
        </w:rPr>
        <w:t>你单位所报《河北互旺建筑材料有限公司智能制造生产基地建设项目环境影响报告表》（以下简称报告表）及有关材料收悉。经研究，同意该项目按照环境影响报告表中所列内容进行建设，现批复如下：</w:t>
      </w:r>
    </w:p>
    <w:p w14:paraId="6431A3E7">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仿宋_GB2312" w:hAnsi="仿宋_GB2312" w:eastAsia="仿宋_GB2312" w:cs="仿宋_GB2312"/>
          <w:color w:val="000000"/>
          <w:kern w:val="2"/>
          <w:sz w:val="32"/>
          <w:szCs w:val="32"/>
          <w:lang w:val="en-US" w:eastAsia="zh-CN" w:bidi="ar-SA"/>
        </w:rPr>
      </w:pPr>
      <w:r>
        <w:rPr>
          <w:rFonts w:hint="eastAsia" w:ascii="仿宋_GB2312" w:hAnsi="仿宋_GB2312" w:eastAsia="仿宋_GB2312" w:cs="仿宋_GB2312"/>
          <w:color w:val="000000"/>
          <w:kern w:val="2"/>
          <w:sz w:val="32"/>
          <w:szCs w:val="32"/>
          <w:lang w:val="en-US" w:eastAsia="zh-CN" w:bidi="ar-SA"/>
        </w:rPr>
        <w:t xml:space="preserve"> 一、本项目位于河北省石家庄市无极县潘成产业园，厂区北侧为空地，南侧为无极县泰格装饰材料经营部，西侧为园区规划道路，东侧为河北豫通机电设备有限公司，距离项目最近敏感点为西侧140m锦城华府小区及东北140m处嘉兴苑。本项目在无极县经济开发区潘成产业园内原有厂房内进行建设，购置挤出机、包覆机、混料机、空压机、平贴机、开槽机、精密锯、雕刻机、PVC 膜分切机、叉车、升降平台、覆膜机等设备及相关配套设施，项目建成后，年产塑料板2500吨。</w:t>
      </w:r>
    </w:p>
    <w:p w14:paraId="4F9446C1">
      <w:pPr>
        <w:keepNext w:val="0"/>
        <w:keepLines w:val="0"/>
        <w:pageBreakBefore w:val="0"/>
        <w:widowControl w:val="0"/>
        <w:kinsoku/>
        <w:wordWrap/>
        <w:overflowPunct/>
        <w:topLinePunct w:val="0"/>
        <w:autoSpaceDE/>
        <w:autoSpaceDN/>
        <w:bidi w:val="0"/>
        <w:adjustRightInd/>
        <w:snapToGrid/>
        <w:spacing w:line="360" w:lineRule="auto"/>
        <w:ind w:firstLine="643" w:firstLineChars="200"/>
        <w:textAlignment w:val="auto"/>
        <w:rPr>
          <w:rFonts w:hint="eastAsia" w:ascii="仿宋_GB2312" w:hAnsi="仿宋_GB2312" w:eastAsia="仿宋_GB2312" w:cs="仿宋_GB2312"/>
          <w:b/>
          <w:bCs/>
          <w:sz w:val="32"/>
          <w:szCs w:val="32"/>
          <w:highlight w:val="none"/>
          <w:lang w:eastAsia="zh-CN"/>
        </w:rPr>
      </w:pPr>
      <w:r>
        <w:rPr>
          <w:rFonts w:hint="eastAsia" w:ascii="仿宋_GB2312" w:hAnsi="仿宋_GB2312" w:eastAsia="仿宋_GB2312" w:cs="仿宋_GB2312"/>
          <w:b/>
          <w:bCs/>
          <w:sz w:val="32"/>
          <w:szCs w:val="32"/>
          <w:highlight w:val="none"/>
          <w:lang w:eastAsia="zh-CN"/>
        </w:rPr>
        <w:t>（一）</w:t>
      </w:r>
      <w:r>
        <w:rPr>
          <w:rFonts w:hint="eastAsia" w:ascii="楷体" w:hAnsi="楷体" w:eastAsia="楷体" w:cs="楷体"/>
          <w:b/>
          <w:bCs/>
          <w:sz w:val="32"/>
          <w:szCs w:val="32"/>
          <w:lang w:eastAsia="zh-CN"/>
        </w:rPr>
        <w:t>废水治理措施</w:t>
      </w:r>
    </w:p>
    <w:p w14:paraId="556AB4EC">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楷体" w:hAnsi="楷体" w:eastAsia="楷体" w:cs="楷体"/>
          <w:color w:val="auto"/>
          <w:kern w:val="2"/>
          <w:sz w:val="32"/>
          <w:szCs w:val="32"/>
          <w:lang w:val="en-US" w:eastAsia="zh-CN" w:bidi="ar-SA"/>
        </w:rPr>
      </w:pPr>
      <w:r>
        <w:rPr>
          <w:rFonts w:hint="eastAsia" w:ascii="仿宋_GB2312" w:hAnsi="仿宋_GB2312" w:eastAsia="仿宋_GB2312" w:cs="仿宋_GB2312"/>
          <w:color w:val="000000"/>
          <w:kern w:val="2"/>
          <w:sz w:val="32"/>
          <w:szCs w:val="32"/>
          <w:lang w:val="en-US" w:eastAsia="zh-CN" w:bidi="ar-SA"/>
        </w:rPr>
        <w:t xml:space="preserve">项目废水主要为混料机降温冷却循环水、挤出机冷却循环水和生活盥洗废水。其中混料机降温冷却循环水、挤出机冷却循环水水质简单，循环使用不外排，定期补充新鲜水，定期更换用于厂区泼洒抑尘，不外排；生活盥洗废水排入厂区环保防渗旱厕，定期清掏，不外排。     </w:t>
      </w:r>
      <w:r>
        <w:rPr>
          <w:rFonts w:hint="eastAsia" w:ascii="楷体" w:hAnsi="楷体" w:eastAsia="楷体" w:cs="楷体"/>
          <w:color w:val="auto"/>
          <w:kern w:val="2"/>
          <w:sz w:val="32"/>
          <w:szCs w:val="32"/>
          <w:lang w:val="en-US" w:eastAsia="zh-CN" w:bidi="ar-SA"/>
        </w:rPr>
        <w:t xml:space="preserve">                </w:t>
      </w:r>
    </w:p>
    <w:p w14:paraId="6744AF98">
      <w:pPr>
        <w:keepNext w:val="0"/>
        <w:keepLines w:val="0"/>
        <w:pageBreakBefore w:val="0"/>
        <w:widowControl w:val="0"/>
        <w:numPr>
          <w:ilvl w:val="0"/>
          <w:numId w:val="2"/>
        </w:numPr>
        <w:kinsoku/>
        <w:wordWrap/>
        <w:overflowPunct/>
        <w:topLinePunct w:val="0"/>
        <w:autoSpaceDE/>
        <w:autoSpaceDN/>
        <w:bidi w:val="0"/>
        <w:adjustRightInd/>
        <w:snapToGrid/>
        <w:spacing w:line="500" w:lineRule="exact"/>
        <w:ind w:firstLine="643" w:firstLineChars="200"/>
        <w:jc w:val="both"/>
        <w:textAlignment w:val="auto"/>
        <w:rPr>
          <w:rFonts w:hint="eastAsia" w:ascii="楷体" w:hAnsi="楷体" w:eastAsia="楷体" w:cs="楷体"/>
          <w:b/>
          <w:bCs/>
          <w:color w:val="auto"/>
          <w:kern w:val="2"/>
          <w:sz w:val="32"/>
          <w:szCs w:val="32"/>
          <w:lang w:val="en-US" w:eastAsia="zh-CN" w:bidi="ar-SA"/>
        </w:rPr>
      </w:pPr>
      <w:r>
        <w:rPr>
          <w:rFonts w:hint="eastAsia" w:ascii="楷体" w:hAnsi="楷体" w:eastAsia="楷体" w:cs="楷体"/>
          <w:b/>
          <w:bCs/>
          <w:color w:val="auto"/>
          <w:kern w:val="2"/>
          <w:sz w:val="32"/>
          <w:szCs w:val="32"/>
          <w:lang w:val="en-US" w:eastAsia="zh-CN" w:bidi="ar-SA"/>
        </w:rPr>
        <w:t>废气治理措施</w:t>
      </w:r>
    </w:p>
    <w:p w14:paraId="308CDBEB">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仿宋_GB2312" w:hAnsi="仿宋_GB2312" w:eastAsia="仿宋_GB2312" w:cs="仿宋_GB2312"/>
          <w:color w:val="000000"/>
          <w:kern w:val="2"/>
          <w:sz w:val="32"/>
          <w:szCs w:val="32"/>
          <w:lang w:val="en-US" w:eastAsia="zh-CN" w:bidi="ar-SA"/>
        </w:rPr>
      </w:pPr>
      <w:r>
        <w:rPr>
          <w:rFonts w:hint="eastAsia" w:ascii="仿宋_GB2312" w:hAnsi="仿宋_GB2312" w:eastAsia="仿宋_GB2312" w:cs="仿宋_GB2312"/>
          <w:color w:val="000000"/>
          <w:kern w:val="2"/>
          <w:sz w:val="32"/>
          <w:szCs w:val="32"/>
          <w:lang w:val="en-US" w:eastAsia="zh-CN" w:bidi="ar-SA"/>
        </w:rPr>
        <w:t>项目有组织废气主要包含粉状原料上料工序、混料工序废气产生的颗粒物；挤出工序、定型工序废气产生的非甲烷总烃、氯化氢、氯乙烯、臭气浓度；包覆工序废气产生的非甲烷总烃；开槽、切割工序废气产生的颗粒物。无组织废气主要为集气罩未收集的颗粒物、非甲烷总烃、氯化氢、氯乙烯等</w:t>
      </w:r>
      <w:bookmarkStart w:id="0" w:name="_GoBack"/>
      <w:bookmarkEnd w:id="0"/>
      <w:r>
        <w:rPr>
          <w:rFonts w:hint="eastAsia" w:ascii="仿宋_GB2312" w:hAnsi="仿宋_GB2312" w:eastAsia="仿宋_GB2312" w:cs="仿宋_GB2312"/>
          <w:color w:val="000000"/>
          <w:kern w:val="2"/>
          <w:sz w:val="32"/>
          <w:szCs w:val="32"/>
          <w:lang w:val="en-US" w:eastAsia="zh-CN" w:bidi="ar-SA"/>
        </w:rPr>
        <w:t>。</w:t>
      </w:r>
    </w:p>
    <w:p w14:paraId="52ADDDAE">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仿宋_GB2312" w:hAnsi="仿宋_GB2312" w:eastAsia="仿宋_GB2312" w:cs="仿宋_GB2312"/>
          <w:color w:val="000000"/>
          <w:kern w:val="2"/>
          <w:sz w:val="32"/>
          <w:szCs w:val="32"/>
          <w:lang w:val="en-US" w:eastAsia="zh-CN" w:bidi="ar-SA"/>
        </w:rPr>
      </w:pPr>
      <w:r>
        <w:rPr>
          <w:rFonts w:hint="eastAsia" w:ascii="仿宋_GB2312" w:hAnsi="仿宋_GB2312" w:eastAsia="仿宋_GB2312" w:cs="仿宋_GB2312"/>
          <w:color w:val="000000"/>
          <w:kern w:val="2"/>
          <w:sz w:val="32"/>
          <w:szCs w:val="32"/>
          <w:lang w:val="en-US" w:eastAsia="zh-CN" w:bidi="ar-SA"/>
        </w:rPr>
        <w:t>1.有组织废气</w:t>
      </w:r>
    </w:p>
    <w:p w14:paraId="550672BC">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仿宋_GB2312" w:hAnsi="仿宋_GB2312" w:eastAsia="仿宋_GB2312" w:cs="仿宋_GB2312"/>
          <w:color w:val="000000"/>
          <w:kern w:val="2"/>
          <w:sz w:val="32"/>
          <w:szCs w:val="32"/>
          <w:lang w:val="en-US" w:eastAsia="zh-CN" w:bidi="ar-SA"/>
        </w:rPr>
      </w:pPr>
      <w:r>
        <w:rPr>
          <w:rFonts w:hint="eastAsia" w:ascii="仿宋_GB2312" w:hAnsi="仿宋_GB2312" w:eastAsia="仿宋_GB2312" w:cs="仿宋_GB2312"/>
          <w:color w:val="000000"/>
          <w:kern w:val="2"/>
          <w:sz w:val="32"/>
          <w:szCs w:val="32"/>
          <w:lang w:val="en-US" w:eastAsia="zh-CN" w:bidi="ar-SA"/>
        </w:rPr>
        <w:t>粉状原料上料废气经集气罩收集、混料废气经自带除尘器处理后经管道收集，共经一套布袋除尘器处理，由一根15m高排气筒（DA001）排放；1#车间包覆工序废气通过集气罩（加软帘）收集，2#车间挤出定型、包覆工序废气通过集气罩（加软帘）收集，一同经1套二级活性炭吸附装置处理，后由15m高排气筒（DA002）排放；3#车间挤出定型、包覆工序废气通过集气罩（加软帘）收集，经二级活性炭吸附装置处理，后由15m高排气筒（DA003）排放；1#车间开槽、切割废气经集气罩收集后经一套布袋除尘器处理，由一根15m高排气筒（DA004）排放。</w:t>
      </w:r>
    </w:p>
    <w:p w14:paraId="72826A84">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仿宋_GB2312" w:hAnsi="仿宋_GB2312" w:eastAsia="仿宋_GB2312" w:cs="仿宋_GB2312"/>
          <w:color w:val="000000"/>
          <w:kern w:val="2"/>
          <w:sz w:val="32"/>
          <w:szCs w:val="32"/>
          <w:lang w:val="en-US" w:eastAsia="zh-CN" w:bidi="ar-SA"/>
        </w:rPr>
      </w:pPr>
      <w:r>
        <w:rPr>
          <w:rFonts w:hint="eastAsia" w:ascii="仿宋_GB2312" w:hAnsi="仿宋_GB2312" w:eastAsia="仿宋_GB2312" w:cs="仿宋_GB2312"/>
          <w:color w:val="000000"/>
          <w:kern w:val="2"/>
          <w:sz w:val="32"/>
          <w:szCs w:val="32"/>
          <w:lang w:val="en-US" w:eastAsia="zh-CN" w:bidi="ar-SA"/>
        </w:rPr>
        <w:t>有组织非甲烷总烃执行《工业企业挥发性有机物排放控制标准》（DB13/2322-2025）表1塑料制品制造业污染物排放限值；有组织颗粒物、氯化氢、氯乙烯排放执行《大气污染物综合排放标准》（GB16297-1996）表2二级排放标准，有组织臭气浓度执行《恶臭污染物排放标准》（GB14554-93）表2标准。</w:t>
      </w:r>
    </w:p>
    <w:p w14:paraId="4352D962">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仿宋_GB2312" w:hAnsi="仿宋_GB2312" w:eastAsia="仿宋_GB2312" w:cs="仿宋_GB2312"/>
          <w:color w:val="000000"/>
          <w:kern w:val="2"/>
          <w:sz w:val="32"/>
          <w:szCs w:val="32"/>
          <w:lang w:val="en-US" w:eastAsia="zh-CN" w:bidi="ar-SA"/>
        </w:rPr>
      </w:pPr>
      <w:r>
        <w:rPr>
          <w:rFonts w:hint="eastAsia" w:ascii="仿宋_GB2312" w:hAnsi="仿宋_GB2312" w:eastAsia="仿宋_GB2312" w:cs="仿宋_GB2312"/>
          <w:color w:val="000000"/>
          <w:kern w:val="2"/>
          <w:sz w:val="32"/>
          <w:szCs w:val="32"/>
          <w:lang w:val="en-US" w:eastAsia="zh-CN" w:bidi="ar-SA"/>
        </w:rPr>
        <w:t>2.无组织废气</w:t>
      </w:r>
    </w:p>
    <w:p w14:paraId="13F851FD">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仿宋_GB2312" w:hAnsi="仿宋_GB2312" w:eastAsia="仿宋_GB2312" w:cs="仿宋_GB2312"/>
          <w:color w:val="000000"/>
          <w:kern w:val="2"/>
          <w:sz w:val="32"/>
          <w:szCs w:val="32"/>
          <w:lang w:val="en-US" w:eastAsia="zh-CN" w:bidi="ar-SA"/>
        </w:rPr>
      </w:pPr>
      <w:r>
        <w:rPr>
          <w:rFonts w:hint="eastAsia" w:ascii="仿宋_GB2312" w:hAnsi="仿宋_GB2312" w:eastAsia="仿宋_GB2312" w:cs="仿宋_GB2312"/>
          <w:color w:val="000000"/>
          <w:kern w:val="2"/>
          <w:sz w:val="32"/>
          <w:szCs w:val="32"/>
          <w:lang w:val="en-US" w:eastAsia="zh-CN" w:bidi="ar-SA"/>
        </w:rPr>
        <w:t>无组织废气主要为集气罩未收集的颗粒物、非甲烷总烃、氯化氢、氯乙烯等以无组织形式车间内排放。</w:t>
      </w:r>
    </w:p>
    <w:p w14:paraId="14876C61">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仿宋_GB2312" w:hAnsi="仿宋_GB2312" w:eastAsia="仿宋_GB2312" w:cs="仿宋_GB2312"/>
          <w:color w:val="000000"/>
          <w:kern w:val="2"/>
          <w:sz w:val="32"/>
          <w:szCs w:val="32"/>
          <w:lang w:val="en-US" w:eastAsia="zh-CN" w:bidi="ar-SA"/>
        </w:rPr>
      </w:pPr>
      <w:r>
        <w:rPr>
          <w:rFonts w:hint="eastAsia" w:ascii="仿宋_GB2312" w:hAnsi="仿宋_GB2312" w:eastAsia="仿宋_GB2312" w:cs="仿宋_GB2312"/>
          <w:color w:val="000000"/>
          <w:kern w:val="2"/>
          <w:sz w:val="32"/>
          <w:szCs w:val="32"/>
          <w:lang w:val="en-US" w:eastAsia="zh-CN" w:bidi="ar-SA"/>
        </w:rPr>
        <w:t>厂区内无组织非甲烷总烃排放执行《工业企业挥发性有机物排放控制标准》（DB13/2322-2025）表2厂区内挥发性有机物无组织排放限值；</w:t>
      </w:r>
    </w:p>
    <w:p w14:paraId="3DB81653">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仿宋_GB2312" w:hAnsi="仿宋_GB2312" w:eastAsia="仿宋_GB2312" w:cs="仿宋_GB2312"/>
          <w:color w:val="000000"/>
          <w:kern w:val="2"/>
          <w:sz w:val="32"/>
          <w:szCs w:val="32"/>
          <w:lang w:val="en-US" w:eastAsia="zh-CN" w:bidi="ar-SA"/>
        </w:rPr>
      </w:pPr>
      <w:r>
        <w:rPr>
          <w:rFonts w:hint="eastAsia" w:ascii="仿宋_GB2312" w:hAnsi="仿宋_GB2312" w:eastAsia="仿宋_GB2312" w:cs="仿宋_GB2312"/>
          <w:color w:val="000000"/>
          <w:kern w:val="2"/>
          <w:sz w:val="32"/>
          <w:szCs w:val="32"/>
          <w:lang w:val="en-US" w:eastAsia="zh-CN" w:bidi="ar-SA"/>
        </w:rPr>
        <w:t>厂界无组织颗粒物、非甲烷总烃、氯化氢、氯乙烯执行《大气污染物综合排放标准》（GB16297-1996）表2无组织排放监控浓度限值要求；</w:t>
      </w:r>
    </w:p>
    <w:p w14:paraId="76BCAD59">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仿宋_GB2312" w:hAnsi="仿宋_GB2312" w:eastAsia="仿宋_GB2312" w:cs="仿宋_GB2312"/>
          <w:color w:val="000000"/>
          <w:kern w:val="2"/>
          <w:sz w:val="32"/>
          <w:szCs w:val="32"/>
          <w:lang w:val="en-US" w:eastAsia="zh-CN" w:bidi="ar-SA"/>
        </w:rPr>
      </w:pPr>
      <w:r>
        <w:rPr>
          <w:rFonts w:hint="eastAsia" w:ascii="仿宋_GB2312" w:hAnsi="仿宋_GB2312" w:eastAsia="仿宋_GB2312" w:cs="仿宋_GB2312"/>
          <w:color w:val="000000"/>
          <w:kern w:val="2"/>
          <w:sz w:val="32"/>
          <w:szCs w:val="32"/>
          <w:lang w:val="en-US" w:eastAsia="zh-CN" w:bidi="ar-SA"/>
        </w:rPr>
        <w:t>无组织臭气浓度满足《恶臭污染物排放标准》（GB14554-93）表1二级新扩改建标准。</w:t>
      </w:r>
    </w:p>
    <w:p w14:paraId="5547667E">
      <w:pPr>
        <w:keepNext w:val="0"/>
        <w:keepLines w:val="0"/>
        <w:pageBreakBefore w:val="0"/>
        <w:widowControl w:val="0"/>
        <w:kinsoku/>
        <w:wordWrap/>
        <w:overflowPunct/>
        <w:topLinePunct w:val="0"/>
        <w:autoSpaceDE/>
        <w:autoSpaceDN/>
        <w:bidi w:val="0"/>
        <w:adjustRightInd/>
        <w:snapToGrid/>
        <w:spacing w:line="500" w:lineRule="exact"/>
        <w:ind w:firstLine="643" w:firstLineChars="200"/>
        <w:jc w:val="both"/>
        <w:textAlignment w:val="auto"/>
        <w:rPr>
          <w:rFonts w:hint="eastAsia" w:ascii="楷体" w:hAnsi="楷体" w:eastAsia="楷体" w:cs="楷体"/>
          <w:b/>
          <w:bCs/>
          <w:sz w:val="32"/>
          <w:szCs w:val="32"/>
        </w:rPr>
      </w:pPr>
      <w:r>
        <w:rPr>
          <w:rFonts w:hint="eastAsia" w:ascii="楷体" w:hAnsi="楷体" w:eastAsia="楷体" w:cs="楷体"/>
          <w:b/>
          <w:bCs/>
          <w:sz w:val="32"/>
          <w:szCs w:val="32"/>
        </w:rPr>
        <w:t>（三）噪声治理措施</w:t>
      </w:r>
    </w:p>
    <w:p w14:paraId="09043C06">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仿宋_GB2312" w:hAnsi="仿宋_GB2312" w:eastAsia="仿宋_GB2312" w:cs="仿宋_GB2312"/>
          <w:color w:val="000000"/>
          <w:kern w:val="2"/>
          <w:sz w:val="32"/>
          <w:szCs w:val="32"/>
          <w:lang w:val="en-US" w:eastAsia="zh-CN" w:bidi="ar-SA"/>
        </w:rPr>
      </w:pPr>
      <w:r>
        <w:rPr>
          <w:rFonts w:hint="eastAsia" w:ascii="仿宋_GB2312" w:hAnsi="仿宋_GB2312" w:eastAsia="仿宋_GB2312" w:cs="仿宋_GB2312"/>
          <w:color w:val="000000"/>
          <w:kern w:val="2"/>
          <w:sz w:val="32"/>
          <w:szCs w:val="32"/>
          <w:lang w:val="en-US" w:eastAsia="zh-CN" w:bidi="ar-SA"/>
        </w:rPr>
        <w:t>本项目实施后，噪声主要为设备及风机运行过程中产生的噪声。采取基础减振、厂房隔声，风机接口软连接等降噪防治措施后，厂界噪声执行《工业企业厂界环境噪声排放标准》（GB12348-2008）3类。</w:t>
      </w:r>
    </w:p>
    <w:p w14:paraId="06E81C48">
      <w:pPr>
        <w:keepNext w:val="0"/>
        <w:keepLines w:val="0"/>
        <w:pageBreakBefore w:val="0"/>
        <w:widowControl w:val="0"/>
        <w:kinsoku/>
        <w:wordWrap/>
        <w:overflowPunct/>
        <w:topLinePunct w:val="0"/>
        <w:autoSpaceDE/>
        <w:autoSpaceDN/>
        <w:bidi w:val="0"/>
        <w:adjustRightInd/>
        <w:snapToGrid/>
        <w:spacing w:line="500" w:lineRule="exact"/>
        <w:ind w:firstLine="643" w:firstLineChars="200"/>
        <w:jc w:val="both"/>
        <w:textAlignment w:val="auto"/>
        <w:rPr>
          <w:rFonts w:hint="eastAsia" w:ascii="楷体" w:hAnsi="楷体" w:eastAsia="楷体" w:cs="楷体"/>
          <w:b/>
          <w:bCs/>
          <w:sz w:val="32"/>
          <w:szCs w:val="32"/>
        </w:rPr>
      </w:pPr>
      <w:r>
        <w:rPr>
          <w:rFonts w:hint="eastAsia" w:ascii="楷体" w:hAnsi="楷体" w:eastAsia="楷体" w:cs="楷体"/>
          <w:b/>
          <w:bCs/>
          <w:sz w:val="32"/>
          <w:szCs w:val="32"/>
        </w:rPr>
        <w:t>（四）固废治理措施</w:t>
      </w:r>
    </w:p>
    <w:p w14:paraId="60334DA7">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仿宋_GB2312" w:hAnsi="仿宋_GB2312" w:eastAsia="仿宋_GB2312" w:cs="仿宋_GB2312"/>
          <w:color w:val="000000"/>
          <w:kern w:val="2"/>
          <w:sz w:val="32"/>
          <w:szCs w:val="32"/>
          <w:lang w:val="en-US" w:eastAsia="zh-CN" w:bidi="ar-SA"/>
        </w:rPr>
      </w:pPr>
      <w:r>
        <w:rPr>
          <w:rFonts w:hint="eastAsia" w:ascii="仿宋_GB2312" w:hAnsi="仿宋_GB2312" w:eastAsia="仿宋_GB2312" w:cs="仿宋_GB2312"/>
          <w:color w:val="000000"/>
          <w:kern w:val="2"/>
          <w:sz w:val="32"/>
          <w:szCs w:val="32"/>
          <w:lang w:val="en-US" w:eastAsia="zh-CN" w:bidi="ar-SA"/>
        </w:rPr>
        <w:t>本项目产生的固废主要是一般工业固体废物、危险废物、生活垃圾。</w:t>
      </w:r>
    </w:p>
    <w:p w14:paraId="733A9671">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仿宋_GB2312" w:hAnsi="仿宋_GB2312" w:eastAsia="仿宋_GB2312" w:cs="仿宋_GB2312"/>
          <w:color w:val="000000"/>
          <w:kern w:val="2"/>
          <w:sz w:val="32"/>
          <w:szCs w:val="32"/>
          <w:lang w:val="en-US" w:eastAsia="zh-CN" w:bidi="ar-SA"/>
        </w:rPr>
      </w:pPr>
      <w:r>
        <w:rPr>
          <w:rFonts w:hint="eastAsia" w:ascii="仿宋_GB2312" w:hAnsi="仿宋_GB2312" w:eastAsia="仿宋_GB2312" w:cs="仿宋_GB2312"/>
          <w:color w:val="000000"/>
          <w:kern w:val="2"/>
          <w:sz w:val="32"/>
          <w:szCs w:val="32"/>
          <w:lang w:val="en-US" w:eastAsia="zh-CN" w:bidi="ar-SA"/>
        </w:rPr>
        <w:t>一般工业固体废物为一般工业固体废物主要为废包装袋、挤出不合格品、塑料边角料、除尘灰和废滤袋。其中废包装袋、塑料边角料，挤出不合格品分类收集后分类暂存于一般固废贮存间内，外售；废滤袋分类收集后分类暂存于一般固废贮存间内，交由一般工业固体废物处置单位处置；除尘灰收集后回用于生产。</w:t>
      </w:r>
    </w:p>
    <w:p w14:paraId="0FAA7674">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仿宋_GB2312" w:hAnsi="仿宋_GB2312" w:eastAsia="仿宋_GB2312" w:cs="仿宋_GB2312"/>
          <w:color w:val="000000"/>
          <w:kern w:val="2"/>
          <w:sz w:val="32"/>
          <w:szCs w:val="32"/>
          <w:lang w:val="en-US" w:eastAsia="zh-CN" w:bidi="ar-SA"/>
        </w:rPr>
      </w:pPr>
      <w:r>
        <w:rPr>
          <w:rFonts w:hint="eastAsia" w:ascii="仿宋_GB2312" w:hAnsi="仿宋_GB2312" w:eastAsia="仿宋_GB2312" w:cs="仿宋_GB2312"/>
          <w:color w:val="000000"/>
          <w:kern w:val="2"/>
          <w:sz w:val="32"/>
          <w:szCs w:val="32"/>
          <w:lang w:val="en-US" w:eastAsia="zh-CN" w:bidi="ar-SA"/>
        </w:rPr>
        <w:t>危险废物主要为废活性炭、废过滤棉、废胶桶、废润滑油和废润滑油桶。集中收集后暂存于危废暂存间，定期交由有资质单位处置。</w:t>
      </w:r>
    </w:p>
    <w:p w14:paraId="6741DD86">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仿宋_GB2312" w:hAnsi="仿宋_GB2312" w:eastAsia="仿宋_GB2312" w:cs="仿宋_GB2312"/>
          <w:color w:val="000000"/>
          <w:kern w:val="2"/>
          <w:sz w:val="32"/>
          <w:szCs w:val="32"/>
          <w:lang w:val="en-US" w:eastAsia="zh-CN" w:bidi="ar-SA"/>
        </w:rPr>
      </w:pPr>
      <w:r>
        <w:rPr>
          <w:rFonts w:hint="eastAsia" w:ascii="仿宋_GB2312" w:hAnsi="仿宋_GB2312" w:eastAsia="仿宋_GB2312" w:cs="仿宋_GB2312"/>
          <w:color w:val="000000"/>
          <w:kern w:val="2"/>
          <w:sz w:val="32"/>
          <w:szCs w:val="32"/>
          <w:lang w:val="en-US" w:eastAsia="zh-CN" w:bidi="ar-SA"/>
        </w:rPr>
        <w:t>职工生活垃圾送环卫部门指定地点处置。</w:t>
      </w:r>
    </w:p>
    <w:p w14:paraId="0FE0D1B1">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仿宋_GB2312" w:hAnsi="仿宋_GB2312" w:eastAsia="仿宋_GB2312" w:cs="仿宋_GB2312"/>
          <w:color w:val="000000"/>
          <w:kern w:val="2"/>
          <w:sz w:val="32"/>
          <w:szCs w:val="32"/>
          <w:lang w:val="en-US" w:eastAsia="zh-CN" w:bidi="ar-SA"/>
        </w:rPr>
      </w:pPr>
      <w:r>
        <w:rPr>
          <w:rFonts w:hint="eastAsia" w:ascii="仿宋_GB2312" w:hAnsi="仿宋_GB2312" w:eastAsia="仿宋_GB2312" w:cs="仿宋_GB2312"/>
          <w:color w:val="000000"/>
          <w:kern w:val="2"/>
          <w:sz w:val="32"/>
          <w:szCs w:val="32"/>
          <w:lang w:val="en-US" w:eastAsia="zh-CN" w:bidi="ar-SA"/>
        </w:rPr>
        <w:t>一般固体废物执行《一般工业固体废物贮存和填埋污染控制标准》（GB18599-2020）；</w:t>
      </w:r>
    </w:p>
    <w:p w14:paraId="43743B9A">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仿宋_GB2312" w:hAnsi="仿宋_GB2312" w:eastAsia="仿宋_GB2312" w:cs="仿宋_GB2312"/>
          <w:color w:val="000000"/>
          <w:kern w:val="2"/>
          <w:sz w:val="32"/>
          <w:szCs w:val="32"/>
          <w:lang w:val="en-US" w:eastAsia="zh-CN" w:bidi="ar-SA"/>
        </w:rPr>
      </w:pPr>
      <w:r>
        <w:rPr>
          <w:rFonts w:hint="eastAsia" w:ascii="仿宋_GB2312" w:hAnsi="仿宋_GB2312" w:eastAsia="仿宋_GB2312" w:cs="仿宋_GB2312"/>
          <w:color w:val="000000"/>
          <w:kern w:val="2"/>
          <w:sz w:val="32"/>
          <w:szCs w:val="32"/>
          <w:lang w:val="en-US" w:eastAsia="zh-CN" w:bidi="ar-SA"/>
        </w:rPr>
        <w:t>危险废物暂存执行《危险废物贮存污染控制标准》（GB18597-2023）；</w:t>
      </w:r>
    </w:p>
    <w:p w14:paraId="69B116CE">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仿宋_GB2312" w:hAnsi="仿宋_GB2312" w:eastAsia="仿宋_GB2312" w:cs="仿宋_GB2312"/>
          <w:color w:val="000000"/>
          <w:kern w:val="2"/>
          <w:sz w:val="32"/>
          <w:szCs w:val="32"/>
          <w:lang w:val="en-US" w:eastAsia="zh-CN" w:bidi="ar-SA"/>
        </w:rPr>
      </w:pPr>
      <w:r>
        <w:rPr>
          <w:rFonts w:hint="eastAsia" w:ascii="仿宋_GB2312" w:hAnsi="仿宋_GB2312" w:eastAsia="仿宋_GB2312" w:cs="仿宋_GB2312"/>
          <w:color w:val="000000"/>
          <w:kern w:val="2"/>
          <w:sz w:val="32"/>
          <w:szCs w:val="32"/>
          <w:lang w:val="en-US" w:eastAsia="zh-CN" w:bidi="ar-SA"/>
        </w:rPr>
        <w:t xml:space="preserve">生活垃圾处置执行《中华人民共和国固体废物污染环境防治法》（2020年本）中第四章“生活垃圾”中的相关内容。                                                                    </w:t>
      </w:r>
    </w:p>
    <w:p w14:paraId="4ED0E70B">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仿宋_GB2312" w:hAnsi="仿宋_GB2312" w:eastAsia="仿宋_GB2312" w:cs="仿宋_GB2312"/>
          <w:color w:val="000000"/>
          <w:kern w:val="2"/>
          <w:sz w:val="32"/>
          <w:szCs w:val="32"/>
          <w:lang w:val="en-US" w:eastAsia="zh-CN" w:bidi="ar-SA"/>
        </w:rPr>
      </w:pPr>
      <w:r>
        <w:rPr>
          <w:rFonts w:hint="eastAsia" w:ascii="仿宋_GB2312" w:hAnsi="仿宋_GB2312" w:eastAsia="仿宋_GB2312" w:cs="仿宋_GB2312"/>
          <w:color w:val="000000"/>
          <w:kern w:val="2"/>
          <w:sz w:val="32"/>
          <w:szCs w:val="32"/>
          <w:lang w:val="en-US" w:eastAsia="zh-CN" w:bidi="ar-SA"/>
        </w:rPr>
        <w:t xml:space="preserve">三、本项目环评文件经批准后，建设单位必须认真按照报告表中所列建设内容、平面布局、建设规模、污染防治措施进行建设，不得擅自改变。如果建设项目的性质、规模、地点、采用的生产工艺或者防止污染、防止生态破坏的措施发生重大变动的，建设单位应当重新报批环评文件。 </w:t>
      </w:r>
    </w:p>
    <w:p w14:paraId="6FFF286F">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仿宋_GB2312" w:hAnsi="仿宋_GB2312" w:eastAsia="仿宋_GB2312" w:cs="仿宋_GB2312"/>
          <w:color w:val="000000"/>
          <w:kern w:val="2"/>
          <w:sz w:val="32"/>
          <w:szCs w:val="32"/>
          <w:lang w:val="en-US" w:eastAsia="zh-CN" w:bidi="ar-SA"/>
        </w:rPr>
      </w:pPr>
      <w:r>
        <w:rPr>
          <w:rFonts w:hint="eastAsia" w:ascii="仿宋_GB2312" w:hAnsi="仿宋_GB2312" w:eastAsia="仿宋_GB2312" w:cs="仿宋_GB2312"/>
          <w:color w:val="000000"/>
          <w:kern w:val="2"/>
          <w:sz w:val="32"/>
          <w:szCs w:val="32"/>
          <w:lang w:val="en-US" w:eastAsia="zh-CN" w:bidi="ar-SA"/>
        </w:rPr>
        <w:t>四、项目建设应严格执行“三同时”管理制度，项目建成投产（投入使用）前，应当办理排污许可手续，并按照规定完成环境保护验收。</w:t>
      </w:r>
    </w:p>
    <w:p w14:paraId="513B0C40">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仿宋_GB2312" w:hAnsi="仿宋_GB2312" w:eastAsia="仿宋_GB2312" w:cs="仿宋_GB2312"/>
          <w:color w:val="000000"/>
          <w:kern w:val="2"/>
          <w:sz w:val="32"/>
          <w:szCs w:val="32"/>
          <w:lang w:val="en-US" w:eastAsia="zh-CN" w:bidi="ar-SA"/>
        </w:rPr>
      </w:pPr>
      <w:r>
        <w:rPr>
          <w:rFonts w:hint="eastAsia" w:ascii="仿宋_GB2312" w:hAnsi="仿宋_GB2312" w:eastAsia="仿宋_GB2312" w:cs="仿宋_GB2312"/>
          <w:color w:val="000000"/>
          <w:kern w:val="2"/>
          <w:sz w:val="32"/>
          <w:szCs w:val="32"/>
          <w:lang w:val="en-US" w:eastAsia="zh-CN" w:bidi="ar-SA"/>
        </w:rPr>
        <w:t>五、该项目环境影响报告表及批复意见一并作为工程设计和环境管理的依据。</w:t>
      </w:r>
    </w:p>
    <w:p w14:paraId="767C423A">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仿宋_GB2312" w:hAnsi="仿宋_GB2312" w:eastAsia="仿宋_GB2312" w:cs="仿宋_GB2312"/>
          <w:color w:val="000000"/>
          <w:kern w:val="2"/>
          <w:sz w:val="32"/>
          <w:szCs w:val="32"/>
          <w:lang w:val="en-US" w:eastAsia="zh-CN" w:bidi="ar-SA"/>
        </w:rPr>
      </w:pPr>
      <w:r>
        <w:rPr>
          <w:rFonts w:hint="eastAsia" w:ascii="仿宋_GB2312" w:hAnsi="仿宋_GB2312" w:eastAsia="仿宋_GB2312" w:cs="仿宋_GB2312"/>
          <w:color w:val="000000"/>
          <w:kern w:val="2"/>
          <w:sz w:val="32"/>
          <w:szCs w:val="32"/>
          <w:lang w:val="en-US" w:eastAsia="zh-CN" w:bidi="ar-SA"/>
        </w:rPr>
        <w:t>六、依据环保部《关于印发建设项目环境保护事中事后监督管理办法(试行)的通知》(环发(2015)163 号)要求，该项目的日常环境监督管理工作由属地生态环境主管部门负责。</w:t>
      </w:r>
    </w:p>
    <w:p w14:paraId="37751D0F">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仿宋_GB2312" w:hAnsi="仿宋_GB2312" w:eastAsia="仿宋_GB2312" w:cs="仿宋_GB2312"/>
          <w:color w:val="000000"/>
          <w:kern w:val="2"/>
          <w:sz w:val="32"/>
          <w:szCs w:val="32"/>
          <w:lang w:val="en-US" w:eastAsia="zh-CN" w:bidi="ar-SA"/>
        </w:rPr>
      </w:pPr>
      <w:r>
        <w:rPr>
          <w:rFonts w:hint="eastAsia" w:ascii="仿宋_GB2312" w:hAnsi="仿宋_GB2312" w:eastAsia="仿宋_GB2312" w:cs="仿宋_GB2312"/>
          <w:color w:val="000000"/>
          <w:kern w:val="2"/>
          <w:sz w:val="32"/>
          <w:szCs w:val="32"/>
          <w:lang w:val="en-US" w:eastAsia="zh-CN" w:bidi="ar-SA"/>
        </w:rPr>
        <w:t>七、请你单位接到批复后 3 个工作日内，将报告表及批复意见（原件）报送石家庄市生态环境局无极县分局。</w:t>
      </w:r>
    </w:p>
    <w:p w14:paraId="543253E2">
      <w:pPr>
        <w:pStyle w:val="3"/>
        <w:rPr>
          <w:rFonts w:hint="eastAsia" w:eastAsiaTheme="minorEastAsia"/>
          <w:lang w:val="en-US" w:eastAsia="zh-CN"/>
        </w:rPr>
      </w:pPr>
      <w:r>
        <w:rPr>
          <w:rFonts w:hint="eastAsia"/>
          <w:lang w:val="en-US" w:eastAsia="zh-CN"/>
        </w:rPr>
        <w:t xml:space="preserve">     </w:t>
      </w:r>
      <w:r>
        <w:drawing>
          <wp:inline distT="0" distB="0" distL="114300" distR="114300">
            <wp:extent cx="2642235" cy="999490"/>
            <wp:effectExtent l="0" t="0" r="5715" b="10160"/>
            <wp:docPr id="3"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pic:cNvPicPr>
                      <a:picLocks noChangeAspect="1"/>
                    </pic:cNvPicPr>
                  </pic:nvPicPr>
                  <pic:blipFill>
                    <a:blip r:embed="rId4"/>
                    <a:stretch>
                      <a:fillRect/>
                    </a:stretch>
                  </pic:blipFill>
                  <pic:spPr>
                    <a:xfrm>
                      <a:off x="0" y="0"/>
                      <a:ext cx="2642235" cy="999490"/>
                    </a:xfrm>
                    <a:prstGeom prst="rect">
                      <a:avLst/>
                    </a:prstGeom>
                    <a:noFill/>
                    <a:ln>
                      <a:noFill/>
                    </a:ln>
                  </pic:spPr>
                </pic:pic>
              </a:graphicData>
            </a:graphic>
          </wp:inline>
        </w:drawing>
      </w:r>
    </w:p>
    <w:p w14:paraId="4A3604C5">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40" w:lineRule="exact"/>
        <w:ind w:right="0" w:firstLine="3520" w:firstLineChars="1100"/>
        <w:jc w:val="both"/>
        <w:textAlignment w:val="auto"/>
        <w:rPr>
          <w:rFonts w:hint="eastAsia" w:ascii="楷体" w:hAnsi="楷体" w:eastAsia="楷体" w:cs="楷体"/>
          <w:kern w:val="2"/>
          <w:sz w:val="32"/>
          <w:szCs w:val="32"/>
          <w:lang w:val="en-US" w:eastAsia="zh-CN" w:bidi="ar-SA"/>
        </w:rPr>
      </w:pPr>
      <w:r>
        <w:rPr>
          <w:rFonts w:hint="eastAsia" w:ascii="楷体" w:hAnsi="楷体" w:eastAsia="楷体" w:cs="楷体"/>
          <w:kern w:val="2"/>
          <w:sz w:val="32"/>
          <w:szCs w:val="32"/>
          <w:lang w:val="en-US" w:eastAsia="zh-CN" w:bidi="ar-SA"/>
        </w:rPr>
        <w:t>河北无极经济开发区管理委员会</w:t>
      </w:r>
    </w:p>
    <w:p w14:paraId="5263AA9B">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40" w:lineRule="exact"/>
        <w:ind w:right="0" w:firstLine="4480" w:firstLineChars="1400"/>
        <w:jc w:val="both"/>
        <w:textAlignment w:val="auto"/>
        <w:rPr>
          <w:rFonts w:hint="eastAsia" w:ascii="楷体" w:hAnsi="楷体" w:eastAsia="楷体" w:cs="楷体"/>
          <w:kern w:val="2"/>
          <w:sz w:val="32"/>
          <w:szCs w:val="32"/>
          <w:lang w:val="en-US" w:eastAsia="zh-CN" w:bidi="ar-SA"/>
        </w:rPr>
      </w:pPr>
      <w:r>
        <w:rPr>
          <w:rFonts w:hint="eastAsia" w:ascii="楷体" w:hAnsi="楷体" w:eastAsia="楷体" w:cs="楷体"/>
          <w:kern w:val="2"/>
          <w:sz w:val="32"/>
          <w:szCs w:val="32"/>
          <w:lang w:val="en-US" w:eastAsia="zh-CN" w:bidi="ar-SA"/>
        </w:rPr>
        <w:t>2026年4月13日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8"/>
    <w:family w:val="auto"/>
    <w:pitch w:val="default"/>
    <w:sig w:usb0="E0002EFF" w:usb1="C000785B"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等线">
    <w:panose1 w:val="02010600030101010101"/>
    <w:charset w:val="86"/>
    <w:family w:val="auto"/>
    <w:pitch w:val="default"/>
    <w:sig w:usb0="A00002BF" w:usb1="38CF7CFA" w:usb2="00000016" w:usb3="00000000" w:csb0="0004000F" w:csb1="00000000"/>
  </w:font>
  <w:font w:name="仿宋_GB2312">
    <w:panose1 w:val="02010609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DE7B22F"/>
    <w:multiLevelType w:val="singleLevel"/>
    <w:tmpl w:val="ADE7B22F"/>
    <w:lvl w:ilvl="0" w:tentative="0">
      <w:start w:val="2"/>
      <w:numFmt w:val="chineseCounting"/>
      <w:suff w:val="nothing"/>
      <w:lvlText w:val="（%1）"/>
      <w:lvlJc w:val="left"/>
      <w:rPr>
        <w:rFonts w:hint="eastAsia"/>
      </w:rPr>
    </w:lvl>
  </w:abstractNum>
  <w:abstractNum w:abstractNumId="1">
    <w:nsid w:val="4CB9E9D3"/>
    <w:multiLevelType w:val="singleLevel"/>
    <w:tmpl w:val="4CB9E9D3"/>
    <w:lvl w:ilvl="0" w:tentative="0">
      <w:start w:val="1"/>
      <w:numFmt w:val="bullet"/>
      <w:pStyle w:val="9"/>
      <w:lvlText w:val=""/>
      <w:lvlJc w:val="left"/>
      <w:pPr>
        <w:tabs>
          <w:tab w:val="left" w:pos="780"/>
        </w:tabs>
        <w:ind w:left="780" w:hanging="360"/>
      </w:pPr>
      <w:rPr>
        <w:rFonts w:hint="default" w:ascii="Wingdings" w:hAnsi="Wingdings"/>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2EzOWIwZmFkMmNkZjU0ODgwYTA5M2FmMjZjOTQ4NGIifQ=="/>
  </w:docVars>
  <w:rsids>
    <w:rsidRoot w:val="00000000"/>
    <w:rsid w:val="007A6795"/>
    <w:rsid w:val="00DC5D35"/>
    <w:rsid w:val="02497534"/>
    <w:rsid w:val="030F648B"/>
    <w:rsid w:val="035248AA"/>
    <w:rsid w:val="0381685A"/>
    <w:rsid w:val="03E47783"/>
    <w:rsid w:val="05277012"/>
    <w:rsid w:val="06497B03"/>
    <w:rsid w:val="06AE3E0A"/>
    <w:rsid w:val="086F5C91"/>
    <w:rsid w:val="0A102471"/>
    <w:rsid w:val="0A647B94"/>
    <w:rsid w:val="0AF93BB9"/>
    <w:rsid w:val="0C782D8D"/>
    <w:rsid w:val="0E327C3E"/>
    <w:rsid w:val="102D252D"/>
    <w:rsid w:val="10CC4D63"/>
    <w:rsid w:val="115B497C"/>
    <w:rsid w:val="117D7C75"/>
    <w:rsid w:val="11C52008"/>
    <w:rsid w:val="127A7363"/>
    <w:rsid w:val="128F4AEF"/>
    <w:rsid w:val="12993BC0"/>
    <w:rsid w:val="12C44055"/>
    <w:rsid w:val="13031039"/>
    <w:rsid w:val="13766A38"/>
    <w:rsid w:val="13AA3386"/>
    <w:rsid w:val="14641AA7"/>
    <w:rsid w:val="15076DCC"/>
    <w:rsid w:val="155D0ED5"/>
    <w:rsid w:val="15C10AB2"/>
    <w:rsid w:val="164E078C"/>
    <w:rsid w:val="171D7719"/>
    <w:rsid w:val="18C82B09"/>
    <w:rsid w:val="19647974"/>
    <w:rsid w:val="198A4263"/>
    <w:rsid w:val="19FD2C86"/>
    <w:rsid w:val="19FF49EF"/>
    <w:rsid w:val="1A2F2491"/>
    <w:rsid w:val="1BD17F27"/>
    <w:rsid w:val="1DD34C32"/>
    <w:rsid w:val="1EEB54F0"/>
    <w:rsid w:val="1F792DAF"/>
    <w:rsid w:val="205904EB"/>
    <w:rsid w:val="205D622D"/>
    <w:rsid w:val="208F215E"/>
    <w:rsid w:val="20B10327"/>
    <w:rsid w:val="2155348B"/>
    <w:rsid w:val="21A5351C"/>
    <w:rsid w:val="229324B5"/>
    <w:rsid w:val="22C63C28"/>
    <w:rsid w:val="247C1849"/>
    <w:rsid w:val="2524556B"/>
    <w:rsid w:val="263A76B6"/>
    <w:rsid w:val="26CE5D51"/>
    <w:rsid w:val="29F55728"/>
    <w:rsid w:val="2B0C53CC"/>
    <w:rsid w:val="2BBF02D2"/>
    <w:rsid w:val="2BEC7D40"/>
    <w:rsid w:val="2DF724A8"/>
    <w:rsid w:val="2EC929D3"/>
    <w:rsid w:val="2F990037"/>
    <w:rsid w:val="2F9F7270"/>
    <w:rsid w:val="2FC811E9"/>
    <w:rsid w:val="3177708F"/>
    <w:rsid w:val="3183186B"/>
    <w:rsid w:val="32C15418"/>
    <w:rsid w:val="32CA5BFD"/>
    <w:rsid w:val="3350577D"/>
    <w:rsid w:val="343A077D"/>
    <w:rsid w:val="361B416E"/>
    <w:rsid w:val="367F4CF7"/>
    <w:rsid w:val="36F640ED"/>
    <w:rsid w:val="376A274F"/>
    <w:rsid w:val="37951F41"/>
    <w:rsid w:val="379E11AD"/>
    <w:rsid w:val="39CC2A82"/>
    <w:rsid w:val="3A914FF9"/>
    <w:rsid w:val="3B295F7D"/>
    <w:rsid w:val="3C65366B"/>
    <w:rsid w:val="3C662A48"/>
    <w:rsid w:val="3CB7686D"/>
    <w:rsid w:val="3D74475E"/>
    <w:rsid w:val="3DBD6105"/>
    <w:rsid w:val="3ECA2888"/>
    <w:rsid w:val="3F7153F9"/>
    <w:rsid w:val="3FBE7F13"/>
    <w:rsid w:val="40644347"/>
    <w:rsid w:val="40723C3C"/>
    <w:rsid w:val="408178BE"/>
    <w:rsid w:val="418B0ABC"/>
    <w:rsid w:val="420B6119"/>
    <w:rsid w:val="4219270D"/>
    <w:rsid w:val="422E56C0"/>
    <w:rsid w:val="42D57A4D"/>
    <w:rsid w:val="44B10046"/>
    <w:rsid w:val="461B36EF"/>
    <w:rsid w:val="462E7BA0"/>
    <w:rsid w:val="46690BD8"/>
    <w:rsid w:val="46C2619D"/>
    <w:rsid w:val="4886168F"/>
    <w:rsid w:val="48D25512"/>
    <w:rsid w:val="499E503D"/>
    <w:rsid w:val="49AD5195"/>
    <w:rsid w:val="4A6022F2"/>
    <w:rsid w:val="4A901C8E"/>
    <w:rsid w:val="4AE50A49"/>
    <w:rsid w:val="4B7F0E9E"/>
    <w:rsid w:val="4BB02E05"/>
    <w:rsid w:val="4BE241B4"/>
    <w:rsid w:val="4C0672CD"/>
    <w:rsid w:val="4E265601"/>
    <w:rsid w:val="4EDF2439"/>
    <w:rsid w:val="523D116B"/>
    <w:rsid w:val="52B616FE"/>
    <w:rsid w:val="53F51CFD"/>
    <w:rsid w:val="54D1276A"/>
    <w:rsid w:val="552E2AC8"/>
    <w:rsid w:val="556E7FB9"/>
    <w:rsid w:val="55900B16"/>
    <w:rsid w:val="563163EF"/>
    <w:rsid w:val="568C1562"/>
    <w:rsid w:val="56EA7B13"/>
    <w:rsid w:val="572B3C88"/>
    <w:rsid w:val="576176AA"/>
    <w:rsid w:val="57676470"/>
    <w:rsid w:val="58020E8D"/>
    <w:rsid w:val="581A51FB"/>
    <w:rsid w:val="58450D79"/>
    <w:rsid w:val="58C12D87"/>
    <w:rsid w:val="59142C25"/>
    <w:rsid w:val="5B53657E"/>
    <w:rsid w:val="5BCA1CC1"/>
    <w:rsid w:val="5C3768CE"/>
    <w:rsid w:val="5D123920"/>
    <w:rsid w:val="5D333896"/>
    <w:rsid w:val="5D79574D"/>
    <w:rsid w:val="5DF43025"/>
    <w:rsid w:val="5E0A41F6"/>
    <w:rsid w:val="5E7B6C21"/>
    <w:rsid w:val="5F117C07"/>
    <w:rsid w:val="5F344724"/>
    <w:rsid w:val="5F5D6BA7"/>
    <w:rsid w:val="5F6A4391"/>
    <w:rsid w:val="5FD72BFF"/>
    <w:rsid w:val="60503411"/>
    <w:rsid w:val="60C33BD4"/>
    <w:rsid w:val="619012B7"/>
    <w:rsid w:val="626B4EB8"/>
    <w:rsid w:val="632F6CB8"/>
    <w:rsid w:val="64F14763"/>
    <w:rsid w:val="6568465B"/>
    <w:rsid w:val="66A33A6A"/>
    <w:rsid w:val="672A5D0A"/>
    <w:rsid w:val="688558EE"/>
    <w:rsid w:val="688A2E12"/>
    <w:rsid w:val="69525D78"/>
    <w:rsid w:val="6A2427E4"/>
    <w:rsid w:val="6AD541DF"/>
    <w:rsid w:val="6C8D4D71"/>
    <w:rsid w:val="6CD96208"/>
    <w:rsid w:val="6DEC1F6B"/>
    <w:rsid w:val="6EF955E8"/>
    <w:rsid w:val="6FDC0E21"/>
    <w:rsid w:val="700217FC"/>
    <w:rsid w:val="702F613F"/>
    <w:rsid w:val="70A628A5"/>
    <w:rsid w:val="70B0102E"/>
    <w:rsid w:val="712C7658"/>
    <w:rsid w:val="712E4649"/>
    <w:rsid w:val="71702B15"/>
    <w:rsid w:val="719C4727"/>
    <w:rsid w:val="72A03324"/>
    <w:rsid w:val="74A13623"/>
    <w:rsid w:val="757F5473"/>
    <w:rsid w:val="75A82C1C"/>
    <w:rsid w:val="75D51537"/>
    <w:rsid w:val="76037E52"/>
    <w:rsid w:val="765B1A3C"/>
    <w:rsid w:val="76C05D43"/>
    <w:rsid w:val="772E7150"/>
    <w:rsid w:val="77AD4932"/>
    <w:rsid w:val="77DE2F50"/>
    <w:rsid w:val="781520BE"/>
    <w:rsid w:val="79BD160C"/>
    <w:rsid w:val="7A051EAB"/>
    <w:rsid w:val="7A164C6C"/>
    <w:rsid w:val="7A261A6C"/>
    <w:rsid w:val="7A543EE8"/>
    <w:rsid w:val="7AF910C6"/>
    <w:rsid w:val="7BB45CAA"/>
    <w:rsid w:val="7C0C3973"/>
    <w:rsid w:val="7D222E4B"/>
    <w:rsid w:val="7D3E2EA0"/>
    <w:rsid w:val="7D801426"/>
    <w:rsid w:val="7DE5468C"/>
    <w:rsid w:val="7EEA605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qFormat="1"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qFormat="1"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100" w:beforeAutospacing="1" w:after="100" w:afterAutospacing="1"/>
      <w:jc w:val="left"/>
      <w:outlineLvl w:val="0"/>
    </w:pPr>
    <w:rPr>
      <w:rFonts w:hint="eastAsia" w:ascii="宋体" w:hAnsi="宋体" w:eastAsia="宋体" w:cs="宋体"/>
      <w:b/>
      <w:bCs/>
      <w:kern w:val="44"/>
      <w:sz w:val="48"/>
      <w:szCs w:val="48"/>
      <w:lang w:val="en-US" w:eastAsia="zh-CN" w:bidi="ar"/>
    </w:rPr>
  </w:style>
  <w:style w:type="paragraph" w:styleId="3">
    <w:name w:val="heading 4"/>
    <w:basedOn w:val="1"/>
    <w:next w:val="1"/>
    <w:autoRedefine/>
    <w:unhideWhenUsed/>
    <w:qFormat/>
    <w:uiPriority w:val="0"/>
    <w:pPr>
      <w:keepNext/>
      <w:keepLines/>
      <w:spacing w:before="280" w:after="290" w:line="376" w:lineRule="auto"/>
      <w:outlineLvl w:val="3"/>
    </w:pPr>
    <w:rPr>
      <w:rFonts w:ascii="Cambria" w:hAnsi="Cambria"/>
      <w:b/>
      <w:bCs/>
      <w:sz w:val="28"/>
      <w:szCs w:val="28"/>
    </w:rPr>
  </w:style>
  <w:style w:type="character" w:default="1" w:styleId="20">
    <w:name w:val="Default Paragraph Font"/>
    <w:autoRedefine/>
    <w:semiHidden/>
    <w:qFormat/>
    <w:uiPriority w:val="0"/>
  </w:style>
  <w:style w:type="table" w:default="1" w:styleId="19">
    <w:name w:val="Normal Table"/>
    <w:autoRedefine/>
    <w:semiHidden/>
    <w:qFormat/>
    <w:uiPriority w:val="0"/>
    <w:tblPr>
      <w:tblCellMar>
        <w:top w:w="0" w:type="dxa"/>
        <w:left w:w="108" w:type="dxa"/>
        <w:bottom w:w="0" w:type="dxa"/>
        <w:right w:w="108" w:type="dxa"/>
      </w:tblCellMar>
    </w:tblPr>
  </w:style>
  <w:style w:type="paragraph" w:styleId="4">
    <w:name w:val="E-mail Signature"/>
    <w:basedOn w:val="1"/>
    <w:next w:val="5"/>
    <w:autoRedefine/>
    <w:qFormat/>
    <w:uiPriority w:val="0"/>
    <w:pPr>
      <w:spacing w:line="460" w:lineRule="exact"/>
      <w:ind w:firstLine="200"/>
    </w:pPr>
    <w:rPr>
      <w:sz w:val="24"/>
    </w:rPr>
  </w:style>
  <w:style w:type="paragraph" w:customStyle="1" w:styleId="5">
    <w:name w:val="文章"/>
    <w:basedOn w:val="6"/>
    <w:next w:val="8"/>
    <w:autoRedefine/>
    <w:qFormat/>
    <w:uiPriority w:val="0"/>
    <w:pPr>
      <w:widowControl/>
      <w:ind w:firstLine="480"/>
      <w:jc w:val="center"/>
    </w:pPr>
    <w:rPr>
      <w:sz w:val="26"/>
    </w:rPr>
  </w:style>
  <w:style w:type="paragraph" w:styleId="6">
    <w:name w:val="Body Text Indent"/>
    <w:basedOn w:val="1"/>
    <w:next w:val="7"/>
    <w:autoRedefine/>
    <w:qFormat/>
    <w:uiPriority w:val="0"/>
    <w:pPr>
      <w:snapToGrid w:val="0"/>
      <w:ind w:firstLine="498"/>
    </w:pPr>
    <w:rPr>
      <w:rFonts w:ascii="宋体"/>
      <w:sz w:val="24"/>
    </w:rPr>
  </w:style>
  <w:style w:type="paragraph" w:styleId="7">
    <w:name w:val="Body Text First Indent 2"/>
    <w:basedOn w:val="6"/>
    <w:next w:val="1"/>
    <w:autoRedefine/>
    <w:qFormat/>
    <w:uiPriority w:val="0"/>
    <w:pPr>
      <w:ind w:firstLine="420" w:firstLineChars="200"/>
    </w:pPr>
  </w:style>
  <w:style w:type="paragraph" w:styleId="8">
    <w:name w:val="List"/>
    <w:basedOn w:val="1"/>
    <w:next w:val="9"/>
    <w:autoRedefine/>
    <w:unhideWhenUsed/>
    <w:qFormat/>
    <w:uiPriority w:val="0"/>
    <w:pPr>
      <w:ind w:left="200" w:hanging="200" w:hangingChars="200"/>
      <w:contextualSpacing/>
    </w:pPr>
  </w:style>
  <w:style w:type="paragraph" w:styleId="9">
    <w:name w:val="List Bullet 2"/>
    <w:basedOn w:val="1"/>
    <w:next w:val="10"/>
    <w:autoRedefine/>
    <w:qFormat/>
    <w:uiPriority w:val="0"/>
    <w:pPr>
      <w:numPr>
        <w:ilvl w:val="0"/>
        <w:numId w:val="1"/>
      </w:numPr>
    </w:pPr>
  </w:style>
  <w:style w:type="paragraph" w:customStyle="1" w:styleId="10">
    <w:name w:val="xl70"/>
    <w:basedOn w:val="1"/>
    <w:next w:val="11"/>
    <w:autoRedefine/>
    <w:qFormat/>
    <w:uiPriority w:val="0"/>
    <w:pPr>
      <w:widowControl/>
      <w:spacing w:before="280" w:after="280" w:line="240" w:lineRule="auto"/>
    </w:pPr>
    <w:rPr>
      <w:rFonts w:ascii="宋体"/>
    </w:rPr>
  </w:style>
  <w:style w:type="paragraph" w:customStyle="1" w:styleId="11">
    <w:name w:val="正文缩进1"/>
    <w:basedOn w:val="1"/>
    <w:next w:val="12"/>
    <w:autoRedefine/>
    <w:qFormat/>
    <w:uiPriority w:val="0"/>
    <w:pPr>
      <w:ind w:firstLine="420"/>
    </w:pPr>
  </w:style>
  <w:style w:type="paragraph" w:customStyle="1" w:styleId="12">
    <w:name w:val="td1"/>
    <w:basedOn w:val="1"/>
    <w:next w:val="1"/>
    <w:autoRedefine/>
    <w:qFormat/>
    <w:uiPriority w:val="0"/>
    <w:pPr>
      <w:widowControl/>
      <w:spacing w:before="280" w:after="280" w:line="300" w:lineRule="atLeast"/>
      <w:ind w:firstLine="200"/>
    </w:pPr>
    <w:rPr>
      <w:color w:val="000000"/>
      <w:sz w:val="18"/>
    </w:rPr>
  </w:style>
  <w:style w:type="paragraph" w:styleId="13">
    <w:name w:val="Normal Indent"/>
    <w:basedOn w:val="1"/>
    <w:next w:val="3"/>
    <w:autoRedefine/>
    <w:qFormat/>
    <w:uiPriority w:val="0"/>
    <w:pPr>
      <w:ind w:firstLine="420"/>
    </w:pPr>
  </w:style>
  <w:style w:type="paragraph" w:styleId="14">
    <w:name w:val="annotation text"/>
    <w:basedOn w:val="1"/>
    <w:autoRedefine/>
    <w:qFormat/>
    <w:uiPriority w:val="0"/>
    <w:pPr>
      <w:jc w:val="left"/>
    </w:pPr>
  </w:style>
  <w:style w:type="paragraph" w:styleId="15">
    <w:name w:val="Body Text"/>
    <w:basedOn w:val="1"/>
    <w:next w:val="1"/>
    <w:autoRedefine/>
    <w:qFormat/>
    <w:uiPriority w:val="0"/>
    <w:pPr>
      <w:spacing w:line="360" w:lineRule="auto"/>
      <w:ind w:firstLine="400" w:firstLineChars="200"/>
    </w:pPr>
    <w:rPr>
      <w:rFonts w:ascii="宋体" w:hAnsi="宋体" w:cs="宋体"/>
      <w:sz w:val="24"/>
      <w:szCs w:val="24"/>
      <w:lang w:val="zh-CN" w:bidi="zh-CN"/>
    </w:rPr>
  </w:style>
  <w:style w:type="paragraph" w:styleId="16">
    <w:name w:val="footer"/>
    <w:basedOn w:val="1"/>
    <w:qFormat/>
    <w:uiPriority w:val="99"/>
    <w:pPr>
      <w:tabs>
        <w:tab w:val="center" w:pos="4153"/>
        <w:tab w:val="right" w:pos="8306"/>
      </w:tabs>
      <w:snapToGrid w:val="0"/>
      <w:jc w:val="left"/>
    </w:pPr>
    <w:rPr>
      <w:kern w:val="0"/>
      <w:sz w:val="18"/>
      <w:szCs w:val="20"/>
    </w:rPr>
  </w:style>
  <w:style w:type="paragraph" w:styleId="17">
    <w:name w:val="toc 1"/>
    <w:basedOn w:val="1"/>
    <w:next w:val="1"/>
    <w:qFormat/>
    <w:uiPriority w:val="0"/>
    <w:pPr>
      <w:tabs>
        <w:tab w:val="right" w:leader="dot" w:pos="8290"/>
      </w:tabs>
      <w:spacing w:before="60" w:after="60" w:line="460" w:lineRule="exact"/>
      <w:ind w:firstLine="0" w:firstLineChars="0"/>
    </w:pPr>
    <w:rPr>
      <w:rFonts w:ascii="Times New Roman" w:hAnsi="Times New Roman" w:eastAsia="宋体" w:cs="Times New Roman"/>
      <w:sz w:val="28"/>
      <w:szCs w:val="28"/>
    </w:rPr>
  </w:style>
  <w:style w:type="paragraph" w:styleId="18">
    <w:name w:val="toc 2"/>
    <w:basedOn w:val="1"/>
    <w:next w:val="4"/>
    <w:autoRedefine/>
    <w:qFormat/>
    <w:uiPriority w:val="0"/>
    <w:pPr>
      <w:ind w:left="210"/>
      <w:jc w:val="left"/>
    </w:pPr>
    <w:rPr>
      <w:rFonts w:ascii="等线" w:eastAsia="等线"/>
      <w:smallCaps/>
      <w:sz w:val="20"/>
      <w:szCs w:val="20"/>
    </w:rPr>
  </w:style>
  <w:style w:type="paragraph" w:customStyle="1" w:styleId="21">
    <w:name w:val="Default"/>
    <w:basedOn w:val="22"/>
    <w:next w:val="24"/>
    <w:autoRedefine/>
    <w:unhideWhenUsed/>
    <w:qFormat/>
    <w:uiPriority w:val="0"/>
    <w:pPr>
      <w:widowControl w:val="0"/>
      <w:autoSpaceDE w:val="0"/>
      <w:autoSpaceDN w:val="0"/>
      <w:adjustRightInd w:val="0"/>
    </w:pPr>
    <w:rPr>
      <w:rFonts w:ascii="宋体" w:hAnsi="宋体"/>
      <w:color w:val="000000"/>
      <w:sz w:val="24"/>
      <w:lang w:val="en-US" w:eastAsia="zh-CN" w:bidi="ar-SA"/>
    </w:rPr>
  </w:style>
  <w:style w:type="paragraph" w:customStyle="1" w:styleId="22">
    <w:name w:val="纯文本1"/>
    <w:basedOn w:val="23"/>
    <w:autoRedefine/>
    <w:qFormat/>
    <w:uiPriority w:val="0"/>
    <w:pPr>
      <w:adjustRightInd w:val="0"/>
    </w:pPr>
    <w:rPr>
      <w:rFonts w:ascii="宋体" w:hAnsi="Courier New"/>
      <w:szCs w:val="20"/>
    </w:rPr>
  </w:style>
  <w:style w:type="paragraph" w:customStyle="1" w:styleId="23">
    <w:name w:val="正文_0"/>
    <w:next w:val="22"/>
    <w:qFormat/>
    <w:uiPriority w:val="0"/>
    <w:pPr>
      <w:widowControl w:val="0"/>
      <w:jc w:val="both"/>
    </w:pPr>
    <w:rPr>
      <w:rFonts w:ascii="Calibri" w:hAnsi="Calibri" w:eastAsia="仿宋_GB2312" w:cs="Times New Roman"/>
      <w:kern w:val="2"/>
      <w:sz w:val="32"/>
      <w:szCs w:val="24"/>
      <w:lang w:val="en-US" w:eastAsia="zh-CN" w:bidi="ar-SA"/>
    </w:rPr>
  </w:style>
  <w:style w:type="paragraph" w:customStyle="1" w:styleId="24">
    <w:name w:val="样式35"/>
    <w:basedOn w:val="25"/>
    <w:next w:val="26"/>
    <w:autoRedefine/>
    <w:qFormat/>
    <w:uiPriority w:val="0"/>
    <w:pPr>
      <w:tabs>
        <w:tab w:val="left" w:pos="0"/>
        <w:tab w:val="left" w:pos="360"/>
        <w:tab w:val="left" w:pos="540"/>
        <w:tab w:val="left" w:pos="567"/>
        <w:tab w:val="center" w:pos="4153"/>
        <w:tab w:val="right" w:pos="8306"/>
      </w:tabs>
      <w:spacing w:line="312" w:lineRule="auto"/>
      <w:ind w:firstLine="567"/>
    </w:pPr>
    <w:rPr>
      <w:rFonts w:ascii="宋体"/>
    </w:rPr>
  </w:style>
  <w:style w:type="paragraph" w:customStyle="1" w:styleId="25">
    <w:name w:val="表 内容"/>
    <w:basedOn w:val="1"/>
    <w:autoRedefine/>
    <w:qFormat/>
    <w:uiPriority w:val="0"/>
    <w:pPr>
      <w:spacing w:line="240" w:lineRule="atLeast"/>
      <w:jc w:val="center"/>
    </w:pPr>
    <w:rPr>
      <w:sz w:val="21"/>
      <w:szCs w:val="21"/>
    </w:rPr>
  </w:style>
  <w:style w:type="paragraph" w:customStyle="1" w:styleId="26">
    <w:name w:val="font6"/>
    <w:basedOn w:val="1"/>
    <w:next w:val="18"/>
    <w:autoRedefine/>
    <w:qFormat/>
    <w:uiPriority w:val="0"/>
    <w:pPr>
      <w:widowControl/>
      <w:spacing w:before="280" w:after="280"/>
      <w:ind w:firstLine="0"/>
    </w:pPr>
    <w:rPr>
      <w:sz w:val="21"/>
    </w:rPr>
  </w:style>
  <w:style w:type="paragraph" w:customStyle="1" w:styleId="27">
    <w:name w:val="1正文"/>
    <w:basedOn w:val="1"/>
    <w:next w:val="15"/>
    <w:autoRedefine/>
    <w:qFormat/>
    <w:uiPriority w:val="0"/>
    <w:pPr>
      <w:spacing w:line="440" w:lineRule="exact"/>
      <w:ind w:firstLine="200" w:firstLineChars="200"/>
    </w:pPr>
    <w:rPr>
      <w:snapToGrid w:val="0"/>
      <w:sz w:val="24"/>
      <w:szCs w:val="24"/>
    </w:rPr>
  </w:style>
  <w:style w:type="paragraph" w:customStyle="1" w:styleId="28">
    <w:name w:val="Default1"/>
    <w:next w:val="1"/>
    <w:qForma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paragraph" w:customStyle="1" w:styleId="29">
    <w:name w:val="正文1"/>
    <w:basedOn w:val="16"/>
    <w:next w:val="1"/>
    <w:qFormat/>
    <w:uiPriority w:val="0"/>
    <w:pPr>
      <w:topLinePunct/>
      <w:adjustRightInd w:val="0"/>
      <w:snapToGrid w:val="0"/>
      <w:spacing w:line="440" w:lineRule="exact"/>
      <w:ind w:firstLine="200" w:firstLineChars="200"/>
      <w:jc w:val="both"/>
    </w:pPr>
    <w:rPr>
      <w:snapToGrid w:val="0"/>
      <w:kern w:val="0"/>
      <w:sz w:val="24"/>
    </w:rPr>
  </w:style>
  <w:style w:type="character" w:customStyle="1" w:styleId="30">
    <w:name w:val="15"/>
    <w:basedOn w:val="20"/>
    <w:qFormat/>
    <w:uiPriority w:val="0"/>
    <w:rPr>
      <w:rFonts w:hint="default" w:ascii="Times New Roman" w:hAnsi="Times New Roman" w:cs="Times New Roman"/>
    </w:rPr>
  </w:style>
  <w:style w:type="paragraph" w:customStyle="1" w:styleId="31">
    <w:name w:val="0正文1"/>
    <w:next w:val="1"/>
    <w:qFormat/>
    <w:uiPriority w:val="0"/>
    <w:pPr>
      <w:adjustRightInd w:val="0"/>
      <w:snapToGrid w:val="0"/>
      <w:spacing w:line="480" w:lineRule="exact"/>
      <w:ind w:firstLine="200" w:firstLineChars="200"/>
      <w:jc w:val="both"/>
    </w:pPr>
    <w:rPr>
      <w:rFonts w:ascii="Times New Roman" w:hAnsi="Times New Roman" w:eastAsia="宋体" w:cs="Times New Roman"/>
      <w:snapToGrid w:val="0"/>
      <w:color w:val="000000"/>
      <w:spacing w:val="-10"/>
      <w:sz w:val="24"/>
      <w:szCs w:val="21"/>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2078</Words>
  <Characters>2236</Characters>
  <Lines>0</Lines>
  <Paragraphs>0</Paragraphs>
  <TotalTime>18</TotalTime>
  <ScaleCrop>false</ScaleCrop>
  <LinksUpToDate>false</LinksUpToDate>
  <CharactersWithSpaces>2368</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2023-08-02T02:27:00Z</dcterms:created>
  <dc:creator>Administrator</dc:creator>
  <cp:lastModifiedBy>A0000晓倩</cp:lastModifiedBy>
  <cp:lastPrinted>2024-01-22T02:27:00Z</cp:lastPrinted>
  <dcterms:modified xsi:type="dcterms:W3CDTF">2026-04-13T07:43:42Z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9770F99E1DAF42AAAA5D213B9C92AE62_13</vt:lpwstr>
  </property>
  <property fmtid="{D5CDD505-2E9C-101B-9397-08002B2CF9AE}" pid="4" name="KSOTemplateDocerSaveRecord">
    <vt:lpwstr>eyJoZGlkIjoiOGJhYjIyZWU5ZGUxYTdlYjMxNDA4MjUxNTkwMWUzODUiLCJ1c2VySWQiOiI4NjE4Njk0MzIifQ==</vt:lpwstr>
  </property>
</Properties>
</file>