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281中共无极县委党校</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216.00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188.00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216.00</w:t>
            </w:r>
          </w:p>
        </w:tc>
        <w:tc>
          <w:tcPr>
            <w:tcW w:w="4535" w:type="dxa"/>
            <w:vAlign w:val="center"/>
          </w:tcPr>
          <w:p>
            <w:pPr>
              <w:pStyle w:val="15"/>
            </w:pPr>
            <w:r>
              <w:t>本年支出合计</w:t>
            </w:r>
          </w:p>
        </w:tc>
        <w:tc>
          <w:tcPr>
            <w:tcW w:w="2126" w:type="dxa"/>
            <w:vAlign w:val="center"/>
          </w:tcPr>
          <w:p>
            <w:pPr>
              <w:pStyle w:val="16"/>
            </w:pPr>
            <w:r>
              <w:t>216.00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216.00</w:t>
            </w:r>
          </w:p>
        </w:tc>
        <w:tc>
          <w:tcPr>
            <w:tcW w:w="4535" w:type="dxa"/>
            <w:vAlign w:val="center"/>
          </w:tcPr>
          <w:p>
            <w:pPr>
              <w:pStyle w:val="15"/>
            </w:pPr>
            <w:r>
              <w:t>支出总计</w:t>
            </w:r>
          </w:p>
        </w:tc>
        <w:tc>
          <w:tcPr>
            <w:tcW w:w="2126" w:type="dxa"/>
            <w:vAlign w:val="center"/>
          </w:tcPr>
          <w:p>
            <w:pPr>
              <w:pStyle w:val="16"/>
            </w:pPr>
            <w:r>
              <w:t>216.00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281中共无极县委党校</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216.00</w:t>
            </w:r>
          </w:p>
        </w:tc>
        <w:tc>
          <w:tcPr>
            <w:tcW w:w="1134" w:type="dxa"/>
            <w:vAlign w:val="center"/>
          </w:tcPr>
          <w:p>
            <w:pPr>
              <w:pStyle w:val="16"/>
            </w:pPr>
            <w:r>
              <w:t>216.00</w:t>
            </w:r>
          </w:p>
        </w:tc>
        <w:tc>
          <w:tcPr>
            <w:tcW w:w="1134" w:type="dxa"/>
            <w:vAlign w:val="center"/>
          </w:tcPr>
          <w:p>
            <w:pPr>
              <w:pStyle w:val="16"/>
            </w:pPr>
            <w:r>
              <w:t>216.00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188.00</w:t>
            </w:r>
          </w:p>
        </w:tc>
        <w:tc>
          <w:tcPr>
            <w:tcW w:w="1134" w:type="dxa"/>
            <w:vAlign w:val="center"/>
          </w:tcPr>
          <w:p>
            <w:pPr>
              <w:pStyle w:val="12"/>
            </w:pPr>
            <w:r>
              <w:t>188.00</w:t>
            </w:r>
          </w:p>
        </w:tc>
        <w:tc>
          <w:tcPr>
            <w:tcW w:w="1134" w:type="dxa"/>
            <w:vAlign w:val="center"/>
          </w:tcPr>
          <w:p>
            <w:pPr>
              <w:pStyle w:val="12"/>
            </w:pPr>
            <w:r>
              <w:t>188.00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188.00</w:t>
            </w:r>
          </w:p>
        </w:tc>
        <w:tc>
          <w:tcPr>
            <w:tcW w:w="1134" w:type="dxa"/>
            <w:vAlign w:val="center"/>
          </w:tcPr>
          <w:p>
            <w:pPr>
              <w:pStyle w:val="12"/>
            </w:pPr>
            <w:r>
              <w:t>188.00</w:t>
            </w:r>
          </w:p>
        </w:tc>
        <w:tc>
          <w:tcPr>
            <w:tcW w:w="1134" w:type="dxa"/>
            <w:vAlign w:val="center"/>
          </w:tcPr>
          <w:p>
            <w:pPr>
              <w:pStyle w:val="12"/>
            </w:pPr>
            <w:r>
              <w:t>188.00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2050802</w:t>
            </w:r>
          </w:p>
        </w:tc>
        <w:tc>
          <w:tcPr>
            <w:tcW w:w="1559" w:type="dxa"/>
            <w:vAlign w:val="center"/>
          </w:tcPr>
          <w:p>
            <w:pPr>
              <w:pStyle w:val="13"/>
            </w:pPr>
            <w:r>
              <w:t>干部教育</w:t>
            </w:r>
          </w:p>
        </w:tc>
        <w:tc>
          <w:tcPr>
            <w:tcW w:w="1134" w:type="dxa"/>
            <w:vAlign w:val="center"/>
          </w:tcPr>
          <w:p>
            <w:pPr>
              <w:pStyle w:val="12"/>
            </w:pPr>
            <w:r>
              <w:t>188.00</w:t>
            </w:r>
          </w:p>
        </w:tc>
        <w:tc>
          <w:tcPr>
            <w:tcW w:w="1134" w:type="dxa"/>
            <w:vAlign w:val="center"/>
          </w:tcPr>
          <w:p>
            <w:pPr>
              <w:pStyle w:val="12"/>
            </w:pPr>
            <w:r>
              <w:t>188.00</w:t>
            </w:r>
          </w:p>
        </w:tc>
        <w:tc>
          <w:tcPr>
            <w:tcW w:w="1134" w:type="dxa"/>
            <w:vAlign w:val="center"/>
          </w:tcPr>
          <w:p>
            <w:pPr>
              <w:pStyle w:val="12"/>
            </w:pPr>
            <w:r>
              <w:t>188.00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216.00</w:t>
            </w:r>
          </w:p>
        </w:tc>
        <w:tc>
          <w:tcPr>
            <w:tcW w:w="1361" w:type="dxa"/>
            <w:vAlign w:val="center"/>
          </w:tcPr>
          <w:p>
            <w:pPr>
              <w:pStyle w:val="16"/>
            </w:pPr>
            <w:r>
              <w:t>216.00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188.00</w:t>
            </w:r>
          </w:p>
        </w:tc>
        <w:tc>
          <w:tcPr>
            <w:tcW w:w="1361" w:type="dxa"/>
            <w:vAlign w:val="center"/>
          </w:tcPr>
          <w:p>
            <w:pPr>
              <w:pStyle w:val="12"/>
            </w:pPr>
            <w:r>
              <w:t>188.00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188.00</w:t>
            </w:r>
          </w:p>
        </w:tc>
        <w:tc>
          <w:tcPr>
            <w:tcW w:w="1361" w:type="dxa"/>
            <w:vAlign w:val="center"/>
          </w:tcPr>
          <w:p>
            <w:pPr>
              <w:pStyle w:val="12"/>
            </w:pPr>
            <w:r>
              <w:t>188.00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2050802</w:t>
            </w:r>
          </w:p>
        </w:tc>
        <w:tc>
          <w:tcPr>
            <w:tcW w:w="4535" w:type="dxa"/>
            <w:vAlign w:val="center"/>
          </w:tcPr>
          <w:p>
            <w:pPr>
              <w:pStyle w:val="13"/>
            </w:pPr>
            <w:r>
              <w:t>干部教育</w:t>
            </w:r>
          </w:p>
        </w:tc>
        <w:tc>
          <w:tcPr>
            <w:tcW w:w="1361" w:type="dxa"/>
            <w:vAlign w:val="center"/>
          </w:tcPr>
          <w:p>
            <w:pPr>
              <w:pStyle w:val="12"/>
            </w:pPr>
            <w:r>
              <w:t>188.00</w:t>
            </w:r>
          </w:p>
        </w:tc>
        <w:tc>
          <w:tcPr>
            <w:tcW w:w="1361" w:type="dxa"/>
            <w:vAlign w:val="center"/>
          </w:tcPr>
          <w:p>
            <w:pPr>
              <w:pStyle w:val="12"/>
            </w:pPr>
            <w:r>
              <w:t>188.00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216.00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188.00</w:t>
            </w:r>
          </w:p>
        </w:tc>
        <w:tc>
          <w:tcPr>
            <w:tcW w:w="1474" w:type="dxa"/>
            <w:vAlign w:val="center"/>
          </w:tcPr>
          <w:p>
            <w:pPr>
              <w:pStyle w:val="12"/>
            </w:pPr>
            <w:r>
              <w:t>188.00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20.00</w:t>
            </w:r>
          </w:p>
        </w:tc>
        <w:tc>
          <w:tcPr>
            <w:tcW w:w="1474" w:type="dxa"/>
            <w:vAlign w:val="center"/>
          </w:tcPr>
          <w:p>
            <w:pPr>
              <w:pStyle w:val="12"/>
            </w:pPr>
            <w:r>
              <w:t>20.00</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8.00</w:t>
            </w:r>
          </w:p>
        </w:tc>
        <w:tc>
          <w:tcPr>
            <w:tcW w:w="1474" w:type="dxa"/>
            <w:vAlign w:val="center"/>
          </w:tcPr>
          <w:p>
            <w:pPr>
              <w:pStyle w:val="12"/>
            </w:pPr>
            <w:r>
              <w:t>8.00</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216.00</w:t>
            </w:r>
          </w:p>
        </w:tc>
        <w:tc>
          <w:tcPr>
            <w:tcW w:w="3402" w:type="dxa"/>
            <w:vAlign w:val="center"/>
          </w:tcPr>
          <w:p>
            <w:pPr>
              <w:pStyle w:val="15"/>
            </w:pPr>
            <w:r>
              <w:t>本年支出合计</w:t>
            </w:r>
          </w:p>
        </w:tc>
        <w:tc>
          <w:tcPr>
            <w:tcW w:w="1474" w:type="dxa"/>
            <w:vAlign w:val="center"/>
          </w:tcPr>
          <w:p>
            <w:pPr>
              <w:pStyle w:val="16"/>
            </w:pPr>
            <w:r>
              <w:t>216.00</w:t>
            </w:r>
          </w:p>
        </w:tc>
        <w:tc>
          <w:tcPr>
            <w:tcW w:w="1474" w:type="dxa"/>
            <w:vAlign w:val="center"/>
          </w:tcPr>
          <w:p>
            <w:pPr>
              <w:pStyle w:val="16"/>
            </w:pPr>
            <w:r>
              <w:t>216.00</w:t>
            </w:r>
          </w:p>
        </w:tc>
        <w:tc>
          <w:tcPr>
            <w:tcW w:w="1474" w:type="dxa"/>
            <w:vAlign w:val="center"/>
          </w:tcPr>
          <w:p>
            <w:pPr>
              <w:pStyle w:val="16"/>
            </w:pP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216.00</w:t>
            </w:r>
          </w:p>
        </w:tc>
        <w:tc>
          <w:tcPr>
            <w:tcW w:w="3402" w:type="dxa"/>
            <w:vAlign w:val="center"/>
          </w:tcPr>
          <w:p>
            <w:pPr>
              <w:pStyle w:val="15"/>
            </w:pPr>
            <w:r>
              <w:t>支出总计</w:t>
            </w:r>
          </w:p>
        </w:tc>
        <w:tc>
          <w:tcPr>
            <w:tcW w:w="1474" w:type="dxa"/>
            <w:vAlign w:val="center"/>
          </w:tcPr>
          <w:p>
            <w:pPr>
              <w:pStyle w:val="16"/>
            </w:pPr>
            <w:r>
              <w:t>216.00</w:t>
            </w:r>
          </w:p>
        </w:tc>
        <w:tc>
          <w:tcPr>
            <w:tcW w:w="1474" w:type="dxa"/>
            <w:vAlign w:val="center"/>
          </w:tcPr>
          <w:p>
            <w:pPr>
              <w:pStyle w:val="16"/>
            </w:pPr>
            <w:r>
              <w:t>216.00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216.00</w:t>
            </w:r>
          </w:p>
        </w:tc>
        <w:tc>
          <w:tcPr>
            <w:tcW w:w="2551" w:type="dxa"/>
            <w:vAlign w:val="center"/>
          </w:tcPr>
          <w:p>
            <w:pPr>
              <w:pStyle w:val="16"/>
            </w:pPr>
            <w:r>
              <w:t>216.00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188.00</w:t>
            </w:r>
          </w:p>
        </w:tc>
        <w:tc>
          <w:tcPr>
            <w:tcW w:w="2551" w:type="dxa"/>
            <w:vAlign w:val="center"/>
          </w:tcPr>
          <w:p>
            <w:pPr>
              <w:pStyle w:val="12"/>
            </w:pPr>
            <w:r>
              <w:t>188.00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188.00</w:t>
            </w:r>
          </w:p>
        </w:tc>
        <w:tc>
          <w:tcPr>
            <w:tcW w:w="2551" w:type="dxa"/>
            <w:vAlign w:val="center"/>
          </w:tcPr>
          <w:p>
            <w:pPr>
              <w:pStyle w:val="12"/>
            </w:pPr>
            <w:r>
              <w:t>188.00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2050802</w:t>
            </w:r>
          </w:p>
        </w:tc>
        <w:tc>
          <w:tcPr>
            <w:tcW w:w="4535" w:type="dxa"/>
            <w:vAlign w:val="center"/>
          </w:tcPr>
          <w:p>
            <w:pPr>
              <w:pStyle w:val="13"/>
            </w:pPr>
            <w:r>
              <w:t>干部教育</w:t>
            </w:r>
          </w:p>
        </w:tc>
        <w:tc>
          <w:tcPr>
            <w:tcW w:w="2551" w:type="dxa"/>
            <w:vAlign w:val="center"/>
          </w:tcPr>
          <w:p>
            <w:pPr>
              <w:pStyle w:val="12"/>
            </w:pPr>
            <w:r>
              <w:t>188.00</w:t>
            </w:r>
          </w:p>
        </w:tc>
        <w:tc>
          <w:tcPr>
            <w:tcW w:w="2551" w:type="dxa"/>
            <w:vAlign w:val="center"/>
          </w:tcPr>
          <w:p>
            <w:pPr>
              <w:pStyle w:val="12"/>
            </w:pPr>
            <w:r>
              <w:t>188.00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216.00</w:t>
            </w:r>
          </w:p>
        </w:tc>
        <w:tc>
          <w:tcPr>
            <w:tcW w:w="2551" w:type="dxa"/>
            <w:vAlign w:val="center"/>
          </w:tcPr>
          <w:p>
            <w:pPr>
              <w:pStyle w:val="16"/>
            </w:pPr>
            <w:r>
              <w:t>206.30</w:t>
            </w:r>
          </w:p>
        </w:tc>
        <w:tc>
          <w:tcPr>
            <w:tcW w:w="2551" w:type="dxa"/>
            <w:vAlign w:val="center"/>
          </w:tcPr>
          <w:p>
            <w:pPr>
              <w:pStyle w:val="16"/>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161.30</w:t>
            </w:r>
          </w:p>
        </w:tc>
        <w:tc>
          <w:tcPr>
            <w:tcW w:w="2551" w:type="dxa"/>
            <w:vAlign w:val="center"/>
          </w:tcPr>
          <w:p>
            <w:pPr>
              <w:pStyle w:val="12"/>
            </w:pPr>
            <w:r>
              <w:t>161.30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75.00</w:t>
            </w:r>
          </w:p>
        </w:tc>
        <w:tc>
          <w:tcPr>
            <w:tcW w:w="2551" w:type="dxa"/>
            <w:vAlign w:val="center"/>
          </w:tcPr>
          <w:p>
            <w:pPr>
              <w:pStyle w:val="12"/>
            </w:pPr>
            <w:r>
              <w:t>75.00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16.10</w:t>
            </w:r>
          </w:p>
        </w:tc>
        <w:tc>
          <w:tcPr>
            <w:tcW w:w="2551" w:type="dxa"/>
            <w:vAlign w:val="center"/>
          </w:tcPr>
          <w:p>
            <w:pPr>
              <w:pStyle w:val="12"/>
            </w:pPr>
            <w:r>
              <w:t>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7.60</w:t>
            </w:r>
          </w:p>
        </w:tc>
        <w:tc>
          <w:tcPr>
            <w:tcW w:w="2551" w:type="dxa"/>
            <w:vAlign w:val="center"/>
          </w:tcPr>
          <w:p>
            <w:pPr>
              <w:pStyle w:val="12"/>
            </w:pPr>
            <w:r>
              <w:t>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33.50</w:t>
            </w:r>
          </w:p>
        </w:tc>
        <w:tc>
          <w:tcPr>
            <w:tcW w:w="2551" w:type="dxa"/>
            <w:vAlign w:val="center"/>
          </w:tcPr>
          <w:p>
            <w:pPr>
              <w:pStyle w:val="12"/>
            </w:pPr>
            <w:r>
              <w:t>33.50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9.70</w:t>
            </w:r>
          </w:p>
        </w:tc>
        <w:tc>
          <w:tcPr>
            <w:tcW w:w="2551" w:type="dxa"/>
            <w:vAlign w:val="center"/>
          </w:tcPr>
          <w:p>
            <w:pPr>
              <w:pStyle w:val="12"/>
            </w:pPr>
          </w:p>
        </w:tc>
        <w:tc>
          <w:tcPr>
            <w:tcW w:w="2551" w:type="dxa"/>
            <w:vAlign w:val="center"/>
          </w:tcPr>
          <w:p>
            <w:pPr>
              <w:pStyle w:val="12"/>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281中共无极县委党校</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中共无极县委党校2026年部门预算信息公开情况说明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中共无极县委党校2026年部门预算信息公开情况说明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按照《中华人民共和国预算法》、《地方预决算公开操作规程》和《关于进一步推进预算公开工作的实施意见》规定，现将中共无极县委党校2026年部门预算公开如下：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党校是在党委直接领导下培养党员领导干部和理论干部的学校，是党委的重要部门，是培训轮训党员领导干部的主渠道，是党的哲学社会科学研究机构，具体职责是：</w:t>
      </w:r>
    </w:p>
    <w:p>
      <w:pPr>
        <w:pStyle w:val="18"/>
      </w:pPr>
      <w:r>
        <w:t>1、培训基层党员和党政领导干部、公务员、企业领导人员等。</w:t>
      </w:r>
    </w:p>
    <w:p>
      <w:pPr>
        <w:pStyle w:val="18"/>
      </w:pPr>
      <w:r>
        <w:t>2、进行马克思主义基本理论研究，重点研究宣传习近平新时代中国特色社会主义思想。</w:t>
      </w:r>
    </w:p>
    <w:p>
      <w:pPr>
        <w:pStyle w:val="18"/>
      </w:pPr>
      <w:r>
        <w:t>3、承办县委和政府以及相关部门举办的专题研讨班。</w:t>
      </w:r>
    </w:p>
    <w:p>
      <w:pPr>
        <w:pStyle w:val="18"/>
      </w:pPr>
      <w:r>
        <w:t>4、开展重大理论和现实问题研究，承担县委和政府决策咨询服务。</w:t>
      </w:r>
    </w:p>
    <w:p>
      <w:pPr>
        <w:pStyle w:val="18"/>
      </w:pPr>
      <w:r>
        <w:t>5、开展同县内外有关机构和组织的合作与交流。</w:t>
      </w:r>
    </w:p>
    <w:p>
      <w:pPr>
        <w:pStyle w:val="18"/>
      </w:pPr>
      <w:r>
        <w:t>6、参与县委关于党校（行政学校）工作政策以及干部培训计划的制定工作。</w:t>
      </w:r>
    </w:p>
    <w:p>
      <w:pPr>
        <w:pStyle w:val="18"/>
      </w:pPr>
      <w:r>
        <w:t>7、对党校教师队伍的师资培训。</w:t>
      </w:r>
    </w:p>
    <w:p>
      <w:pPr>
        <w:pStyle w:val="18"/>
      </w:pPr>
      <w:r>
        <w:t>8、完成县委和政府及其他部门交办的各项工作任务。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中共无极县委党校本级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按照预算管理有关规定，目前部门预算的编制实行综合预算管理，即全部收入和支出都反映在预算中。中共无极县委党校机关及所属事业单位的收支包含在部门预算中。</w:t>
      </w:r>
    </w:p>
    <w:p>
      <w:pPr>
        <w:pStyle w:val="19"/>
      </w:pPr>
      <w:r>
        <w:t>1、收入说明</w:t>
      </w:r>
    </w:p>
    <w:p>
      <w:pPr>
        <w:pStyle w:val="19"/>
      </w:pPr>
      <w:r>
        <w:t>反映本部门当年全部收入。2026年预算收入216.00万元，其中：一般公共预算收入216.00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党校年度部门预算中支出预算的总体情况。2026年支出预算216.00万元，其中基本支出216.00万元，包括人员经费206.30万元和日常公用经费9.70万元；项目支出0.00万元，主要为今年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2026年预算收支安排216.00万元，较2025年预算减少8.10万元，其中：基本支出减少8.10万元，主要为人员相关经费减少项目支出增加0.00万元，主要为无项目支出。预计下年使用的单位资金结余增加0.00万元。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2026年，我部门机关运行经费共计安排9.70万元，主要用于日常维修、办公用房水电费、办公用房取暖费、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因公出国（境）费、公务用车运行维护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2"/>
      </w:pPr>
      <w:r>
        <w:t>通过不断提高教学水平，完善教学设施，优化教学布局，丰富教学手段，培养德才兼备的优秀党员领导干部，有效地提高干部的政策理论水平，提高党员干部的思想觉悟和执政能力。</w:t>
      </w:r>
    </w:p>
    <w:p>
      <w:pPr>
        <w:pStyle w:val="22"/>
      </w:pPr>
      <w:r>
        <w:t>（一）培训教育</w:t>
      </w:r>
    </w:p>
    <w:p>
      <w:pPr>
        <w:pStyle w:val="22"/>
      </w:pPr>
      <w:r>
        <w:t>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w:t>
      </w:r>
    </w:p>
    <w:p>
      <w:pPr>
        <w:pStyle w:val="22"/>
      </w:pPr>
      <w:r>
        <w:t>(二）理论研究和决策咨询</w:t>
      </w:r>
    </w:p>
    <w:p>
      <w:pPr>
        <w:pStyle w:val="22"/>
      </w:pPr>
      <w:r>
        <w:t>以校刊《决策参考》为平台，深入调查，开展对马克思主义中国化最新成果、全县重大现实问题及战略问题的研究，为推进党的理论创新服务，为县委、县政府及有关部门决策咨询服务。</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3"/>
        <w:ind w:left="0" w:leftChars="0" w:firstLine="560" w:firstLineChars="200"/>
      </w:pPr>
      <w:r>
        <w:rPr>
          <w:rFonts w:hint="eastAsia"/>
          <w:lang w:eastAsia="zh-CN"/>
        </w:rPr>
        <w:t>（</w:t>
      </w:r>
      <w:r>
        <w:t>一</w:t>
      </w:r>
      <w:r>
        <w:rPr>
          <w:rFonts w:hint="eastAsia"/>
          <w:lang w:eastAsia="zh-CN"/>
        </w:rPr>
        <w:t>）</w:t>
      </w:r>
      <w:r>
        <w:t>培训教育</w:t>
      </w:r>
    </w:p>
    <w:p>
      <w:pPr>
        <w:pStyle w:val="23"/>
      </w:pPr>
      <w:r>
        <w:t>1、组织培训班</w:t>
      </w:r>
    </w:p>
    <w:p>
      <w:pPr>
        <w:pStyle w:val="23"/>
      </w:pPr>
      <w:r>
        <w:t>绩效目标：</w:t>
      </w:r>
    </w:p>
    <w:p>
      <w:pPr>
        <w:pStyle w:val="23"/>
      </w:pPr>
      <w:r>
        <w:t>通过外请专家授课，开拓学员思路；通过现场教学、情景教学、案例教学，有效提高培训质量，提高学员解决实际问题的能力。</w:t>
      </w:r>
    </w:p>
    <w:p>
      <w:pPr>
        <w:pStyle w:val="23"/>
      </w:pPr>
      <w:r>
        <w:t>绩效指标：</w:t>
      </w:r>
    </w:p>
    <w:p>
      <w:pPr>
        <w:pStyle w:val="23"/>
      </w:pPr>
      <w:r>
        <w:t>（1）学员教学满意率。优≥95%、良≥90%、中≥85%、差＜85%</w:t>
      </w:r>
    </w:p>
    <w:p>
      <w:pPr>
        <w:pStyle w:val="23"/>
      </w:pPr>
      <w:r>
        <w:t>（2）特色教学百分比。优≥25%、良≥20%、中≥15%、差＜15%</w:t>
      </w:r>
    </w:p>
    <w:p>
      <w:pPr>
        <w:pStyle w:val="23"/>
      </w:pPr>
      <w:r>
        <w:t>（3）培训轮训工作完成率。优≥95%、良≥90%、中≥85%、差＜85%</w:t>
      </w:r>
    </w:p>
    <w:p>
      <w:pPr>
        <w:pStyle w:val="23"/>
      </w:pPr>
      <w:r>
        <w:t>2、教学和师资建设</w:t>
      </w:r>
    </w:p>
    <w:p>
      <w:pPr>
        <w:pStyle w:val="23"/>
      </w:pPr>
      <w:r>
        <w:t>绩效目标：</w:t>
      </w:r>
    </w:p>
    <w:p>
      <w:pPr>
        <w:pStyle w:val="23"/>
      </w:pPr>
      <w:r>
        <w:t>通过重点培养和建设，形成几门有党校特色的优势学科。</w:t>
      </w:r>
    </w:p>
    <w:p>
      <w:pPr>
        <w:pStyle w:val="23"/>
      </w:pPr>
      <w:r>
        <w:t>绩效指标：</w:t>
      </w:r>
    </w:p>
    <w:p>
      <w:pPr>
        <w:pStyle w:val="23"/>
      </w:pPr>
      <w:r>
        <w:t>（1）培训满意度。优≥95%、良≥90%、良≥85%、差＜85%</w:t>
      </w:r>
    </w:p>
    <w:p>
      <w:pPr>
        <w:pStyle w:val="23"/>
      </w:pPr>
      <w:r>
        <w:t>（2）特色教案比率。优≥25%、良≥20%、中≥15%、差＜15%</w:t>
      </w:r>
    </w:p>
    <w:p>
      <w:pPr>
        <w:pStyle w:val="23"/>
      </w:pPr>
      <w:r>
        <w:t>3、教学事务管理</w:t>
      </w:r>
    </w:p>
    <w:p>
      <w:pPr>
        <w:pStyle w:val="23"/>
      </w:pPr>
      <w:r>
        <w:t>绩效目标：</w:t>
      </w:r>
    </w:p>
    <w:p>
      <w:pPr>
        <w:pStyle w:val="23"/>
      </w:pPr>
      <w:r>
        <w:t>通过严格的行政后勤管理，为学员培训和教学科研活动创造良好的硬件环境和后勤保障。</w:t>
      </w:r>
    </w:p>
    <w:p>
      <w:pPr>
        <w:pStyle w:val="23"/>
      </w:pPr>
      <w:r>
        <w:t>绩效指标：</w:t>
      </w:r>
    </w:p>
    <w:p>
      <w:pPr>
        <w:pStyle w:val="23"/>
      </w:pPr>
      <w:r>
        <w:t>（1）受训学员后勤管理综合满意率。优≥95%、良≥90%、中≥85%、差＜85%</w:t>
      </w:r>
    </w:p>
    <w:p>
      <w:pPr>
        <w:pStyle w:val="23"/>
      </w:pPr>
      <w:r>
        <w:t>（2）后勤保障事务完成率。优≥95%、良≥90%、中≥85%、差＜85%</w:t>
      </w:r>
    </w:p>
    <w:p>
      <w:pPr>
        <w:pStyle w:val="23"/>
      </w:pPr>
      <w:r>
        <w:t>（二）理论研究和决策咨询</w:t>
      </w:r>
    </w:p>
    <w:p>
      <w:pPr>
        <w:pStyle w:val="23"/>
      </w:pPr>
      <w:r>
        <w:t>1、理论研究</w:t>
      </w:r>
    </w:p>
    <w:p>
      <w:pPr>
        <w:pStyle w:val="23"/>
      </w:pPr>
      <w:r>
        <w:t>绩效目标：</w:t>
      </w:r>
    </w:p>
    <w:p>
      <w:pPr>
        <w:pStyle w:val="23"/>
      </w:pPr>
      <w:r>
        <w:t>推动教研人员的科研交流和理论探索，产出高质量的理论成果。</w:t>
      </w:r>
    </w:p>
    <w:p>
      <w:pPr>
        <w:pStyle w:val="23"/>
      </w:pPr>
      <w:r>
        <w:t>绩效指标：科研课题立项数。优≥3、良≥2、中≥1、差＜1</w:t>
      </w:r>
    </w:p>
    <w:p>
      <w:pPr>
        <w:pStyle w:val="23"/>
      </w:pPr>
      <w:r>
        <w:t>2、决策咨询和政策宣讲</w:t>
      </w:r>
    </w:p>
    <w:p>
      <w:pPr>
        <w:pStyle w:val="23"/>
      </w:pPr>
      <w:r>
        <w:t>绩效目标：</w:t>
      </w:r>
    </w:p>
    <w:p>
      <w:pPr>
        <w:pStyle w:val="23"/>
      </w:pPr>
      <w:r>
        <w:t>通过决策咨询研究，设立一批有质量的决策服务项目，拿出一批优秀咨询成果，为领导决策咨询服务，发挥思想库和智囊团的作用。</w:t>
      </w:r>
    </w:p>
    <w:p>
      <w:pPr>
        <w:pStyle w:val="23"/>
      </w:pPr>
      <w:r>
        <w:t>绩效指标：</w:t>
      </w:r>
    </w:p>
    <w:p>
      <w:pPr>
        <w:pStyle w:val="23"/>
      </w:pPr>
      <w:r>
        <w:t>（1）决策咨询研究工作完成率。优≥95%、良≥90%、中≥85%、差＜85%</w:t>
      </w:r>
    </w:p>
    <w:p>
      <w:pPr>
        <w:pStyle w:val="23"/>
      </w:pPr>
      <w:r>
        <w:t>（2）宣讲满意度。优≥95%、良≥90%、中≥85%、差＜85%</w:t>
      </w:r>
    </w:p>
    <w:p>
      <w:pPr>
        <w:pStyle w:val="23"/>
      </w:pPr>
      <w:r>
        <w:t>（3）对外宣讲次数。优≥10、良≥8、中≥5、差＜5</w:t>
      </w:r>
    </w:p>
    <w:p>
      <w:pPr>
        <w:pStyle w:val="24"/>
      </w:pPr>
      <w:r>
        <w:t>三、工作保障措施</w:t>
      </w:r>
    </w:p>
    <w:p>
      <w:pPr>
        <w:pStyle w:val="24"/>
      </w:pPr>
      <w:r>
        <w:t>（一）完善制度建设。制定完善预算绩效管理制度、资金管理办法、工作保障制度等各项规章制度，为全年预算教学目标的实现奠定制度基础。</w:t>
      </w:r>
    </w:p>
    <w:p>
      <w:pPr>
        <w:pStyle w:val="24"/>
      </w:pPr>
      <w:r>
        <w:t>（二）加强支出管理。通过优化支出结构、编细编实预算、及时支付资金等措施，确保支出进度达标。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（五）规范财务资产管理。完善财务管理制度，严格审批程序，加强固定资产登记，做到支出合理，物尽其用。</w:t>
      </w:r>
    </w:p>
    <w:p>
      <w:pPr>
        <w:pStyle w:val="24"/>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pStyle w:val="24"/>
      </w:pP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281中共无极县委党校</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中共无极县委党校（含所属单位）上年末固定资产金额为0.00万元（详见下表）。本年度拟购置固定资产总额为0.00万元，已按要求列入政府采购预算，详见政府采购预算表。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281中共无极县委党校</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566A70"/>
    <w:multiLevelType w:val="singleLevel"/>
    <w:tmpl w:val="37566A7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3B65B7"/>
    <w:rsid w:val="44CC67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1</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2026-02-27T11:06:00Z</dcterms:created>
  <dc:creator>hp</dc:creator>
  <cp:lastModifiedBy>hp</cp:lastModifiedBy>
  <dcterms:modified xsi:type="dcterms:W3CDTF">2026-02-27T03:19:49Z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