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一、中共无极县委机构编制委员会办公室本级收支预算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一、中共无极县委机构编制委员会办公室本级收支预算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173.41</w:t>
            </w:r>
          </w:p>
        </w:tc>
        <w:tc>
          <w:tcPr>
            <w:tcW w:w="4535" w:type="dxa"/>
            <w:vAlign w:val="center"/>
          </w:tcPr>
          <w:p>
            <w:pPr>
              <w:pStyle w:val="12"/>
            </w:pPr>
            <w:r>
              <w:t>一、一般公共服务支出</w:t>
            </w:r>
          </w:p>
        </w:tc>
        <w:tc>
          <w:tcPr>
            <w:tcW w:w="2126" w:type="dxa"/>
            <w:vAlign w:val="center"/>
          </w:tcPr>
          <w:p>
            <w:pPr>
              <w:pStyle w:val="11"/>
            </w:pPr>
            <w:r>
              <w:t>148.41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173.41</w:t>
            </w:r>
          </w:p>
        </w:tc>
        <w:tc>
          <w:tcPr>
            <w:tcW w:w="4535" w:type="dxa"/>
            <w:vAlign w:val="center"/>
          </w:tcPr>
          <w:p>
            <w:pPr>
              <w:pStyle w:val="14"/>
            </w:pPr>
            <w:r>
              <w:t>本年支出合计</w:t>
            </w:r>
          </w:p>
        </w:tc>
        <w:tc>
          <w:tcPr>
            <w:tcW w:w="2126" w:type="dxa"/>
            <w:vAlign w:val="center"/>
          </w:tcPr>
          <w:p>
            <w:pPr>
              <w:pStyle w:val="15"/>
            </w:pPr>
            <w:r>
              <w:t>173.41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173.41</w:t>
            </w:r>
          </w:p>
        </w:tc>
        <w:tc>
          <w:tcPr>
            <w:tcW w:w="4535" w:type="dxa"/>
            <w:vAlign w:val="center"/>
          </w:tcPr>
          <w:p>
            <w:pPr>
              <w:pStyle w:val="14"/>
            </w:pPr>
            <w:r>
              <w:t>支出总计</w:t>
            </w:r>
          </w:p>
        </w:tc>
        <w:tc>
          <w:tcPr>
            <w:tcW w:w="2126" w:type="dxa"/>
            <w:vAlign w:val="center"/>
          </w:tcPr>
          <w:p>
            <w:pPr>
              <w:pStyle w:val="15"/>
            </w:pPr>
            <w:r>
              <w:t>173.41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173.41</w:t>
            </w:r>
          </w:p>
        </w:tc>
        <w:tc>
          <w:tcPr>
            <w:tcW w:w="1134" w:type="dxa"/>
            <w:vAlign w:val="center"/>
          </w:tcPr>
          <w:p>
            <w:pPr>
              <w:pStyle w:val="15"/>
            </w:pPr>
            <w:r>
              <w:t>173.41</w:t>
            </w:r>
          </w:p>
        </w:tc>
        <w:tc>
          <w:tcPr>
            <w:tcW w:w="1134" w:type="dxa"/>
            <w:vAlign w:val="center"/>
          </w:tcPr>
          <w:p>
            <w:pPr>
              <w:pStyle w:val="15"/>
            </w:pPr>
            <w:r>
              <w:t>173.41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173.41</w:t>
            </w:r>
          </w:p>
        </w:tc>
        <w:tc>
          <w:tcPr>
            <w:tcW w:w="1361" w:type="dxa"/>
            <w:vAlign w:val="center"/>
          </w:tcPr>
          <w:p>
            <w:pPr>
              <w:pStyle w:val="15"/>
            </w:pPr>
            <w:r>
              <w:t>173.41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148.41</w:t>
            </w:r>
          </w:p>
        </w:tc>
        <w:tc>
          <w:tcPr>
            <w:tcW w:w="1361" w:type="dxa"/>
            <w:vAlign w:val="center"/>
          </w:tcPr>
          <w:p>
            <w:pPr>
              <w:pStyle w:val="11"/>
            </w:pPr>
            <w:r>
              <w:t>148.41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148.41</w:t>
            </w:r>
          </w:p>
        </w:tc>
        <w:tc>
          <w:tcPr>
            <w:tcW w:w="1361" w:type="dxa"/>
            <w:vAlign w:val="center"/>
          </w:tcPr>
          <w:p>
            <w:pPr>
              <w:pStyle w:val="11"/>
            </w:pPr>
            <w:r>
              <w:t>148.41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5" w:type="dxa"/>
            <w:vAlign w:val="center"/>
          </w:tcPr>
          <w:p>
            <w:pPr>
              <w:pStyle w:val="12"/>
            </w:pPr>
            <w:r>
              <w:t>行政运行</w:t>
            </w:r>
          </w:p>
        </w:tc>
        <w:tc>
          <w:tcPr>
            <w:tcW w:w="1361" w:type="dxa"/>
            <w:vAlign w:val="center"/>
          </w:tcPr>
          <w:p>
            <w:pPr>
              <w:pStyle w:val="11"/>
            </w:pPr>
            <w:r>
              <w:t>148.41</w:t>
            </w:r>
          </w:p>
        </w:tc>
        <w:tc>
          <w:tcPr>
            <w:tcW w:w="1361" w:type="dxa"/>
            <w:vAlign w:val="center"/>
          </w:tcPr>
          <w:p>
            <w:pPr>
              <w:pStyle w:val="11"/>
            </w:pPr>
            <w:r>
              <w:t>148.41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17.50</w:t>
            </w:r>
          </w:p>
        </w:tc>
        <w:tc>
          <w:tcPr>
            <w:tcW w:w="1361" w:type="dxa"/>
            <w:vAlign w:val="center"/>
          </w:tcPr>
          <w:p>
            <w:pPr>
              <w:pStyle w:val="11"/>
            </w:pPr>
            <w:r>
              <w:t>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17.50</w:t>
            </w:r>
          </w:p>
        </w:tc>
        <w:tc>
          <w:tcPr>
            <w:tcW w:w="1361" w:type="dxa"/>
            <w:vAlign w:val="center"/>
          </w:tcPr>
          <w:p>
            <w:pPr>
              <w:pStyle w:val="11"/>
            </w:pPr>
            <w:r>
              <w:t>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17.50</w:t>
            </w:r>
          </w:p>
        </w:tc>
        <w:tc>
          <w:tcPr>
            <w:tcW w:w="1361" w:type="dxa"/>
            <w:vAlign w:val="center"/>
          </w:tcPr>
          <w:p>
            <w:pPr>
              <w:pStyle w:val="11"/>
            </w:pPr>
            <w:r>
              <w:t>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173.41</w:t>
            </w:r>
          </w:p>
        </w:tc>
        <w:tc>
          <w:tcPr>
            <w:tcW w:w="3402" w:type="dxa"/>
            <w:vAlign w:val="center"/>
          </w:tcPr>
          <w:p>
            <w:pPr>
              <w:pStyle w:val="12"/>
            </w:pPr>
            <w:r>
              <w:t>一、一般公共服务支出</w:t>
            </w:r>
          </w:p>
        </w:tc>
        <w:tc>
          <w:tcPr>
            <w:tcW w:w="1474" w:type="dxa"/>
            <w:vAlign w:val="center"/>
          </w:tcPr>
          <w:p>
            <w:pPr>
              <w:pStyle w:val="11"/>
            </w:pPr>
            <w:r>
              <w:t>148.41</w:t>
            </w:r>
          </w:p>
        </w:tc>
        <w:tc>
          <w:tcPr>
            <w:tcW w:w="1474" w:type="dxa"/>
            <w:vAlign w:val="center"/>
          </w:tcPr>
          <w:p>
            <w:pPr>
              <w:pStyle w:val="11"/>
            </w:pPr>
            <w:r>
              <w:t>148.41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17.50</w:t>
            </w:r>
          </w:p>
        </w:tc>
        <w:tc>
          <w:tcPr>
            <w:tcW w:w="1474" w:type="dxa"/>
            <w:vAlign w:val="center"/>
          </w:tcPr>
          <w:p>
            <w:pPr>
              <w:pStyle w:val="11"/>
            </w:pPr>
            <w:r>
              <w:t>17.50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7.50</w:t>
            </w:r>
          </w:p>
        </w:tc>
        <w:tc>
          <w:tcPr>
            <w:tcW w:w="1474" w:type="dxa"/>
            <w:vAlign w:val="center"/>
          </w:tcPr>
          <w:p>
            <w:pPr>
              <w:pStyle w:val="11"/>
            </w:pPr>
            <w:r>
              <w:t>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173.41</w:t>
            </w:r>
          </w:p>
        </w:tc>
        <w:tc>
          <w:tcPr>
            <w:tcW w:w="3402" w:type="dxa"/>
            <w:vAlign w:val="center"/>
          </w:tcPr>
          <w:p>
            <w:pPr>
              <w:pStyle w:val="14"/>
            </w:pPr>
            <w:r>
              <w:t>本年支出合计</w:t>
            </w:r>
          </w:p>
        </w:tc>
        <w:tc>
          <w:tcPr>
            <w:tcW w:w="1474" w:type="dxa"/>
            <w:vAlign w:val="center"/>
          </w:tcPr>
          <w:p>
            <w:pPr>
              <w:pStyle w:val="15"/>
            </w:pPr>
            <w:r>
              <w:t>173.41</w:t>
            </w:r>
          </w:p>
        </w:tc>
        <w:tc>
          <w:tcPr>
            <w:tcW w:w="1474" w:type="dxa"/>
            <w:vAlign w:val="center"/>
          </w:tcPr>
          <w:p>
            <w:pPr>
              <w:pStyle w:val="15"/>
            </w:pPr>
            <w:r>
              <w:t>173.41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173.41</w:t>
            </w:r>
          </w:p>
        </w:tc>
        <w:tc>
          <w:tcPr>
            <w:tcW w:w="3402" w:type="dxa"/>
            <w:vAlign w:val="center"/>
          </w:tcPr>
          <w:p>
            <w:pPr>
              <w:pStyle w:val="14"/>
            </w:pPr>
            <w:r>
              <w:t>支出总计</w:t>
            </w:r>
          </w:p>
        </w:tc>
        <w:tc>
          <w:tcPr>
            <w:tcW w:w="1474" w:type="dxa"/>
            <w:vAlign w:val="center"/>
          </w:tcPr>
          <w:p>
            <w:pPr>
              <w:pStyle w:val="15"/>
            </w:pPr>
            <w:r>
              <w:t>173.41</w:t>
            </w:r>
          </w:p>
        </w:tc>
        <w:tc>
          <w:tcPr>
            <w:tcW w:w="1474" w:type="dxa"/>
            <w:vAlign w:val="center"/>
          </w:tcPr>
          <w:p>
            <w:pPr>
              <w:pStyle w:val="15"/>
            </w:pPr>
            <w:r>
              <w:t>173.41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173.41</w:t>
            </w:r>
          </w:p>
        </w:tc>
        <w:tc>
          <w:tcPr>
            <w:tcW w:w="2551" w:type="dxa"/>
            <w:vAlign w:val="center"/>
          </w:tcPr>
          <w:p>
            <w:pPr>
              <w:pStyle w:val="15"/>
            </w:pPr>
            <w:r>
              <w:t>173.41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148.41</w:t>
            </w:r>
          </w:p>
        </w:tc>
        <w:tc>
          <w:tcPr>
            <w:tcW w:w="2551" w:type="dxa"/>
            <w:vAlign w:val="center"/>
          </w:tcPr>
          <w:p>
            <w:pPr>
              <w:pStyle w:val="11"/>
            </w:pPr>
            <w:r>
              <w:t>148.41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148.41</w:t>
            </w:r>
          </w:p>
        </w:tc>
        <w:tc>
          <w:tcPr>
            <w:tcW w:w="2551" w:type="dxa"/>
            <w:vAlign w:val="center"/>
          </w:tcPr>
          <w:p>
            <w:pPr>
              <w:pStyle w:val="11"/>
            </w:pPr>
            <w:r>
              <w:t>148.41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148.41</w:t>
            </w:r>
          </w:p>
        </w:tc>
        <w:tc>
          <w:tcPr>
            <w:tcW w:w="2551" w:type="dxa"/>
            <w:vAlign w:val="center"/>
          </w:tcPr>
          <w:p>
            <w:pPr>
              <w:pStyle w:val="11"/>
            </w:pPr>
            <w:r>
              <w:t>148.41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173.41</w:t>
            </w:r>
          </w:p>
        </w:tc>
        <w:tc>
          <w:tcPr>
            <w:tcW w:w="2551" w:type="dxa"/>
            <w:vAlign w:val="center"/>
          </w:tcPr>
          <w:p>
            <w:pPr>
              <w:pStyle w:val="15"/>
            </w:pPr>
            <w:r>
              <w:t>156.90</w:t>
            </w:r>
          </w:p>
        </w:tc>
        <w:tc>
          <w:tcPr>
            <w:tcW w:w="2551" w:type="dxa"/>
            <w:vAlign w:val="center"/>
          </w:tcPr>
          <w:p>
            <w:pPr>
              <w:pStyle w:val="15"/>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146.30</w:t>
            </w:r>
          </w:p>
        </w:tc>
        <w:tc>
          <w:tcPr>
            <w:tcW w:w="2551" w:type="dxa"/>
            <w:vAlign w:val="center"/>
          </w:tcPr>
          <w:p>
            <w:pPr>
              <w:pStyle w:val="11"/>
            </w:pPr>
            <w:r>
              <w:t>146.30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17.60</w:t>
            </w:r>
          </w:p>
        </w:tc>
        <w:tc>
          <w:tcPr>
            <w:tcW w:w="2551" w:type="dxa"/>
            <w:vAlign w:val="center"/>
          </w:tcPr>
          <w:p>
            <w:pPr>
              <w:pStyle w:val="11"/>
            </w:pPr>
            <w:r>
              <w:t>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12.20</w:t>
            </w:r>
          </w:p>
        </w:tc>
        <w:tc>
          <w:tcPr>
            <w:tcW w:w="2551" w:type="dxa"/>
            <w:vAlign w:val="center"/>
          </w:tcPr>
          <w:p>
            <w:pPr>
              <w:pStyle w:val="11"/>
            </w:pPr>
            <w:r>
              <w:t>12.20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29.50</w:t>
            </w:r>
          </w:p>
        </w:tc>
        <w:tc>
          <w:tcPr>
            <w:tcW w:w="2551" w:type="dxa"/>
            <w:vAlign w:val="center"/>
          </w:tcPr>
          <w:p>
            <w:pPr>
              <w:pStyle w:val="11"/>
            </w:pPr>
            <w:r>
              <w:t>29.50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16.51</w:t>
            </w:r>
          </w:p>
        </w:tc>
        <w:tc>
          <w:tcPr>
            <w:tcW w:w="2551" w:type="dxa"/>
            <w:vAlign w:val="center"/>
          </w:tcPr>
          <w:p>
            <w:pPr>
              <w:pStyle w:val="11"/>
            </w:pPr>
          </w:p>
        </w:tc>
        <w:tc>
          <w:tcPr>
            <w:tcW w:w="2551" w:type="dxa"/>
            <w:vAlign w:val="center"/>
          </w:tcPr>
          <w:p>
            <w:pPr>
              <w:pStyle w:val="11"/>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中共无极县委机构编制委员会办公室本级2026年单位预算信息公开情况说明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按照《中华人民共和国预算法》、《地方预决算公开操作规程》和《关于进一步推进预算公开工作的实施意见》规定，现将中共无极县委机构编制委员会办公室本级2026年单位预算公开如下：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一）贯彻落实党中央和省委、市委、县委关于行政管理体制和机构改革以及机构编制管理的政策法规；管理和监督全县纪委监委机关及其派驻纪检监察组、县委各机关、县人大机关、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pStyle w:val="17"/>
      </w:pPr>
      <w:r>
        <w:t>（二）组织拟订全县行政管理体制改革和县委、县政府机构改革方案并组织实施；负责全县行政管理体制和机构改革以及机构编制管理工作；负责行政执法体制改革工作。</w:t>
      </w:r>
    </w:p>
    <w:p>
      <w:pPr>
        <w:pStyle w:val="17"/>
      </w:pPr>
      <w: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pStyle w:val="17"/>
      </w:pPr>
      <w: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pStyle w:val="17"/>
      </w:pPr>
      <w:r>
        <w:t>（六）负责全县党政群机关统一社会信用代码赋码管理工作，负责全县事业单位法人登记管理和监督检查工作。</w:t>
      </w:r>
    </w:p>
    <w:p>
      <w:pPr>
        <w:pStyle w:val="17"/>
      </w:pPr>
      <w:r>
        <w:t>（七）负责开发区（园区）行政管理体制改革工作。组织拟订开发区（园区）机构编制管理办法并组织实施；负责开发区（园区）职能配置、机构设置、人员编制和领导职数审核及上报工作。</w:t>
      </w:r>
    </w:p>
    <w:p>
      <w:pPr>
        <w:pStyle w:val="17"/>
      </w:pPr>
      <w:r>
        <w:t>（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pStyle w:val="17"/>
      </w:pPr>
      <w:r>
        <w:t>（九）负责跟踪评估、监督检查全县各级行政、事业单位管理体制改革、机构改革及机构编制执行情况；负责受理违反机构编制法规、纪律的检举、控告和投诉，对违反机构编制法规、纪律问题进行调查处理。</w:t>
      </w:r>
    </w:p>
    <w:p>
      <w:pPr>
        <w:pStyle w:val="17"/>
      </w:pPr>
      <w:r>
        <w:t>（十）负责全县机构编制电子政务和信息化工作。负责全县机构编制统计工作；负责机构编制网站的管理、使用和维护；指导全县党政群机关、事业单位和其他非营利性单位网上名称管理工作。</w:t>
      </w:r>
    </w:p>
    <w:p>
      <w:pPr>
        <w:pStyle w:val="17"/>
      </w:pPr>
      <w:r>
        <w:t>（十一）完成县委、县政府和县委机构编制委员会交办的其他任务。</w:t>
      </w:r>
    </w:p>
    <w:p>
      <w:pPr>
        <w:pStyle w:val="17"/>
      </w:pPr>
      <w:r>
        <w:t>（十二）有关职责分工</w:t>
      </w:r>
    </w:p>
    <w:p>
      <w:pPr>
        <w:pStyle w:val="17"/>
      </w:pPr>
      <w:r>
        <w:t>县委编办负责全县公益类事业单位管理体制改革工作。县发展和改革局负责生产经营类事业单位管理体制改革工作。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173.41万元，其中：一般公共预算收入173.41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机构编制委员会办公室本级年度单位预算中支出预算的总体情况。2026年支出预算173.41万元，其中基本支出173.41万元，包括人员经费156.90万元和日常公用经费16.51万元；项目支出0.00万元，主要为无。；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2026年预算收支安排173.41万元，较2025年预算增加10.01万元，其中：基本支出增加10.01万元，主要为人员增加和调资等。项目支出增加0.00万元，主要为无。。预计下年使用的单位资金结余增加0.00万元。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2026年，我单位机关运行经费共计安排16.51万元，主要用于日常维修、办公用房水电费、办公用房取暖费、办公用房物业管理费等日常运行支出。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增加2.91万元，增减变化的主要原因是增加公务用车1辆。</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党中央和省委、市委、县委关于行政管理体制和机构改革以及机构编制管理的政策法规；管理和监督全县纪委监委机关及其派驻纪检监察组、县委各机关、县人大机关、县政府各部门、县政协机关、民主党派县级机关、人民团体县级机关，以及事业单位机构编制工作。组织开展行政管理体制改革、事业单位管理体制改革以及机构编制工作基础性、创新性和前瞻性研究。做好事业单位分类工作；做好各部门所属事业单位分类改革工作；规范事业单位台账管理。</w:t>
      </w:r>
    </w:p>
    <w:p>
      <w:pPr>
        <w:pStyle w:val="22"/>
      </w:pPr>
      <w:r>
        <w:t>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负责开发区（园区）行政管理体制改革工作。组织拟订开发区（园区）机构编制管理办法并组织实施；负责开发区（园区）职能配置、机构设置、人员编制和领导职数审核及上报工作。负责全县机构编制统计工作；负责机构编制网站的管理、使用和维护；指导全县党政群机关、事业单位和其他非营利性单位网上名称管理工作。</w:t>
      </w:r>
    </w:p>
    <w:p>
      <w:pPr>
        <w:pStyle w:val="22"/>
      </w:pPr>
      <w:r>
        <w:t>负责全县党政群机关统一社会信用代码赋码管理工作，负责全县事业单位法人登记管理和监督检查工作。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负责跟踪评估、监督检查全县各级行政、事业单位管理体制改革、机构改革及机构编制执行情况；负责受理违反机构编制法规、纪律的检举、控告和投诉，对违反机构编制法规、纪律问题进行调查处理。</w:t>
      </w:r>
    </w:p>
    <w:p>
      <w:pPr>
        <w:pStyle w:val="22"/>
      </w:pPr>
      <w:r>
        <w:t>管理我县政务公益域名和网络红页，负责机构编制对外网页的维护管理。</w:t>
      </w:r>
    </w:p>
    <w:p>
      <w:pPr>
        <w:pStyle w:val="22"/>
      </w:pPr>
      <w:r>
        <w:t>做好机关人员管理及保障工作，为充分发挥职能作用提供有效保障。加强机关党组织建设，严格组织生活制度，丰富党建活动内容，做好党员发展、教育、管理和党务干部的教育培训工作，充分发挥党组织的战斗堡垒作用和党员的先锋模范作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一、管理体制改革</w:t>
      </w:r>
    </w:p>
    <w:p>
      <w:pPr>
        <w:pStyle w:val="23"/>
      </w:pPr>
      <w:r>
        <w:t>绩效目标：拟订党政群机关机构改革方案；组织拟订全市事业单位管理体制改革和机构改革方案；组织拟订开发区机构编制管理办法并组织实施。</w:t>
      </w:r>
    </w:p>
    <w:p>
      <w:pPr>
        <w:pStyle w:val="23"/>
      </w:pPr>
      <w:r>
        <w:t>绩效指标：改革方案获得上级批复。</w:t>
      </w:r>
    </w:p>
    <w:p>
      <w:pPr>
        <w:pStyle w:val="23"/>
      </w:pPr>
      <w:r>
        <w:t>二、机构编制管理</w:t>
      </w:r>
    </w:p>
    <w:p>
      <w:pPr>
        <w:pStyle w:val="23"/>
      </w:pPr>
      <w:r>
        <w:t>绩效目标：拟定党政群机关“三定”规定；拟定事业单位“三定”规定；坚决落实财政供养人员只减不增要求；创新机构编制动态管理；进一步严格实名制管理和编制使用核准制度；加强机构编制监督检查。</w:t>
      </w:r>
    </w:p>
    <w:p>
      <w:pPr>
        <w:pStyle w:val="23"/>
      </w:pPr>
      <w:r>
        <w:t>绩效指标：按照“优化协同高效”的原则，做好机构编制管理工作。</w:t>
      </w:r>
    </w:p>
    <w:p>
      <w:pPr>
        <w:pStyle w:val="23"/>
      </w:pPr>
      <w:r>
        <w:t>三、行政事业单位登记管理</w:t>
      </w:r>
    </w:p>
    <w:p>
      <w:pPr>
        <w:pStyle w:val="23"/>
      </w:pPr>
      <w:r>
        <w:t>绩效目标： 做好全市党政群机关统一社会信用代码赋码管理工作；组织实施事业单位法人年度报告公开和法人治理结构工作。</w:t>
      </w:r>
    </w:p>
    <w:p>
      <w:pPr>
        <w:pStyle w:val="23"/>
      </w:pPr>
    </w:p>
    <w:p>
      <w:pPr>
        <w:pStyle w:val="23"/>
      </w:pPr>
      <w:r>
        <w:t>绩效指标： 3月底前完成上一年度事业单位法人年度报告工作，并及时进行公示；按照上级文件要求和赋码规则完成全部赋码任务。</w:t>
      </w:r>
    </w:p>
    <w:p>
      <w:pPr>
        <w:pStyle w:val="23"/>
      </w:pPr>
      <w:r>
        <w:t>四、党政机关、事业单位网上名称管理</w:t>
      </w:r>
    </w:p>
    <w:p>
      <w:pPr>
        <w:pStyle w:val="23"/>
      </w:pPr>
      <w:r>
        <w:t>绩效目标：完成全市党政群机关、事业单位和其他非营利性单位网上名称管理工作。</w:t>
      </w:r>
    </w:p>
    <w:p>
      <w:pPr>
        <w:pStyle w:val="23"/>
      </w:pPr>
      <w:r>
        <w:t>绩效指标：做好当年网上名称管理工作。</w:t>
      </w:r>
    </w:p>
    <w:p>
      <w:pPr>
        <w:pStyle w:val="23"/>
      </w:pPr>
      <w:r>
        <w:t>五、编办综合事务管理</w:t>
      </w:r>
    </w:p>
    <w:p>
      <w:pPr>
        <w:pStyle w:val="23"/>
      </w:pPr>
      <w:r>
        <w:t>绩效目标：做好机关人员管理及保障工作，为充分发挥职能作用提供有效保障。</w:t>
      </w:r>
    </w:p>
    <w:p>
      <w:pPr>
        <w:pStyle w:val="23"/>
      </w:pPr>
      <w:r>
        <w:t>绩效指标：完成各项工作任务。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完善制度建设。（包括制定完善预算绩效管理制度、资金管理办法、工作保障制度等，为全年预算绩效目标的实现奠定制度基础。）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rPr>
          <w:rFonts w:hint="eastAsia" w:eastAsia="方正仿宋_GBK"/>
          <w:lang w:eastAsia="zh-CN"/>
        </w:rPr>
        <w:sectPr>
          <w:pgSz w:w="16840" w:h="11900" w:orient="landscape"/>
          <w:pgMar w:top="1361" w:right="1020" w:bottom="1361" w:left="1020" w:header="720" w:footer="720" w:gutter="0"/>
        </w:sectPr>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w:t>
      </w:r>
      <w:r>
        <w:rPr>
          <w:rFonts w:hint="eastAsia"/>
          <w:lang w:eastAsia="zh-CN"/>
        </w:rPr>
        <w:t>有效。</w:t>
      </w:r>
    </w:p>
    <w:p>
      <w:pPr>
        <w:spacing w:before="10" w:after="10" w:line="240" w:lineRule="auto"/>
        <w:ind w:firstLine="640"/>
        <w:jc w:val="left"/>
        <w:outlineLvl w:val="5"/>
      </w:pPr>
      <w:bookmarkStart w:id="1" w:name="_GoBack"/>
      <w:bookmarkEnd w:id="1"/>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中共无极县委机构编制委员会办公室本级上年末固定资产金额为26.72万元（详见下表）。本年度拟购置固定资产总额为0.00万元，已按要求列入政府采购预算，详见政府采购预算表。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163</w:t>
            </w:r>
          </w:p>
        </w:tc>
        <w:tc>
          <w:tcPr>
            <w:tcW w:w="2835" w:type="dxa"/>
            <w:vAlign w:val="center"/>
          </w:tcPr>
          <w:p>
            <w:pPr>
              <w:pStyle w:val="11"/>
            </w:pPr>
            <w:r>
              <w:t>26.72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FA6F32"/>
    <w:multiLevelType w:val="singleLevel"/>
    <w:tmpl w:val="41FA6F3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E31F29"/>
    <w:rsid w:val="67C9528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TotalTime>1</TotalTime>
  <ScaleCrop>false</ScaleCrop>
  <LinksUpToDate>false</LinksUpToDate>
  <Application>WPS Office_11.1.0.8806_F1E327BC-269C-435d-A152-05C5408002CA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2026-02-25T14:25:00Z</dcterms:created>
  <dc:creator>Administrator</dc:creator>
  <cp:lastModifiedBy>Administrator</cp:lastModifiedBy>
  <dcterms:modified xsi:type="dcterms:W3CDTF">2026-02-25T06:37:21Z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2052-11.1.0.8806</vt:lpwstr>
  </property>
</Properties>
</file>