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一、中共无极县委网络安全和信息化委员会办公室本级收支预算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一、中共无极县委网络安全和信息化委员会办公室本级收支预算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142.60</w:t>
            </w:r>
          </w:p>
        </w:tc>
        <w:tc>
          <w:tcPr>
            <w:tcW w:w="4535" w:type="dxa"/>
            <w:vAlign w:val="center"/>
          </w:tcPr>
          <w:p>
            <w:pPr>
              <w:pStyle w:val="12"/>
            </w:pPr>
            <w:r>
              <w:t>一、一般公共服务支出</w:t>
            </w:r>
          </w:p>
        </w:tc>
        <w:tc>
          <w:tcPr>
            <w:tcW w:w="2126" w:type="dxa"/>
            <w:vAlign w:val="center"/>
          </w:tcPr>
          <w:p>
            <w:pPr>
              <w:pStyle w:val="11"/>
            </w:pPr>
            <w:r>
              <w:t>121.30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142.60</w:t>
            </w:r>
          </w:p>
        </w:tc>
        <w:tc>
          <w:tcPr>
            <w:tcW w:w="4535" w:type="dxa"/>
            <w:vAlign w:val="center"/>
          </w:tcPr>
          <w:p>
            <w:pPr>
              <w:pStyle w:val="14"/>
            </w:pPr>
            <w:r>
              <w:t>本年支出合计</w:t>
            </w:r>
          </w:p>
        </w:tc>
        <w:tc>
          <w:tcPr>
            <w:tcW w:w="2126" w:type="dxa"/>
            <w:vAlign w:val="center"/>
          </w:tcPr>
          <w:p>
            <w:pPr>
              <w:pStyle w:val="15"/>
            </w:pPr>
            <w:r>
              <w:t>142.60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142.60</w:t>
            </w:r>
          </w:p>
        </w:tc>
        <w:tc>
          <w:tcPr>
            <w:tcW w:w="4535" w:type="dxa"/>
            <w:vAlign w:val="center"/>
          </w:tcPr>
          <w:p>
            <w:pPr>
              <w:pStyle w:val="14"/>
            </w:pPr>
            <w:r>
              <w:t>支出总计</w:t>
            </w:r>
          </w:p>
        </w:tc>
        <w:tc>
          <w:tcPr>
            <w:tcW w:w="2126" w:type="dxa"/>
            <w:vAlign w:val="center"/>
          </w:tcPr>
          <w:p>
            <w:pPr>
              <w:pStyle w:val="15"/>
            </w:pPr>
            <w:r>
              <w:t>142.60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142.60</w:t>
            </w:r>
          </w:p>
        </w:tc>
        <w:tc>
          <w:tcPr>
            <w:tcW w:w="1134" w:type="dxa"/>
            <w:vAlign w:val="center"/>
          </w:tcPr>
          <w:p>
            <w:pPr>
              <w:pStyle w:val="15"/>
            </w:pPr>
            <w:r>
              <w:t>142.60</w:t>
            </w:r>
          </w:p>
        </w:tc>
        <w:tc>
          <w:tcPr>
            <w:tcW w:w="1134" w:type="dxa"/>
            <w:vAlign w:val="center"/>
          </w:tcPr>
          <w:p>
            <w:pPr>
              <w:pStyle w:val="15"/>
            </w:pPr>
            <w:r>
              <w:t>142.60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121.30</w:t>
            </w:r>
          </w:p>
        </w:tc>
        <w:tc>
          <w:tcPr>
            <w:tcW w:w="1134" w:type="dxa"/>
            <w:vAlign w:val="center"/>
          </w:tcPr>
          <w:p>
            <w:pPr>
              <w:pStyle w:val="11"/>
            </w:pPr>
            <w:r>
              <w:t>121.30</w:t>
            </w:r>
          </w:p>
        </w:tc>
        <w:tc>
          <w:tcPr>
            <w:tcW w:w="1134" w:type="dxa"/>
            <w:vAlign w:val="center"/>
          </w:tcPr>
          <w:p>
            <w:pPr>
              <w:pStyle w:val="11"/>
            </w:pPr>
            <w:r>
              <w:t>121.30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20137</w:t>
            </w:r>
          </w:p>
        </w:tc>
        <w:tc>
          <w:tcPr>
            <w:tcW w:w="1559" w:type="dxa"/>
            <w:vAlign w:val="center"/>
          </w:tcPr>
          <w:p>
            <w:pPr>
              <w:pStyle w:val="12"/>
            </w:pPr>
            <w:r>
              <w:t>网信事务</w:t>
            </w:r>
          </w:p>
        </w:tc>
        <w:tc>
          <w:tcPr>
            <w:tcW w:w="1134" w:type="dxa"/>
            <w:vAlign w:val="center"/>
          </w:tcPr>
          <w:p>
            <w:pPr>
              <w:pStyle w:val="11"/>
            </w:pPr>
            <w:r>
              <w:t>121.30</w:t>
            </w:r>
          </w:p>
        </w:tc>
        <w:tc>
          <w:tcPr>
            <w:tcW w:w="1134" w:type="dxa"/>
            <w:vAlign w:val="center"/>
          </w:tcPr>
          <w:p>
            <w:pPr>
              <w:pStyle w:val="11"/>
            </w:pPr>
            <w:r>
              <w:t>121.30</w:t>
            </w:r>
          </w:p>
        </w:tc>
        <w:tc>
          <w:tcPr>
            <w:tcW w:w="1134" w:type="dxa"/>
            <w:vAlign w:val="center"/>
          </w:tcPr>
          <w:p>
            <w:pPr>
              <w:pStyle w:val="11"/>
            </w:pPr>
            <w:r>
              <w:t>121.30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2013701</w:t>
            </w:r>
          </w:p>
        </w:tc>
        <w:tc>
          <w:tcPr>
            <w:tcW w:w="1559" w:type="dxa"/>
            <w:vAlign w:val="center"/>
          </w:tcPr>
          <w:p>
            <w:pPr>
              <w:pStyle w:val="12"/>
            </w:pPr>
            <w:r>
              <w:t>行政运行</w:t>
            </w:r>
          </w:p>
        </w:tc>
        <w:tc>
          <w:tcPr>
            <w:tcW w:w="1134" w:type="dxa"/>
            <w:vAlign w:val="center"/>
          </w:tcPr>
          <w:p>
            <w:pPr>
              <w:pStyle w:val="11"/>
            </w:pPr>
            <w:r>
              <w:t>121.30</w:t>
            </w:r>
          </w:p>
        </w:tc>
        <w:tc>
          <w:tcPr>
            <w:tcW w:w="1134" w:type="dxa"/>
            <w:vAlign w:val="center"/>
          </w:tcPr>
          <w:p>
            <w:pPr>
              <w:pStyle w:val="11"/>
            </w:pPr>
            <w:r>
              <w:t>121.30</w:t>
            </w:r>
          </w:p>
        </w:tc>
        <w:tc>
          <w:tcPr>
            <w:tcW w:w="1134" w:type="dxa"/>
            <w:vAlign w:val="center"/>
          </w:tcPr>
          <w:p>
            <w:pPr>
              <w:pStyle w:val="11"/>
            </w:pPr>
            <w:r>
              <w:t>121.30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142.60</w:t>
            </w:r>
          </w:p>
        </w:tc>
        <w:tc>
          <w:tcPr>
            <w:tcW w:w="1361" w:type="dxa"/>
            <w:vAlign w:val="center"/>
          </w:tcPr>
          <w:p>
            <w:pPr>
              <w:pStyle w:val="15"/>
            </w:pPr>
            <w:r>
              <w:t>142.60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121.30</w:t>
            </w:r>
          </w:p>
        </w:tc>
        <w:tc>
          <w:tcPr>
            <w:tcW w:w="1361" w:type="dxa"/>
            <w:vAlign w:val="center"/>
          </w:tcPr>
          <w:p>
            <w:pPr>
              <w:pStyle w:val="11"/>
            </w:pPr>
            <w:r>
              <w:t>121.30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20137</w:t>
            </w:r>
          </w:p>
        </w:tc>
        <w:tc>
          <w:tcPr>
            <w:tcW w:w="4535" w:type="dxa"/>
            <w:vAlign w:val="center"/>
          </w:tcPr>
          <w:p>
            <w:pPr>
              <w:pStyle w:val="12"/>
            </w:pPr>
            <w:r>
              <w:t>网信事务</w:t>
            </w:r>
          </w:p>
        </w:tc>
        <w:tc>
          <w:tcPr>
            <w:tcW w:w="1361" w:type="dxa"/>
            <w:vAlign w:val="center"/>
          </w:tcPr>
          <w:p>
            <w:pPr>
              <w:pStyle w:val="11"/>
            </w:pPr>
            <w:r>
              <w:t>121.30</w:t>
            </w:r>
          </w:p>
        </w:tc>
        <w:tc>
          <w:tcPr>
            <w:tcW w:w="1361" w:type="dxa"/>
            <w:vAlign w:val="center"/>
          </w:tcPr>
          <w:p>
            <w:pPr>
              <w:pStyle w:val="11"/>
            </w:pPr>
            <w:r>
              <w:t>121.30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2013701</w:t>
            </w:r>
          </w:p>
        </w:tc>
        <w:tc>
          <w:tcPr>
            <w:tcW w:w="4535" w:type="dxa"/>
            <w:vAlign w:val="center"/>
          </w:tcPr>
          <w:p>
            <w:pPr>
              <w:pStyle w:val="12"/>
            </w:pPr>
            <w:r>
              <w:t>行政运行</w:t>
            </w:r>
          </w:p>
        </w:tc>
        <w:tc>
          <w:tcPr>
            <w:tcW w:w="1361" w:type="dxa"/>
            <w:vAlign w:val="center"/>
          </w:tcPr>
          <w:p>
            <w:pPr>
              <w:pStyle w:val="11"/>
            </w:pPr>
            <w:r>
              <w:t>121.30</w:t>
            </w:r>
          </w:p>
        </w:tc>
        <w:tc>
          <w:tcPr>
            <w:tcW w:w="1361" w:type="dxa"/>
            <w:vAlign w:val="center"/>
          </w:tcPr>
          <w:p>
            <w:pPr>
              <w:pStyle w:val="11"/>
            </w:pPr>
            <w:r>
              <w:t>121.30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142.60</w:t>
            </w:r>
          </w:p>
        </w:tc>
        <w:tc>
          <w:tcPr>
            <w:tcW w:w="3402" w:type="dxa"/>
            <w:vAlign w:val="center"/>
          </w:tcPr>
          <w:p>
            <w:pPr>
              <w:pStyle w:val="12"/>
            </w:pPr>
            <w:r>
              <w:t>一、一般公共服务支出</w:t>
            </w:r>
          </w:p>
        </w:tc>
        <w:tc>
          <w:tcPr>
            <w:tcW w:w="1474" w:type="dxa"/>
            <w:vAlign w:val="center"/>
          </w:tcPr>
          <w:p>
            <w:pPr>
              <w:pStyle w:val="11"/>
            </w:pPr>
            <w:r>
              <w:t>121.30</w:t>
            </w:r>
          </w:p>
        </w:tc>
        <w:tc>
          <w:tcPr>
            <w:tcW w:w="1474" w:type="dxa"/>
            <w:vAlign w:val="center"/>
          </w:tcPr>
          <w:p>
            <w:pPr>
              <w:pStyle w:val="11"/>
            </w:pPr>
            <w:r>
              <w:t>121.30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6.30</w:t>
            </w:r>
          </w:p>
        </w:tc>
        <w:tc>
          <w:tcPr>
            <w:tcW w:w="1474" w:type="dxa"/>
            <w:vAlign w:val="center"/>
          </w:tcPr>
          <w:p>
            <w:pPr>
              <w:pStyle w:val="11"/>
            </w:pPr>
            <w:r>
              <w:t>6.30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142.60</w:t>
            </w:r>
          </w:p>
        </w:tc>
        <w:tc>
          <w:tcPr>
            <w:tcW w:w="3402" w:type="dxa"/>
            <w:vAlign w:val="center"/>
          </w:tcPr>
          <w:p>
            <w:pPr>
              <w:pStyle w:val="14"/>
            </w:pPr>
            <w:r>
              <w:t>本年支出合计</w:t>
            </w:r>
          </w:p>
        </w:tc>
        <w:tc>
          <w:tcPr>
            <w:tcW w:w="1474" w:type="dxa"/>
            <w:vAlign w:val="center"/>
          </w:tcPr>
          <w:p>
            <w:pPr>
              <w:pStyle w:val="15"/>
            </w:pPr>
            <w:r>
              <w:t>142.60</w:t>
            </w:r>
          </w:p>
        </w:tc>
        <w:tc>
          <w:tcPr>
            <w:tcW w:w="1474" w:type="dxa"/>
            <w:vAlign w:val="center"/>
          </w:tcPr>
          <w:p>
            <w:pPr>
              <w:pStyle w:val="15"/>
            </w:pPr>
            <w:r>
              <w:t>142.60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142.60</w:t>
            </w:r>
          </w:p>
        </w:tc>
        <w:tc>
          <w:tcPr>
            <w:tcW w:w="3402" w:type="dxa"/>
            <w:vAlign w:val="center"/>
          </w:tcPr>
          <w:p>
            <w:pPr>
              <w:pStyle w:val="14"/>
            </w:pPr>
            <w:r>
              <w:t>支出总计</w:t>
            </w:r>
          </w:p>
        </w:tc>
        <w:tc>
          <w:tcPr>
            <w:tcW w:w="1474" w:type="dxa"/>
            <w:vAlign w:val="center"/>
          </w:tcPr>
          <w:p>
            <w:pPr>
              <w:pStyle w:val="15"/>
            </w:pPr>
            <w:r>
              <w:t>142.60</w:t>
            </w:r>
          </w:p>
        </w:tc>
        <w:tc>
          <w:tcPr>
            <w:tcW w:w="1474" w:type="dxa"/>
            <w:vAlign w:val="center"/>
          </w:tcPr>
          <w:p>
            <w:pPr>
              <w:pStyle w:val="15"/>
            </w:pPr>
            <w:r>
              <w:t>142.60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142.60</w:t>
            </w:r>
          </w:p>
        </w:tc>
        <w:tc>
          <w:tcPr>
            <w:tcW w:w="2551" w:type="dxa"/>
            <w:vAlign w:val="center"/>
          </w:tcPr>
          <w:p>
            <w:pPr>
              <w:pStyle w:val="15"/>
            </w:pPr>
            <w:r>
              <w:t>142.60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121.30</w:t>
            </w:r>
          </w:p>
        </w:tc>
        <w:tc>
          <w:tcPr>
            <w:tcW w:w="2551" w:type="dxa"/>
            <w:vAlign w:val="center"/>
          </w:tcPr>
          <w:p>
            <w:pPr>
              <w:pStyle w:val="11"/>
            </w:pPr>
            <w:r>
              <w:t>121.30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20137</w:t>
            </w:r>
          </w:p>
        </w:tc>
        <w:tc>
          <w:tcPr>
            <w:tcW w:w="4535" w:type="dxa"/>
            <w:vAlign w:val="center"/>
          </w:tcPr>
          <w:p>
            <w:pPr>
              <w:pStyle w:val="12"/>
            </w:pPr>
            <w:r>
              <w:t>网信事务</w:t>
            </w:r>
          </w:p>
        </w:tc>
        <w:tc>
          <w:tcPr>
            <w:tcW w:w="2551" w:type="dxa"/>
            <w:vAlign w:val="center"/>
          </w:tcPr>
          <w:p>
            <w:pPr>
              <w:pStyle w:val="11"/>
            </w:pPr>
            <w:r>
              <w:t>121.30</w:t>
            </w:r>
          </w:p>
        </w:tc>
        <w:tc>
          <w:tcPr>
            <w:tcW w:w="2551" w:type="dxa"/>
            <w:vAlign w:val="center"/>
          </w:tcPr>
          <w:p>
            <w:pPr>
              <w:pStyle w:val="11"/>
            </w:pPr>
            <w:r>
              <w:t>121.30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2013701</w:t>
            </w:r>
          </w:p>
        </w:tc>
        <w:tc>
          <w:tcPr>
            <w:tcW w:w="4535" w:type="dxa"/>
            <w:vAlign w:val="center"/>
          </w:tcPr>
          <w:p>
            <w:pPr>
              <w:pStyle w:val="12"/>
            </w:pPr>
            <w:r>
              <w:t>行政运行</w:t>
            </w:r>
          </w:p>
        </w:tc>
        <w:tc>
          <w:tcPr>
            <w:tcW w:w="2551" w:type="dxa"/>
            <w:vAlign w:val="center"/>
          </w:tcPr>
          <w:p>
            <w:pPr>
              <w:pStyle w:val="11"/>
            </w:pPr>
            <w:r>
              <w:t>121.30</w:t>
            </w:r>
          </w:p>
        </w:tc>
        <w:tc>
          <w:tcPr>
            <w:tcW w:w="2551" w:type="dxa"/>
            <w:vAlign w:val="center"/>
          </w:tcPr>
          <w:p>
            <w:pPr>
              <w:pStyle w:val="11"/>
            </w:pPr>
            <w:r>
              <w:t>121.30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142.60</w:t>
            </w:r>
          </w:p>
        </w:tc>
        <w:tc>
          <w:tcPr>
            <w:tcW w:w="2551" w:type="dxa"/>
            <w:vAlign w:val="center"/>
          </w:tcPr>
          <w:p>
            <w:pPr>
              <w:pStyle w:val="15"/>
            </w:pPr>
            <w:r>
              <w:t>127.29</w:t>
            </w:r>
          </w:p>
        </w:tc>
        <w:tc>
          <w:tcPr>
            <w:tcW w:w="2551" w:type="dxa"/>
            <w:vAlign w:val="center"/>
          </w:tcPr>
          <w:p>
            <w:pPr>
              <w:pStyle w:val="15"/>
            </w:pPr>
            <w:r>
              <w:t>15.31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124.55</w:t>
            </w:r>
          </w:p>
        </w:tc>
        <w:tc>
          <w:tcPr>
            <w:tcW w:w="2551" w:type="dxa"/>
            <w:vAlign w:val="center"/>
          </w:tcPr>
          <w:p>
            <w:pPr>
              <w:pStyle w:val="11"/>
            </w:pPr>
            <w:r>
              <w:t>124.55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16.40</w:t>
            </w:r>
          </w:p>
        </w:tc>
        <w:tc>
          <w:tcPr>
            <w:tcW w:w="2551" w:type="dxa"/>
            <w:vAlign w:val="center"/>
          </w:tcPr>
          <w:p>
            <w:pPr>
              <w:pStyle w:val="11"/>
            </w:pPr>
            <w:r>
              <w:t>16.40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10.80</w:t>
            </w:r>
          </w:p>
        </w:tc>
        <w:tc>
          <w:tcPr>
            <w:tcW w:w="2551" w:type="dxa"/>
            <w:vAlign w:val="center"/>
          </w:tcPr>
          <w:p>
            <w:pPr>
              <w:pStyle w:val="11"/>
            </w:pPr>
            <w:r>
              <w:t>10.80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25.20</w:t>
            </w:r>
          </w:p>
        </w:tc>
        <w:tc>
          <w:tcPr>
            <w:tcW w:w="2551" w:type="dxa"/>
            <w:vAlign w:val="center"/>
          </w:tcPr>
          <w:p>
            <w:pPr>
              <w:pStyle w:val="11"/>
            </w:pPr>
            <w:r>
              <w:t>25.20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0.85</w:t>
            </w:r>
          </w:p>
        </w:tc>
        <w:tc>
          <w:tcPr>
            <w:tcW w:w="2551" w:type="dxa"/>
            <w:vAlign w:val="center"/>
          </w:tcPr>
          <w:p>
            <w:pPr>
              <w:pStyle w:val="11"/>
            </w:pPr>
            <w:r>
              <w:t>0.85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15.31</w:t>
            </w:r>
          </w:p>
        </w:tc>
        <w:tc>
          <w:tcPr>
            <w:tcW w:w="2551" w:type="dxa"/>
            <w:vAlign w:val="center"/>
          </w:tcPr>
          <w:p>
            <w:pPr>
              <w:pStyle w:val="11"/>
            </w:pPr>
          </w:p>
        </w:tc>
        <w:tc>
          <w:tcPr>
            <w:tcW w:w="2551" w:type="dxa"/>
            <w:vAlign w:val="center"/>
          </w:tcPr>
          <w:p>
            <w:pPr>
              <w:pStyle w:val="11"/>
            </w:pPr>
            <w:r>
              <w:t>15.31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2.60</w:t>
            </w:r>
          </w:p>
        </w:tc>
        <w:tc>
          <w:tcPr>
            <w:tcW w:w="2551" w:type="dxa"/>
            <w:vAlign w:val="center"/>
          </w:tcPr>
          <w:p>
            <w:pPr>
              <w:pStyle w:val="11"/>
            </w:pPr>
          </w:p>
        </w:tc>
        <w:tc>
          <w:tcPr>
            <w:tcW w:w="2551"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3.80</w:t>
            </w:r>
          </w:p>
        </w:tc>
        <w:tc>
          <w:tcPr>
            <w:tcW w:w="2551" w:type="dxa"/>
            <w:vAlign w:val="center"/>
          </w:tcPr>
          <w:p>
            <w:pPr>
              <w:pStyle w:val="11"/>
            </w:pPr>
          </w:p>
        </w:tc>
        <w:tc>
          <w:tcPr>
            <w:tcW w:w="2551" w:type="dxa"/>
            <w:vAlign w:val="center"/>
          </w:tcPr>
          <w:p>
            <w:pPr>
              <w:pStyle w:val="11"/>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2.74</w:t>
            </w:r>
          </w:p>
        </w:tc>
        <w:tc>
          <w:tcPr>
            <w:tcW w:w="2551" w:type="dxa"/>
            <w:vAlign w:val="center"/>
          </w:tcPr>
          <w:p>
            <w:pPr>
              <w:pStyle w:val="11"/>
            </w:pPr>
            <w:r>
              <w:t>2.74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2.74</w:t>
            </w:r>
          </w:p>
        </w:tc>
        <w:tc>
          <w:tcPr>
            <w:tcW w:w="2551" w:type="dxa"/>
            <w:vAlign w:val="center"/>
          </w:tcPr>
          <w:p>
            <w:pPr>
              <w:pStyle w:val="11"/>
            </w:pPr>
            <w:r>
              <w:t>2.74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中共无极县委网络安全和信息化委员会办公室本级2026年单位预算信息公开情况说明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按照《中华人民共和国预算法》、《地方预决算公开操作规程》和《关于进一步推进预算公开工作的实施意见》规定，现将中共无极县委网络安全和信息化委员会办公室本级2026年单位预算公开如下：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1、负责处理县委网络安全和信息化委员会日常事务工作。</w:t>
      </w:r>
    </w:p>
    <w:p>
      <w:pPr>
        <w:pStyle w:val="17"/>
      </w:pPr>
      <w:r>
        <w:t>2、贯彻落实网络安全和信息化发展战略、宏观规划和重大政策。</w:t>
      </w:r>
    </w:p>
    <w:p>
      <w:pPr>
        <w:pStyle w:val="17"/>
      </w:pPr>
      <w:r>
        <w:t>3、统筹协调全县网络安全保障体系和可信体系建设。</w:t>
      </w:r>
    </w:p>
    <w:p>
      <w:pPr>
        <w:pStyle w:val="17"/>
      </w:pPr>
      <w:r>
        <w:t>4、督促落实涉及政治、经济、文化、社会、生态及军事等各个领域的网络安全和信息化重大事项。</w:t>
      </w:r>
    </w:p>
    <w:p>
      <w:pPr>
        <w:pStyle w:val="17"/>
      </w:pPr>
      <w:r>
        <w:t>5、负责互联网信息内容管理。</w:t>
      </w:r>
    </w:p>
    <w:p>
      <w:pPr>
        <w:pStyle w:val="17"/>
      </w:pPr>
      <w:r>
        <w:t>6、负责指导协调全县舆情信息工作。</w:t>
      </w:r>
    </w:p>
    <w:p>
      <w:pPr>
        <w:pStyle w:val="17"/>
      </w:pPr>
      <w:r>
        <w:t>7、推动全县网络阵地建设和重点新闻网站规划建设。</w:t>
      </w:r>
    </w:p>
    <w:p>
      <w:pPr>
        <w:pStyle w:val="17"/>
      </w:pPr>
      <w:r>
        <w:t>8、协调推动全县网络社会工作和网络文化、网络文明建设。</w:t>
      </w:r>
    </w:p>
    <w:p>
      <w:pPr>
        <w:pStyle w:val="17"/>
      </w:pPr>
      <w:r>
        <w:t>9、落实国家互联网信息服务资本准入和信息网络行业安全审查的有关政策。</w:t>
      </w:r>
    </w:p>
    <w:p>
      <w:pPr>
        <w:pStyle w:val="17"/>
      </w:pPr>
      <w:r>
        <w:t>10、指导网络金融信息服务业务，负责网络金融信息服务市场监管，协调金融监管部门建立全县网络金融信息发布、传播监管制度及工作机制。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中共无极县委网络安全和信息化委员会办公室本级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142.60万元，其中：一般公共预算收入142.60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无极县委网络安全和信息化委员会办公室本级年度单位预算中支出预算的总体情况。2026年支出预算142.60万元，其中基本支出142.60万元，包括人员经费127.29万元和日常公用经费15.31万元；项目支出0.00万元，主要为无；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142.60万元，较2025年预算减少22.10万元，其中：基本支出减少22.10万元，主要为本单位本年度人员变动。项目支出增加0.00万元，主要为本单位本年度项目无变化。。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2026年，我单位机关运行经费共计安排15.31万元，主要用于日常维修、办公用房水电费、办公用房取暖费、办公用房物业管理费等日常运行支出。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中共无极县委网络安全和信息化委员会办公室本级上年末固定资产金额为21.59万元（详见下表）。本年度拟购置固定资产总额为0.00万元，已按要求列入政府采购预算，详见政府采购预算表。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49</w:t>
            </w:r>
          </w:p>
        </w:tc>
        <w:tc>
          <w:tcPr>
            <w:tcW w:w="2835" w:type="dxa"/>
            <w:vAlign w:val="center"/>
          </w:tcPr>
          <w:p>
            <w:pPr>
              <w:pStyle w:val="11"/>
            </w:pPr>
            <w:r>
              <w:t>21.59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1C10F0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TotalTime>2</TotalTime>
  <ScaleCrop>false</ScaleCrop>
  <LinksUpToDate>false</LinksUpToDate>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2026-02-25T15:21:00Z</dcterms:created>
  <dc:creator>Administrator</dc:creator>
  <cp:lastModifiedBy>Administrator</cp:lastModifiedBy>
  <dcterms:modified xsi:type="dcterms:W3CDTF">2026-02-25T07:34:43Z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