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pPr>
        <w:sectPr>
          <w:headerReference r:id="rId5" w:type="first"/>
          <w:footerReference r:id="rId8" w:type="first"/>
          <w:headerReference r:id="rId3" w:type="default"/>
          <w:footerReference r:id="rId6" w:type="default"/>
          <w:headerReference r:id="rId4" w:type="even"/>
          <w:footerReference r:id="rId7" w:type="even"/>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542.40</w:t>
            </w:r>
          </w:p>
        </w:tc>
        <w:tc>
          <w:tcPr>
            <w:tcW w:w="4535" w:type="dxa"/>
            <w:vAlign w:val="center"/>
          </w:tcPr>
          <w:p>
            <w:pPr>
              <w:pStyle w:val="12"/>
            </w:pPr>
            <w:r>
              <w:t>一、一般公共服务支出</w:t>
            </w:r>
          </w:p>
        </w:tc>
        <w:tc>
          <w:tcPr>
            <w:tcW w:w="2126" w:type="dxa"/>
            <w:vAlign w:val="center"/>
          </w:tcPr>
          <w:p>
            <w:pPr>
              <w:pStyle w:val="11"/>
            </w:pPr>
            <w:r>
              <w:t>485.40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542.40</w:t>
            </w:r>
          </w:p>
        </w:tc>
        <w:tc>
          <w:tcPr>
            <w:tcW w:w="4535" w:type="dxa"/>
            <w:vAlign w:val="center"/>
          </w:tcPr>
          <w:p>
            <w:pPr>
              <w:pStyle w:val="14"/>
            </w:pPr>
            <w:r>
              <w:t>本年支出合计</w:t>
            </w:r>
          </w:p>
        </w:tc>
        <w:tc>
          <w:tcPr>
            <w:tcW w:w="2126" w:type="dxa"/>
            <w:vAlign w:val="center"/>
          </w:tcPr>
          <w:p>
            <w:pPr>
              <w:pStyle w:val="15"/>
            </w:pPr>
            <w:r>
              <w:t>542.40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542.40</w:t>
            </w:r>
          </w:p>
        </w:tc>
        <w:tc>
          <w:tcPr>
            <w:tcW w:w="4535" w:type="dxa"/>
            <w:vAlign w:val="center"/>
          </w:tcPr>
          <w:p>
            <w:pPr>
              <w:pStyle w:val="14"/>
            </w:pPr>
            <w:r>
              <w:t>支出总计</w:t>
            </w:r>
          </w:p>
        </w:tc>
        <w:tc>
          <w:tcPr>
            <w:tcW w:w="2126" w:type="dxa"/>
            <w:vAlign w:val="center"/>
          </w:tcPr>
          <w:p>
            <w:pPr>
              <w:pStyle w:val="15"/>
            </w:pPr>
            <w:r>
              <w:t>542.40</w:t>
            </w:r>
          </w:p>
        </w:tc>
      </w:tr>
    </w:tbl>
    <w:p>
      <w:pPr>
        <w:sectPr>
          <w:footerReference r:id="rId9" w:type="default"/>
          <w:footerReference r:id="rId10"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542.40</w:t>
            </w:r>
          </w:p>
        </w:tc>
        <w:tc>
          <w:tcPr>
            <w:tcW w:w="1134" w:type="dxa"/>
            <w:vAlign w:val="center"/>
          </w:tcPr>
          <w:p>
            <w:pPr>
              <w:pStyle w:val="15"/>
            </w:pPr>
            <w:r>
              <w:t>542.40</w:t>
            </w:r>
          </w:p>
        </w:tc>
        <w:tc>
          <w:tcPr>
            <w:tcW w:w="1134" w:type="dxa"/>
            <w:vAlign w:val="center"/>
          </w:tcPr>
          <w:p>
            <w:pPr>
              <w:pStyle w:val="15"/>
            </w:pPr>
            <w:r>
              <w:t>542.40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485.40</w:t>
            </w:r>
          </w:p>
        </w:tc>
        <w:tc>
          <w:tcPr>
            <w:tcW w:w="1134" w:type="dxa"/>
            <w:vAlign w:val="center"/>
          </w:tcPr>
          <w:p>
            <w:pPr>
              <w:pStyle w:val="11"/>
            </w:pPr>
            <w:r>
              <w:t>485.40</w:t>
            </w:r>
          </w:p>
        </w:tc>
        <w:tc>
          <w:tcPr>
            <w:tcW w:w="1134" w:type="dxa"/>
            <w:vAlign w:val="center"/>
          </w:tcPr>
          <w:p>
            <w:pPr>
              <w:pStyle w:val="11"/>
            </w:pPr>
            <w:r>
              <w:t>485.40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20102</w:t>
            </w:r>
          </w:p>
        </w:tc>
        <w:tc>
          <w:tcPr>
            <w:tcW w:w="1559" w:type="dxa"/>
            <w:vAlign w:val="center"/>
          </w:tcPr>
          <w:p>
            <w:pPr>
              <w:pStyle w:val="12"/>
            </w:pPr>
            <w:r>
              <w:t>政协事务</w:t>
            </w:r>
          </w:p>
        </w:tc>
        <w:tc>
          <w:tcPr>
            <w:tcW w:w="1134" w:type="dxa"/>
            <w:vAlign w:val="center"/>
          </w:tcPr>
          <w:p>
            <w:pPr>
              <w:pStyle w:val="11"/>
            </w:pPr>
            <w:r>
              <w:t>485.40</w:t>
            </w:r>
          </w:p>
        </w:tc>
        <w:tc>
          <w:tcPr>
            <w:tcW w:w="1134" w:type="dxa"/>
            <w:vAlign w:val="center"/>
          </w:tcPr>
          <w:p>
            <w:pPr>
              <w:pStyle w:val="11"/>
            </w:pPr>
            <w:r>
              <w:t>485.40</w:t>
            </w:r>
          </w:p>
        </w:tc>
        <w:tc>
          <w:tcPr>
            <w:tcW w:w="1134" w:type="dxa"/>
            <w:vAlign w:val="center"/>
          </w:tcPr>
          <w:p>
            <w:pPr>
              <w:pStyle w:val="11"/>
            </w:pPr>
            <w:r>
              <w:t>485.40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2010201</w:t>
            </w:r>
          </w:p>
        </w:tc>
        <w:tc>
          <w:tcPr>
            <w:tcW w:w="1559" w:type="dxa"/>
            <w:vAlign w:val="center"/>
          </w:tcPr>
          <w:p>
            <w:pPr>
              <w:pStyle w:val="12"/>
            </w:pPr>
            <w:r>
              <w:t>行政运行</w:t>
            </w:r>
          </w:p>
        </w:tc>
        <w:tc>
          <w:tcPr>
            <w:tcW w:w="1134" w:type="dxa"/>
            <w:vAlign w:val="center"/>
          </w:tcPr>
          <w:p>
            <w:pPr>
              <w:pStyle w:val="11"/>
            </w:pPr>
            <w:r>
              <w:t>485.40</w:t>
            </w:r>
          </w:p>
        </w:tc>
        <w:tc>
          <w:tcPr>
            <w:tcW w:w="1134" w:type="dxa"/>
            <w:vAlign w:val="center"/>
          </w:tcPr>
          <w:p>
            <w:pPr>
              <w:pStyle w:val="11"/>
            </w:pPr>
            <w:r>
              <w:t>485.40</w:t>
            </w:r>
          </w:p>
        </w:tc>
        <w:tc>
          <w:tcPr>
            <w:tcW w:w="1134" w:type="dxa"/>
            <w:vAlign w:val="center"/>
          </w:tcPr>
          <w:p>
            <w:pPr>
              <w:pStyle w:val="11"/>
            </w:pPr>
            <w:r>
              <w:t>485.40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42.00</w:t>
            </w:r>
          </w:p>
        </w:tc>
        <w:tc>
          <w:tcPr>
            <w:tcW w:w="1134" w:type="dxa"/>
            <w:vAlign w:val="center"/>
          </w:tcPr>
          <w:p>
            <w:pPr>
              <w:pStyle w:val="11"/>
            </w:pPr>
            <w:r>
              <w:t>42.00</w:t>
            </w:r>
          </w:p>
        </w:tc>
        <w:tc>
          <w:tcPr>
            <w:tcW w:w="1134" w:type="dxa"/>
            <w:vAlign w:val="center"/>
          </w:tcPr>
          <w:p>
            <w:pPr>
              <w:pStyle w:val="11"/>
            </w:pPr>
            <w:r>
              <w:t>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42.00</w:t>
            </w:r>
          </w:p>
        </w:tc>
        <w:tc>
          <w:tcPr>
            <w:tcW w:w="1134" w:type="dxa"/>
            <w:vAlign w:val="center"/>
          </w:tcPr>
          <w:p>
            <w:pPr>
              <w:pStyle w:val="11"/>
            </w:pPr>
            <w:r>
              <w:t>42.00</w:t>
            </w:r>
          </w:p>
        </w:tc>
        <w:tc>
          <w:tcPr>
            <w:tcW w:w="1134" w:type="dxa"/>
            <w:vAlign w:val="center"/>
          </w:tcPr>
          <w:p>
            <w:pPr>
              <w:pStyle w:val="11"/>
            </w:pPr>
            <w:r>
              <w:t>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42.00</w:t>
            </w:r>
          </w:p>
        </w:tc>
        <w:tc>
          <w:tcPr>
            <w:tcW w:w="1134" w:type="dxa"/>
            <w:vAlign w:val="center"/>
          </w:tcPr>
          <w:p>
            <w:pPr>
              <w:pStyle w:val="11"/>
            </w:pPr>
            <w:r>
              <w:t>42.00</w:t>
            </w:r>
          </w:p>
        </w:tc>
        <w:tc>
          <w:tcPr>
            <w:tcW w:w="1134" w:type="dxa"/>
            <w:vAlign w:val="center"/>
          </w:tcPr>
          <w:p>
            <w:pPr>
              <w:pStyle w:val="11"/>
            </w:pPr>
            <w:r>
              <w:t>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542.40</w:t>
            </w:r>
          </w:p>
        </w:tc>
        <w:tc>
          <w:tcPr>
            <w:tcW w:w="1361" w:type="dxa"/>
            <w:vAlign w:val="center"/>
          </w:tcPr>
          <w:p>
            <w:pPr>
              <w:pStyle w:val="15"/>
            </w:pPr>
            <w:r>
              <w:t>542.40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485.40</w:t>
            </w:r>
          </w:p>
        </w:tc>
        <w:tc>
          <w:tcPr>
            <w:tcW w:w="1361" w:type="dxa"/>
            <w:vAlign w:val="center"/>
          </w:tcPr>
          <w:p>
            <w:pPr>
              <w:pStyle w:val="11"/>
            </w:pPr>
            <w:r>
              <w:t>485.40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20102</w:t>
            </w:r>
          </w:p>
        </w:tc>
        <w:tc>
          <w:tcPr>
            <w:tcW w:w="4535" w:type="dxa"/>
            <w:vAlign w:val="center"/>
          </w:tcPr>
          <w:p>
            <w:pPr>
              <w:pStyle w:val="12"/>
            </w:pPr>
            <w:r>
              <w:t>政协事务</w:t>
            </w:r>
          </w:p>
        </w:tc>
        <w:tc>
          <w:tcPr>
            <w:tcW w:w="1361" w:type="dxa"/>
            <w:vAlign w:val="center"/>
          </w:tcPr>
          <w:p>
            <w:pPr>
              <w:pStyle w:val="11"/>
            </w:pPr>
            <w:r>
              <w:t>485.40</w:t>
            </w:r>
          </w:p>
        </w:tc>
        <w:tc>
          <w:tcPr>
            <w:tcW w:w="1361" w:type="dxa"/>
            <w:vAlign w:val="center"/>
          </w:tcPr>
          <w:p>
            <w:pPr>
              <w:pStyle w:val="11"/>
            </w:pPr>
            <w:r>
              <w:t>485.40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2010201</w:t>
            </w:r>
          </w:p>
        </w:tc>
        <w:tc>
          <w:tcPr>
            <w:tcW w:w="4535" w:type="dxa"/>
            <w:vAlign w:val="center"/>
          </w:tcPr>
          <w:p>
            <w:pPr>
              <w:pStyle w:val="12"/>
            </w:pPr>
            <w:r>
              <w:t>行政运行</w:t>
            </w:r>
          </w:p>
        </w:tc>
        <w:tc>
          <w:tcPr>
            <w:tcW w:w="1361" w:type="dxa"/>
            <w:vAlign w:val="center"/>
          </w:tcPr>
          <w:p>
            <w:pPr>
              <w:pStyle w:val="11"/>
            </w:pPr>
            <w:r>
              <w:t>485.40</w:t>
            </w:r>
          </w:p>
        </w:tc>
        <w:tc>
          <w:tcPr>
            <w:tcW w:w="1361" w:type="dxa"/>
            <w:vAlign w:val="center"/>
          </w:tcPr>
          <w:p>
            <w:pPr>
              <w:pStyle w:val="11"/>
            </w:pPr>
            <w:r>
              <w:t>485.40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42.00</w:t>
            </w:r>
          </w:p>
        </w:tc>
        <w:tc>
          <w:tcPr>
            <w:tcW w:w="1361" w:type="dxa"/>
            <w:vAlign w:val="center"/>
          </w:tcPr>
          <w:p>
            <w:pPr>
              <w:pStyle w:val="11"/>
            </w:pPr>
            <w:r>
              <w:t>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42.00</w:t>
            </w:r>
          </w:p>
        </w:tc>
        <w:tc>
          <w:tcPr>
            <w:tcW w:w="1361" w:type="dxa"/>
            <w:vAlign w:val="center"/>
          </w:tcPr>
          <w:p>
            <w:pPr>
              <w:pStyle w:val="11"/>
            </w:pPr>
            <w:r>
              <w:t>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42.00</w:t>
            </w:r>
          </w:p>
        </w:tc>
        <w:tc>
          <w:tcPr>
            <w:tcW w:w="1361" w:type="dxa"/>
            <w:vAlign w:val="center"/>
          </w:tcPr>
          <w:p>
            <w:pPr>
              <w:pStyle w:val="11"/>
            </w:pPr>
            <w:r>
              <w:t>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542.40</w:t>
            </w:r>
          </w:p>
        </w:tc>
        <w:tc>
          <w:tcPr>
            <w:tcW w:w="3402" w:type="dxa"/>
            <w:vAlign w:val="center"/>
          </w:tcPr>
          <w:p>
            <w:pPr>
              <w:pStyle w:val="12"/>
            </w:pPr>
            <w:r>
              <w:t>一、一般公共服务支出</w:t>
            </w:r>
          </w:p>
        </w:tc>
        <w:tc>
          <w:tcPr>
            <w:tcW w:w="1474" w:type="dxa"/>
            <w:vAlign w:val="center"/>
          </w:tcPr>
          <w:p>
            <w:pPr>
              <w:pStyle w:val="11"/>
            </w:pPr>
            <w:r>
              <w:t>485.40</w:t>
            </w:r>
          </w:p>
        </w:tc>
        <w:tc>
          <w:tcPr>
            <w:tcW w:w="1474" w:type="dxa"/>
            <w:vAlign w:val="center"/>
          </w:tcPr>
          <w:p>
            <w:pPr>
              <w:pStyle w:val="11"/>
            </w:pPr>
            <w:r>
              <w:t>485.40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42.00</w:t>
            </w:r>
          </w:p>
        </w:tc>
        <w:tc>
          <w:tcPr>
            <w:tcW w:w="1474" w:type="dxa"/>
            <w:vAlign w:val="center"/>
          </w:tcPr>
          <w:p>
            <w:pPr>
              <w:pStyle w:val="11"/>
            </w:pPr>
            <w:r>
              <w:t>42.00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15.00</w:t>
            </w:r>
          </w:p>
        </w:tc>
        <w:tc>
          <w:tcPr>
            <w:tcW w:w="1474" w:type="dxa"/>
            <w:vAlign w:val="center"/>
          </w:tcPr>
          <w:p>
            <w:pPr>
              <w:pStyle w:val="11"/>
            </w:pPr>
            <w:r>
              <w:t>15.00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542.40</w:t>
            </w:r>
          </w:p>
        </w:tc>
        <w:tc>
          <w:tcPr>
            <w:tcW w:w="3402" w:type="dxa"/>
            <w:vAlign w:val="center"/>
          </w:tcPr>
          <w:p>
            <w:pPr>
              <w:pStyle w:val="14"/>
            </w:pPr>
            <w:r>
              <w:t>本年支出合计</w:t>
            </w:r>
          </w:p>
        </w:tc>
        <w:tc>
          <w:tcPr>
            <w:tcW w:w="1474" w:type="dxa"/>
            <w:vAlign w:val="center"/>
          </w:tcPr>
          <w:p>
            <w:pPr>
              <w:pStyle w:val="15"/>
            </w:pPr>
            <w:r>
              <w:t>542.40</w:t>
            </w:r>
          </w:p>
        </w:tc>
        <w:tc>
          <w:tcPr>
            <w:tcW w:w="1474" w:type="dxa"/>
            <w:vAlign w:val="center"/>
          </w:tcPr>
          <w:p>
            <w:pPr>
              <w:pStyle w:val="15"/>
            </w:pPr>
            <w:r>
              <w:t>542.40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542.40</w:t>
            </w:r>
          </w:p>
        </w:tc>
        <w:tc>
          <w:tcPr>
            <w:tcW w:w="3402" w:type="dxa"/>
            <w:vAlign w:val="center"/>
          </w:tcPr>
          <w:p>
            <w:pPr>
              <w:pStyle w:val="14"/>
            </w:pPr>
            <w:r>
              <w:t>支出总计</w:t>
            </w:r>
          </w:p>
        </w:tc>
        <w:tc>
          <w:tcPr>
            <w:tcW w:w="1474" w:type="dxa"/>
            <w:vAlign w:val="center"/>
          </w:tcPr>
          <w:p>
            <w:pPr>
              <w:pStyle w:val="15"/>
            </w:pPr>
            <w:r>
              <w:t>542.40</w:t>
            </w:r>
          </w:p>
        </w:tc>
        <w:tc>
          <w:tcPr>
            <w:tcW w:w="1474" w:type="dxa"/>
            <w:vAlign w:val="center"/>
          </w:tcPr>
          <w:p>
            <w:pPr>
              <w:pStyle w:val="15"/>
            </w:pPr>
            <w:r>
              <w:t>542.40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542.40</w:t>
            </w:r>
          </w:p>
        </w:tc>
        <w:tc>
          <w:tcPr>
            <w:tcW w:w="2551" w:type="dxa"/>
            <w:vAlign w:val="center"/>
          </w:tcPr>
          <w:p>
            <w:pPr>
              <w:pStyle w:val="15"/>
            </w:pPr>
            <w:r>
              <w:t>542.40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485.40</w:t>
            </w:r>
          </w:p>
        </w:tc>
        <w:tc>
          <w:tcPr>
            <w:tcW w:w="2551" w:type="dxa"/>
            <w:vAlign w:val="center"/>
          </w:tcPr>
          <w:p>
            <w:pPr>
              <w:pStyle w:val="11"/>
            </w:pPr>
            <w:r>
              <w:t>485.40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20102</w:t>
            </w:r>
          </w:p>
        </w:tc>
        <w:tc>
          <w:tcPr>
            <w:tcW w:w="4535" w:type="dxa"/>
            <w:vAlign w:val="center"/>
          </w:tcPr>
          <w:p>
            <w:pPr>
              <w:pStyle w:val="12"/>
            </w:pPr>
            <w:r>
              <w:t>政协事务</w:t>
            </w:r>
          </w:p>
        </w:tc>
        <w:tc>
          <w:tcPr>
            <w:tcW w:w="2551" w:type="dxa"/>
            <w:vAlign w:val="center"/>
          </w:tcPr>
          <w:p>
            <w:pPr>
              <w:pStyle w:val="11"/>
            </w:pPr>
            <w:r>
              <w:t>485.40</w:t>
            </w:r>
          </w:p>
        </w:tc>
        <w:tc>
          <w:tcPr>
            <w:tcW w:w="2551" w:type="dxa"/>
            <w:vAlign w:val="center"/>
          </w:tcPr>
          <w:p>
            <w:pPr>
              <w:pStyle w:val="11"/>
            </w:pPr>
            <w:r>
              <w:t>485.40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2010201</w:t>
            </w:r>
          </w:p>
        </w:tc>
        <w:tc>
          <w:tcPr>
            <w:tcW w:w="4535" w:type="dxa"/>
            <w:vAlign w:val="center"/>
          </w:tcPr>
          <w:p>
            <w:pPr>
              <w:pStyle w:val="12"/>
            </w:pPr>
            <w:r>
              <w:t>行政运行</w:t>
            </w:r>
          </w:p>
        </w:tc>
        <w:tc>
          <w:tcPr>
            <w:tcW w:w="2551" w:type="dxa"/>
            <w:vAlign w:val="center"/>
          </w:tcPr>
          <w:p>
            <w:pPr>
              <w:pStyle w:val="11"/>
            </w:pPr>
            <w:r>
              <w:t>485.40</w:t>
            </w:r>
          </w:p>
        </w:tc>
        <w:tc>
          <w:tcPr>
            <w:tcW w:w="2551" w:type="dxa"/>
            <w:vAlign w:val="center"/>
          </w:tcPr>
          <w:p>
            <w:pPr>
              <w:pStyle w:val="11"/>
            </w:pPr>
            <w:r>
              <w:t>485.40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42.00</w:t>
            </w:r>
          </w:p>
        </w:tc>
        <w:tc>
          <w:tcPr>
            <w:tcW w:w="2551" w:type="dxa"/>
            <w:vAlign w:val="center"/>
          </w:tcPr>
          <w:p>
            <w:pPr>
              <w:pStyle w:val="11"/>
            </w:pPr>
            <w:r>
              <w:t>42.00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42.00</w:t>
            </w:r>
          </w:p>
        </w:tc>
        <w:tc>
          <w:tcPr>
            <w:tcW w:w="2551" w:type="dxa"/>
            <w:vAlign w:val="center"/>
          </w:tcPr>
          <w:p>
            <w:pPr>
              <w:pStyle w:val="11"/>
            </w:pPr>
            <w:r>
              <w:t>42.00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42.00</w:t>
            </w:r>
          </w:p>
        </w:tc>
        <w:tc>
          <w:tcPr>
            <w:tcW w:w="2551" w:type="dxa"/>
            <w:vAlign w:val="center"/>
          </w:tcPr>
          <w:p>
            <w:pPr>
              <w:pStyle w:val="11"/>
            </w:pPr>
            <w:r>
              <w:t>42.00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542.40</w:t>
            </w:r>
          </w:p>
        </w:tc>
        <w:tc>
          <w:tcPr>
            <w:tcW w:w="2551" w:type="dxa"/>
            <w:vAlign w:val="center"/>
          </w:tcPr>
          <w:p>
            <w:pPr>
              <w:pStyle w:val="15"/>
            </w:pPr>
            <w:r>
              <w:t>452.38</w:t>
            </w:r>
          </w:p>
        </w:tc>
        <w:tc>
          <w:tcPr>
            <w:tcW w:w="2551" w:type="dxa"/>
            <w:vAlign w:val="center"/>
          </w:tcPr>
          <w:p>
            <w:pPr>
              <w:pStyle w:val="15"/>
            </w:pPr>
            <w:r>
              <w:t>90.02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364.88</w:t>
            </w:r>
          </w:p>
        </w:tc>
        <w:tc>
          <w:tcPr>
            <w:tcW w:w="2551" w:type="dxa"/>
            <w:vAlign w:val="center"/>
          </w:tcPr>
          <w:p>
            <w:pPr>
              <w:pStyle w:val="11"/>
            </w:pPr>
            <w:r>
              <w:t>364.88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160.00</w:t>
            </w:r>
          </w:p>
        </w:tc>
        <w:tc>
          <w:tcPr>
            <w:tcW w:w="2551" w:type="dxa"/>
            <w:vAlign w:val="center"/>
          </w:tcPr>
          <w:p>
            <w:pPr>
              <w:pStyle w:val="11"/>
            </w:pPr>
            <w:r>
              <w:t>160.00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71.00</w:t>
            </w:r>
          </w:p>
        </w:tc>
        <w:tc>
          <w:tcPr>
            <w:tcW w:w="2551" w:type="dxa"/>
            <w:vAlign w:val="center"/>
          </w:tcPr>
          <w:p>
            <w:pPr>
              <w:pStyle w:val="11"/>
            </w:pPr>
            <w:r>
              <w:t>71.00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63.00</w:t>
            </w:r>
          </w:p>
        </w:tc>
        <w:tc>
          <w:tcPr>
            <w:tcW w:w="2551" w:type="dxa"/>
            <w:vAlign w:val="center"/>
          </w:tcPr>
          <w:p>
            <w:pPr>
              <w:pStyle w:val="11"/>
            </w:pPr>
            <w:r>
              <w:t>63.00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12.50</w:t>
            </w:r>
          </w:p>
        </w:tc>
        <w:tc>
          <w:tcPr>
            <w:tcW w:w="2551" w:type="dxa"/>
            <w:vAlign w:val="center"/>
          </w:tcPr>
          <w:p>
            <w:pPr>
              <w:pStyle w:val="11"/>
            </w:pPr>
            <w:r>
              <w:t>12.50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42.00</w:t>
            </w:r>
          </w:p>
        </w:tc>
        <w:tc>
          <w:tcPr>
            <w:tcW w:w="2551" w:type="dxa"/>
            <w:vAlign w:val="center"/>
          </w:tcPr>
          <w:p>
            <w:pPr>
              <w:pStyle w:val="11"/>
            </w:pPr>
            <w:r>
              <w:t>42.00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1.38</w:t>
            </w:r>
          </w:p>
        </w:tc>
        <w:tc>
          <w:tcPr>
            <w:tcW w:w="2551" w:type="dxa"/>
            <w:vAlign w:val="center"/>
          </w:tcPr>
          <w:p>
            <w:pPr>
              <w:pStyle w:val="11"/>
            </w:pPr>
            <w:r>
              <w:t>1.38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90.02</w:t>
            </w:r>
          </w:p>
        </w:tc>
        <w:tc>
          <w:tcPr>
            <w:tcW w:w="2551" w:type="dxa"/>
            <w:vAlign w:val="center"/>
          </w:tcPr>
          <w:p>
            <w:pPr>
              <w:pStyle w:val="11"/>
            </w:pPr>
          </w:p>
        </w:tc>
        <w:tc>
          <w:tcPr>
            <w:tcW w:w="2551" w:type="dxa"/>
            <w:vAlign w:val="center"/>
          </w:tcPr>
          <w:p>
            <w:pPr>
              <w:pStyle w:val="11"/>
            </w:pPr>
            <w:r>
              <w:t>90.02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40.50</w:t>
            </w:r>
          </w:p>
        </w:tc>
        <w:tc>
          <w:tcPr>
            <w:tcW w:w="2551" w:type="dxa"/>
            <w:vAlign w:val="center"/>
          </w:tcPr>
          <w:p>
            <w:pPr>
              <w:pStyle w:val="11"/>
            </w:pPr>
          </w:p>
        </w:tc>
        <w:tc>
          <w:tcPr>
            <w:tcW w:w="2551" w:type="dxa"/>
            <w:vAlign w:val="center"/>
          </w:tcPr>
          <w:p>
            <w:pPr>
              <w:pStyle w:val="11"/>
            </w:pPr>
            <w:r>
              <w:t>40.50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15.52</w:t>
            </w:r>
          </w:p>
        </w:tc>
        <w:tc>
          <w:tcPr>
            <w:tcW w:w="2551" w:type="dxa"/>
            <w:vAlign w:val="center"/>
          </w:tcPr>
          <w:p>
            <w:pPr>
              <w:pStyle w:val="11"/>
            </w:pPr>
          </w:p>
        </w:tc>
        <w:tc>
          <w:tcPr>
            <w:tcW w:w="2551" w:type="dxa"/>
            <w:vAlign w:val="center"/>
          </w:tcPr>
          <w:p>
            <w:pPr>
              <w:pStyle w:val="11"/>
            </w:pPr>
            <w:r>
              <w:t>15.52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21.00</w:t>
            </w:r>
          </w:p>
        </w:tc>
        <w:tc>
          <w:tcPr>
            <w:tcW w:w="2551" w:type="dxa"/>
            <w:vAlign w:val="center"/>
          </w:tcPr>
          <w:p>
            <w:pPr>
              <w:pStyle w:val="11"/>
            </w:pPr>
          </w:p>
        </w:tc>
        <w:tc>
          <w:tcPr>
            <w:tcW w:w="2551" w:type="dxa"/>
            <w:vAlign w:val="center"/>
          </w:tcPr>
          <w:p>
            <w:pPr>
              <w:pStyle w:val="11"/>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87.50</w:t>
            </w:r>
          </w:p>
        </w:tc>
        <w:tc>
          <w:tcPr>
            <w:tcW w:w="2551" w:type="dxa"/>
            <w:vAlign w:val="center"/>
          </w:tcPr>
          <w:p>
            <w:pPr>
              <w:pStyle w:val="11"/>
            </w:pPr>
            <w:r>
              <w:t>87.50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87.50</w:t>
            </w:r>
          </w:p>
        </w:tc>
        <w:tc>
          <w:tcPr>
            <w:tcW w:w="2551" w:type="dxa"/>
            <w:vAlign w:val="center"/>
          </w:tcPr>
          <w:p>
            <w:pPr>
              <w:pStyle w:val="11"/>
            </w:pPr>
            <w:r>
              <w:t>87.50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15.52</w:t>
            </w:r>
          </w:p>
        </w:tc>
        <w:tc>
          <w:tcPr>
            <w:tcW w:w="2381" w:type="dxa"/>
            <w:vAlign w:val="center"/>
          </w:tcPr>
          <w:p>
            <w:pPr>
              <w:pStyle w:val="15"/>
            </w:pPr>
            <w:r>
              <w:t>15.52</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15.52</w:t>
            </w:r>
          </w:p>
        </w:tc>
        <w:tc>
          <w:tcPr>
            <w:tcW w:w="2381" w:type="dxa"/>
            <w:vAlign w:val="center"/>
          </w:tcPr>
          <w:p>
            <w:pPr>
              <w:pStyle w:val="11"/>
            </w:pPr>
            <w:r>
              <w:t>15.52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3"/>
            </w:pPr>
            <w:r>
              <w:t>5</w:t>
            </w:r>
          </w:p>
        </w:tc>
        <w:tc>
          <w:tcPr>
            <w:tcW w:w="3798" w:type="dxa"/>
            <w:vAlign w:val="center"/>
          </w:tcPr>
          <w:p>
            <w:pPr>
              <w:pStyle w:val="12"/>
            </w:pPr>
            <w:r>
              <w:t>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15.52</w:t>
            </w:r>
          </w:p>
        </w:tc>
        <w:tc>
          <w:tcPr>
            <w:tcW w:w="2381" w:type="dxa"/>
            <w:vAlign w:val="center"/>
          </w:tcPr>
          <w:p>
            <w:pPr>
              <w:pStyle w:val="11"/>
            </w:pPr>
            <w:r>
              <w:t>15.52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公务用车运行维护费</w:t>
            </w:r>
          </w:p>
        </w:tc>
        <w:tc>
          <w:tcPr>
            <w:tcW w:w="2381" w:type="dxa"/>
            <w:vAlign w:val="center"/>
          </w:tcPr>
          <w:p>
            <w:pPr>
              <w:pStyle w:val="11"/>
            </w:pPr>
            <w:r>
              <w:t>15.52</w:t>
            </w:r>
          </w:p>
        </w:tc>
        <w:tc>
          <w:tcPr>
            <w:tcW w:w="2381" w:type="dxa"/>
            <w:vAlign w:val="center"/>
          </w:tcPr>
          <w:p>
            <w:pPr>
              <w:pStyle w:val="11"/>
            </w:pPr>
            <w:r>
              <w:t>15.52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中国人民政治协商会议无极县委员会办公室2026年部门预算信息公开情况说明</w:t>
      </w:r>
    </w:p>
    <w:p>
      <w:pPr>
        <w:jc w:val="center"/>
        <w:rPr>
          <w:rFonts w:hint="eastAsia" w:ascii="方正小标宋_GBK" w:hAnsi="方正小标宋_GBK" w:cs="方正小标宋_GBK"/>
          <w:color w:val="000000"/>
          <w:sz w:val="44"/>
          <w:lang w:eastAsia="zh-CN"/>
        </w:rPr>
      </w:pPr>
      <w:r>
        <w:rPr>
          <w:rFonts w:ascii="方正小标宋_GBK" w:hAnsi="方正小标宋_GBK" w:eastAsia="方正小标宋_GBK" w:cs="方正小标宋_GBK"/>
          <w:color w:val="000000"/>
          <w:sz w:val="44"/>
        </w:rPr>
        <w:t>中国人民政治协商会议无极县委员会办公室2026年部门预算信息公开情况</w:t>
      </w:r>
    </w:p>
    <w:p>
      <w:pPr>
        <w:jc w:val="center"/>
      </w:pPr>
      <w:r>
        <w:rPr>
          <w:rFonts w:ascii="方正小标宋_GBK" w:hAnsi="方正小标宋_GBK" w:eastAsia="方正小标宋_GBK" w:cs="方正小标宋_GBK"/>
          <w:color w:val="000000"/>
          <w:sz w:val="44"/>
        </w:rPr>
        <w:t>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按照《中华人民共和国预算法》、《地方预决算公开操作规程》和《关于进一步推进预算公开工作的实施意见》规定，现将中国人民政治协商会议无极县委员会办公室2026年部门预算公开如下：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1</w:t>
      </w:r>
      <w:r>
        <w:rPr>
          <w:rFonts w:hint="eastAsia" w:asciiTheme="minorEastAsia" w:hAnsiTheme="minorEastAsia" w:eastAsiaTheme="minorEastAsia"/>
          <w:lang w:eastAsia="zh-CN"/>
        </w:rPr>
        <w:t>、</w:t>
      </w:r>
      <w:r>
        <w:t>就县大政方针以及政治、经济、文化、社会等重要问题在决策之前进行协商和就决策执行过程中的重要问题进行协商。有效履行民主监督职责。通过意见、建议、批评的方式对国家法律法规的实施、重大方针政策的贯彻执行、县委、县政府的工作进行政治监督。通过对县重大问题以及人民群众普遍关心的问题，开展调查研究，反映社情民意，以调研招待、提案等形式，向县委、政府提出意见和建议。</w:t>
      </w:r>
    </w:p>
    <w:p>
      <w:pPr>
        <w:pStyle w:val="17"/>
      </w:pPr>
      <w:r>
        <w:rPr>
          <w:rFonts w:hint="eastAsia" w:eastAsiaTheme="minorEastAsia"/>
          <w:lang w:eastAsia="zh-CN"/>
        </w:rPr>
        <w:t>2</w:t>
      </w:r>
      <w:r>
        <w:t>、负责政协党组会议、委员会议、主席会议、常务委员会会议会务工作和文字材料工作。</w:t>
      </w:r>
    </w:p>
    <w:p>
      <w:pPr>
        <w:pStyle w:val="17"/>
      </w:pPr>
      <w:r>
        <w:rPr>
          <w:rFonts w:hint="eastAsia" w:eastAsiaTheme="minorEastAsia"/>
          <w:lang w:eastAsia="zh-CN"/>
        </w:rPr>
        <w:t>3</w:t>
      </w:r>
      <w:r>
        <w:t>、负责承办县政协常务委员会、主席会议决定安排的委员视察、调研活动的组织和服务 作。</w:t>
      </w:r>
    </w:p>
    <w:p>
      <w:pPr>
        <w:pStyle w:val="17"/>
      </w:pPr>
      <w:r>
        <w:rPr>
          <w:rFonts w:hint="eastAsia" w:eastAsiaTheme="minorEastAsia"/>
          <w:lang w:eastAsia="zh-CN"/>
        </w:rPr>
        <w:t>4</w:t>
      </w:r>
      <w:r>
        <w:t>、负责政协无极县委员会全体会议、常务委员会会议决议、决定的具体组织实施工作。</w:t>
      </w:r>
    </w:p>
    <w:p>
      <w:pPr>
        <w:pStyle w:val="17"/>
      </w:pPr>
      <w:r>
        <w:rPr>
          <w:rFonts w:hint="eastAsia" w:eastAsiaTheme="minorEastAsia"/>
          <w:lang w:eastAsia="zh-CN"/>
        </w:rPr>
        <w:t>5</w:t>
      </w:r>
      <w:r>
        <w:t>、负责与县委、人大、政府有关部门及乡镇、政协各参加单位的联系、协商等工作；协调各专门委员会活动的组织工作。</w:t>
      </w:r>
    </w:p>
    <w:p>
      <w:pPr>
        <w:pStyle w:val="17"/>
      </w:pPr>
      <w:r>
        <w:rPr>
          <w:rFonts w:hint="eastAsia" w:eastAsiaTheme="minorEastAsia"/>
          <w:lang w:eastAsia="zh-CN"/>
        </w:rPr>
        <w:t>6</w:t>
      </w:r>
      <w:r>
        <w:t>、负责县政协机关保卫、保密、档案和人民群众来信来访工作；负责县政协机关后勤、财务和离退休人员服务工作。</w:t>
      </w:r>
    </w:p>
    <w:p>
      <w:pPr>
        <w:pStyle w:val="17"/>
      </w:pPr>
      <w:r>
        <w:rPr>
          <w:rFonts w:hint="eastAsia" w:eastAsiaTheme="minorEastAsia"/>
          <w:lang w:eastAsia="zh-CN"/>
        </w:rPr>
        <w:t>7</w:t>
      </w:r>
      <w:r>
        <w:t>、负责县政协的对外联谊接待工作。</w:t>
      </w:r>
    </w:p>
    <w:p>
      <w:pPr>
        <w:pStyle w:val="17"/>
      </w:pPr>
      <w:r>
        <w:rPr>
          <w:rFonts w:hint="eastAsia" w:eastAsiaTheme="minorEastAsia"/>
          <w:lang w:eastAsia="zh-CN"/>
        </w:rPr>
        <w:t>8</w:t>
      </w:r>
      <w:r>
        <w:t>、负责机关来文来电处理、信息宣传工作。</w:t>
      </w:r>
    </w:p>
    <w:p>
      <w:pPr>
        <w:pStyle w:val="17"/>
      </w:pPr>
      <w:r>
        <w:rPr>
          <w:rFonts w:hint="eastAsia" w:eastAsiaTheme="minorEastAsia"/>
          <w:lang w:eastAsia="zh-CN"/>
        </w:rPr>
        <w:t>9</w:t>
      </w:r>
      <w:r>
        <w:t>、负责县政协委员的学习、联络接待和来信来访工作。</w:t>
      </w:r>
    </w:p>
    <w:p>
      <w:pPr>
        <w:pStyle w:val="17"/>
        <w:rPr>
          <w:rFonts w:hint="eastAsia" w:eastAsiaTheme="minorEastAsia"/>
          <w:lang w:eastAsia="zh-CN"/>
        </w:rPr>
      </w:pPr>
      <w:r>
        <w:rPr>
          <w:rFonts w:hint="eastAsia" w:eastAsiaTheme="minorEastAsia"/>
          <w:lang w:eastAsia="zh-CN"/>
        </w:rPr>
        <w:t>10</w:t>
      </w:r>
      <w:r>
        <w:t>、负责信息反馈和社情民意工作。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中国人民政治协商会议无极县委员会办公室本级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按照预算管理有关规定，目前部门预算的编制实行综合预算管理，即全部收入和支出都反映在预算中。中国人民政治协商会议无极县委员会办公室机关及所属事业单位的收支包含在部门预算中。</w:t>
      </w:r>
    </w:p>
    <w:p>
      <w:pPr>
        <w:pStyle w:val="18"/>
      </w:pPr>
      <w:r>
        <w:t>1、收入说明</w:t>
      </w:r>
    </w:p>
    <w:p>
      <w:pPr>
        <w:pStyle w:val="18"/>
      </w:pPr>
      <w:r>
        <w:t>反映本部门当年全部收入。2026年预算收入542.40万元，其中：一般公共预算收入542.40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国人民政治协商会议无极县委员会办公室年度部门预算中支出预算的总体情况。2026年支出预算542.40万元，其中基本支出542.40万元，包括人员经费452.38万元和日常公用经费90.02万元；项目支出0.00万元，主要为</w:t>
      </w:r>
      <w:r>
        <w:rPr>
          <w:rFonts w:hint="eastAsia"/>
          <w:lang w:val="en-US" w:eastAsia="zh-CN"/>
        </w:rPr>
        <w:t>无项目支出</w:t>
      </w:r>
      <w:bookmarkStart w:id="20" w:name="_GoBack"/>
      <w:bookmarkEnd w:id="20"/>
      <w:r>
        <w:t>；预计下年使用的单位资金结余0.00万元。委托业务费共计安排0.00万元，主要用于因技术原因确需对外委托的辅助性工作和确有必要对外委托开展咨询、评审、规划等工作。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2026年预算收支安排542.40万元，较2025年预算减少44.90万元，其中：基本支出减少44.90万元，主要为人员减少。项目支出增加0.00万元，主要为无变化。预计下年使用的单位资金结余增加0.00万元。</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2026年，我部门机关运行经费共计安排90.02万元，主要用于日常维修、办公用房水电费、办公用房取暖费、办公用房物业管理费等日常运行支出。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2026年，我部门财政拨款“三公”经费预算安排15.52万元，其中因公出国（境）费0.00万元；公务用车购置及运维费15.52万元（其中：公务用车购置费为0.00万元，公务用车运维费15.52万元)；公务接待费0.00万元。与2025年相比减少0.48万元，增减变化的主要原因是压缩开支。</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1"/>
      </w:pPr>
      <w:r>
        <w:t>就县大政方针以及政治、经济、文化、社会等重要问题在决策之前进行协商和就决策执行过程中的重要问题进行协商。有效履行民主监督职责。通过意见、建议、批评的方式对国家法律法规的实施、重大方针政策的贯彻执行、县委、县政府的工作进行政治监督。    通过对县重大问题以及人民群众普遍关心的问题，开展调查研究，反映社情民意，以调研招待、提案等形式，向县委、政府提出意见和建议。2026年，县政协及其常委会工作将以习近平新时代中国特色社会主义思想为指导，深入学习贯彻党的十九大和二十大会精神，县委会议精神，全面贯彻落实中央和省市县委政协工作会议精神，聚焦无极高质量发展，围绕民生改善实事和社会治理难事，着力加强思想政治引领，着力增强协商议政实效，着力强化民主监督职能，着力凝聚广泛共识，充分发挥政协专门协商机构作用，为建设“实业强县 幸福无极”新场景作出新的更大贡献。</w:t>
      </w:r>
    </w:p>
    <w:p>
      <w:pPr>
        <w:pStyle w:val="21"/>
        <w:rPr>
          <w:rFonts w:hint="eastAsia" w:eastAsiaTheme="minorEastAsia"/>
          <w:lang w:eastAsia="zh-CN"/>
        </w:rPr>
      </w:pPr>
      <w:r>
        <w:t>一、深学新思想，在强化政治引领上取得新成效。二、聚焦新部署，在助推无极高质量发展上作出新贡献。三、关注新热点，在增进民生福祉上展现新担当。四、把握新要求，在凝聚共识、汇聚力量上谱写新篇章。五、适应新时代，在加强自身建设上再上新台阶。</w:t>
      </w:r>
    </w:p>
    <w:p>
      <w:pPr>
        <w:spacing w:line="500" w:lineRule="exact"/>
        <w:ind w:firstLine="560"/>
      </w:pPr>
      <w:r>
        <w:rPr>
          <w:rFonts w:eastAsia="方正仿宋_GBK"/>
          <w:color w:val="000000"/>
          <w:sz w:val="28"/>
        </w:rPr>
        <w:t>（二）分项绩效目标</w:t>
      </w:r>
    </w:p>
    <w:p>
      <w:pPr>
        <w:pStyle w:val="22"/>
        <w:rPr>
          <w:rFonts w:hint="eastAsia" w:eastAsiaTheme="minorEastAsia"/>
          <w:lang w:eastAsia="zh-CN"/>
        </w:rPr>
      </w:pPr>
      <w:r>
        <w:t>分项绩效目标</w:t>
      </w:r>
    </w:p>
    <w:p>
      <w:pPr>
        <w:pStyle w:val="22"/>
      </w:pPr>
      <w:r>
        <w:t>完善会议制度，规范会议程序，提高会议质量。</w:t>
      </w:r>
    </w:p>
    <w:p>
      <w:pPr>
        <w:pStyle w:val="22"/>
      </w:pPr>
      <w:r>
        <w:t>绩效目标：保障会议顺利召开；保障委员履行职责。</w:t>
      </w:r>
    </w:p>
    <w:p>
      <w:pPr>
        <w:pStyle w:val="22"/>
        <w:rPr>
          <w:rFonts w:hint="eastAsia" w:eastAsiaTheme="minorEastAsia"/>
          <w:lang w:eastAsia="zh-CN"/>
        </w:rPr>
      </w:pPr>
      <w:r>
        <w:t>绩效指标：会场安排、食宿安排完成率；收集整理委员提出的议案、建议和意见完成率95%以上。</w:t>
      </w:r>
    </w:p>
    <w:p>
      <w:pPr>
        <w:spacing w:line="500" w:lineRule="exact"/>
        <w:ind w:firstLine="560"/>
      </w:pPr>
      <w:r>
        <w:rPr>
          <w:rFonts w:eastAsia="方正仿宋_GBK"/>
          <w:color w:val="000000"/>
          <w:sz w:val="28"/>
        </w:rPr>
        <w:t>（三）工作保障措施</w:t>
      </w:r>
    </w:p>
    <w:p>
      <w:pPr>
        <w:pStyle w:val="23"/>
      </w:pPr>
      <w:r>
        <w:t>工作保障措施</w:t>
      </w:r>
    </w:p>
    <w:p>
      <w:pPr>
        <w:pStyle w:val="23"/>
      </w:pPr>
      <w:r>
        <w:t>完善制度建设。我单位组织机构健全，职责分工明确；立项各项要件齐全完整，有关的基础设施条件能够得以有效保障；各项业务和财务管理制度健全，运行机制、计划进度安排等能保障项目有效落实。</w:t>
      </w:r>
    </w:p>
    <w:p>
      <w:pPr>
        <w:pStyle w:val="23"/>
      </w:pPr>
      <w:r>
        <w:t>加强支出管理。通过优化支出结构、编细编实预算、加快履行政府采购手续、尽快启动项目、及时支付资金、按规定及时下达资金等多种措施，确保支出进度达标。</w:t>
      </w:r>
    </w:p>
    <w:p>
      <w:pPr>
        <w:pStyle w:val="23"/>
      </w:pPr>
      <w:r>
        <w:t>加强绩效运行监控。按要求开展绩效运行监控，发现问题及时采取措施，确保绩效目标如期保质实现。</w:t>
      </w:r>
    </w:p>
    <w:p>
      <w:pPr>
        <w:pStyle w:val="23"/>
      </w:pPr>
      <w:r>
        <w:t>做好绩效自评。按要求开展上年度部门预算绩效自评和重点评价工作，对评价中发现的问题及时整改，调整优化支出结构，提高财政资金使用效益。</w:t>
      </w:r>
    </w:p>
    <w:p>
      <w:pPr>
        <w:pStyle w:val="23"/>
      </w:pPr>
      <w:r>
        <w:t>规范财务资产管理。完善财务管理制度，严格审批程序，加强固定资产登记、使用和报废处置管理，做到支出合理，物尽其用。</w:t>
      </w:r>
    </w:p>
    <w:p>
      <w:pPr>
        <w:pStyle w:val="23"/>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3"/>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pStyle w:val="23"/>
        <w:sectPr>
          <w:pgSz w:w="16840" w:h="11900" w:orient="landscape"/>
          <w:pgMar w:top="1361" w:right="1020" w:bottom="1361" w:left="1020" w:header="720" w:footer="720" w:gutter="0"/>
          <w:cols w:space="720" w:num="1"/>
        </w:sectPr>
      </w:pP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867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中国人民政治协商会议无极县委员会办公室（含所属单位）上年末固定资产金额为144.83万元（详见下表）。本年度拟购置固定资产总额为0.00万元，已按要求列入政府采购预算，详见政府采购预算表。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144.83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52.24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515</w:t>
            </w:r>
          </w:p>
        </w:tc>
        <w:tc>
          <w:tcPr>
            <w:tcW w:w="2835" w:type="dxa"/>
            <w:vAlign w:val="center"/>
          </w:tcPr>
          <w:p>
            <w:pPr>
              <w:pStyle w:val="11"/>
            </w:pPr>
            <w:r>
              <w:t>92.59</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18</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282D5C"/>
    <w:rsid w:val="00065A19"/>
    <w:rsid w:val="00282D5C"/>
    <w:rsid w:val="00552733"/>
    <w:rsid w:val="005555E9"/>
    <w:rsid w:val="005873EF"/>
    <w:rsid w:val="006224CC"/>
    <w:rsid w:val="008B4097"/>
    <w:rsid w:val="009B19DA"/>
    <w:rsid w:val="00B11AEE"/>
    <w:rsid w:val="00B67B17"/>
    <w:rsid w:val="00D327B4"/>
    <w:rsid w:val="00DC4AF8"/>
    <w:rsid w:val="00EB37DA"/>
    <w:rsid w:val="00FE02B3"/>
    <w:rsid w:val="08ED6F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uiPriority w:val="99"/>
    <w:pPr>
      <w:tabs>
        <w:tab w:val="center" w:pos="4153"/>
        <w:tab w:val="right" w:pos="8306"/>
      </w:tabs>
      <w:snapToGrid w:val="0"/>
    </w:pPr>
    <w:rPr>
      <w:sz w:val="18"/>
      <w:szCs w:val="18"/>
    </w:rPr>
  </w:style>
  <w:style w:type="paragraph" w:styleId="3">
    <w:name w:val="header"/>
    <w:basedOn w:val="1"/>
    <w:link w:val="28"/>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uiPriority w:val="99"/>
    <w:rPr>
      <w:sz w:val="18"/>
      <w:szCs w:val="18"/>
      <w:lang w:eastAsia="uk-UA"/>
    </w:rPr>
  </w:style>
  <w:style w:type="character" w:customStyle="1" w:styleId="29">
    <w:name w:val="页脚 Char"/>
    <w:basedOn w:val="6"/>
    <w:link w:val="2"/>
    <w:semiHidden/>
    <w:uiPriority w:val="99"/>
    <w:rPr>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微软公司</Company>
  <Pages>24</Pages>
  <Words>1602</Words>
  <Characters>9133</Characters>
  <Lines>76</Lines>
  <Paragraphs>21</Paragraphs>
  <TotalTime>5</TotalTime>
  <ScaleCrop>false</ScaleCrop>
  <LinksUpToDate>false</LinksUpToDate>
  <CharactersWithSpaces>10714</CharactersWithSpaces>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2026-01-30T08:36:00Z</dcterms:created>
  <dc:creator>Administrator</dc:creator>
  <cp:lastModifiedBy>李润泽</cp:lastModifiedBy>
  <dcterms:modified xsi:type="dcterms:W3CDTF">2026-03-02T06:18:27Z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230E43D7C9E3458498BE512351F319D4</vt:lpwstr>
  </property>
</Properties>
</file>