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一、中国共产党无极县委员会信访局收支预算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一、中国共产党无极县委员会信访局收支预算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235.62</w:t>
            </w:r>
          </w:p>
        </w:tc>
        <w:tc>
          <w:tcPr>
            <w:tcW w:w="4535" w:type="dxa"/>
            <w:vAlign w:val="center"/>
          </w:tcPr>
          <w:p>
            <w:pPr>
              <w:pStyle w:val="12"/>
            </w:pPr>
            <w:r>
              <w:t>一、一般公共服务支出</w:t>
            </w:r>
          </w:p>
        </w:tc>
        <w:tc>
          <w:tcPr>
            <w:tcW w:w="2126" w:type="dxa"/>
            <w:vAlign w:val="center"/>
          </w:tcPr>
          <w:p>
            <w:pPr>
              <w:pStyle w:val="11"/>
            </w:pPr>
            <w:r>
              <w:t>201.62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235.62</w:t>
            </w:r>
          </w:p>
        </w:tc>
        <w:tc>
          <w:tcPr>
            <w:tcW w:w="4535" w:type="dxa"/>
            <w:vAlign w:val="center"/>
          </w:tcPr>
          <w:p>
            <w:pPr>
              <w:pStyle w:val="14"/>
            </w:pPr>
            <w:r>
              <w:t>本年支出合计</w:t>
            </w:r>
          </w:p>
        </w:tc>
        <w:tc>
          <w:tcPr>
            <w:tcW w:w="2126" w:type="dxa"/>
            <w:vAlign w:val="center"/>
          </w:tcPr>
          <w:p>
            <w:pPr>
              <w:pStyle w:val="15"/>
            </w:pPr>
            <w:r>
              <w:t>235.62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235.62</w:t>
            </w:r>
          </w:p>
        </w:tc>
        <w:tc>
          <w:tcPr>
            <w:tcW w:w="4535" w:type="dxa"/>
            <w:vAlign w:val="center"/>
          </w:tcPr>
          <w:p>
            <w:pPr>
              <w:pStyle w:val="14"/>
            </w:pPr>
            <w:r>
              <w:t>支出总计</w:t>
            </w:r>
          </w:p>
        </w:tc>
        <w:tc>
          <w:tcPr>
            <w:tcW w:w="2126" w:type="dxa"/>
            <w:vAlign w:val="center"/>
          </w:tcPr>
          <w:p>
            <w:pPr>
              <w:pStyle w:val="15"/>
            </w:pPr>
            <w:r>
              <w:t>235.62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235.62</w:t>
            </w:r>
          </w:p>
        </w:tc>
        <w:tc>
          <w:tcPr>
            <w:tcW w:w="1134" w:type="dxa"/>
            <w:vAlign w:val="center"/>
          </w:tcPr>
          <w:p>
            <w:pPr>
              <w:pStyle w:val="15"/>
            </w:pPr>
            <w:r>
              <w:t>235.62</w:t>
            </w:r>
          </w:p>
        </w:tc>
        <w:tc>
          <w:tcPr>
            <w:tcW w:w="1134" w:type="dxa"/>
            <w:vAlign w:val="center"/>
          </w:tcPr>
          <w:p>
            <w:pPr>
              <w:pStyle w:val="15"/>
            </w:pPr>
            <w:r>
              <w:t>235.62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201.62</w:t>
            </w:r>
          </w:p>
        </w:tc>
        <w:tc>
          <w:tcPr>
            <w:tcW w:w="1134" w:type="dxa"/>
            <w:vAlign w:val="center"/>
          </w:tcPr>
          <w:p>
            <w:pPr>
              <w:pStyle w:val="11"/>
            </w:pPr>
            <w:r>
              <w:t>201.62</w:t>
            </w:r>
          </w:p>
        </w:tc>
        <w:tc>
          <w:tcPr>
            <w:tcW w:w="1134" w:type="dxa"/>
            <w:vAlign w:val="center"/>
          </w:tcPr>
          <w:p>
            <w:pPr>
              <w:pStyle w:val="11"/>
            </w:pPr>
            <w:r>
              <w:t>201.62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20140</w:t>
            </w:r>
          </w:p>
        </w:tc>
        <w:tc>
          <w:tcPr>
            <w:tcW w:w="1559" w:type="dxa"/>
            <w:vAlign w:val="center"/>
          </w:tcPr>
          <w:p>
            <w:pPr>
              <w:pStyle w:val="12"/>
            </w:pPr>
            <w:r>
              <w:t>信访事务</w:t>
            </w:r>
          </w:p>
        </w:tc>
        <w:tc>
          <w:tcPr>
            <w:tcW w:w="1134" w:type="dxa"/>
            <w:vAlign w:val="center"/>
          </w:tcPr>
          <w:p>
            <w:pPr>
              <w:pStyle w:val="11"/>
            </w:pPr>
            <w:r>
              <w:t>201.62</w:t>
            </w:r>
          </w:p>
        </w:tc>
        <w:tc>
          <w:tcPr>
            <w:tcW w:w="1134" w:type="dxa"/>
            <w:vAlign w:val="center"/>
          </w:tcPr>
          <w:p>
            <w:pPr>
              <w:pStyle w:val="11"/>
            </w:pPr>
            <w:r>
              <w:t>201.62</w:t>
            </w:r>
          </w:p>
        </w:tc>
        <w:tc>
          <w:tcPr>
            <w:tcW w:w="1134" w:type="dxa"/>
            <w:vAlign w:val="center"/>
          </w:tcPr>
          <w:p>
            <w:pPr>
              <w:pStyle w:val="11"/>
            </w:pPr>
            <w:r>
              <w:t>201.62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2014001</w:t>
            </w:r>
          </w:p>
        </w:tc>
        <w:tc>
          <w:tcPr>
            <w:tcW w:w="1559" w:type="dxa"/>
            <w:vAlign w:val="center"/>
          </w:tcPr>
          <w:p>
            <w:pPr>
              <w:pStyle w:val="12"/>
            </w:pPr>
            <w:r>
              <w:t>行政运行</w:t>
            </w:r>
          </w:p>
        </w:tc>
        <w:tc>
          <w:tcPr>
            <w:tcW w:w="1134" w:type="dxa"/>
            <w:vAlign w:val="center"/>
          </w:tcPr>
          <w:p>
            <w:pPr>
              <w:pStyle w:val="11"/>
            </w:pPr>
            <w:r>
              <w:t>201.62</w:t>
            </w:r>
          </w:p>
        </w:tc>
        <w:tc>
          <w:tcPr>
            <w:tcW w:w="1134" w:type="dxa"/>
            <w:vAlign w:val="center"/>
          </w:tcPr>
          <w:p>
            <w:pPr>
              <w:pStyle w:val="11"/>
            </w:pPr>
            <w:r>
              <w:t>201.62</w:t>
            </w:r>
          </w:p>
        </w:tc>
        <w:tc>
          <w:tcPr>
            <w:tcW w:w="1134" w:type="dxa"/>
            <w:vAlign w:val="center"/>
          </w:tcPr>
          <w:p>
            <w:pPr>
              <w:pStyle w:val="11"/>
            </w:pPr>
            <w:r>
              <w:t>201.62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235.62</w:t>
            </w:r>
          </w:p>
        </w:tc>
        <w:tc>
          <w:tcPr>
            <w:tcW w:w="1361" w:type="dxa"/>
            <w:vAlign w:val="center"/>
          </w:tcPr>
          <w:p>
            <w:pPr>
              <w:pStyle w:val="15"/>
            </w:pPr>
            <w:r>
              <w:t>235.62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201.62</w:t>
            </w:r>
          </w:p>
        </w:tc>
        <w:tc>
          <w:tcPr>
            <w:tcW w:w="1361" w:type="dxa"/>
            <w:vAlign w:val="center"/>
          </w:tcPr>
          <w:p>
            <w:pPr>
              <w:pStyle w:val="11"/>
            </w:pPr>
            <w:r>
              <w:t>201.62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20140</w:t>
            </w:r>
          </w:p>
        </w:tc>
        <w:tc>
          <w:tcPr>
            <w:tcW w:w="4535" w:type="dxa"/>
            <w:vAlign w:val="center"/>
          </w:tcPr>
          <w:p>
            <w:pPr>
              <w:pStyle w:val="12"/>
            </w:pPr>
            <w:r>
              <w:t>信访事务</w:t>
            </w:r>
          </w:p>
        </w:tc>
        <w:tc>
          <w:tcPr>
            <w:tcW w:w="1361" w:type="dxa"/>
            <w:vAlign w:val="center"/>
          </w:tcPr>
          <w:p>
            <w:pPr>
              <w:pStyle w:val="11"/>
            </w:pPr>
            <w:r>
              <w:t>201.62</w:t>
            </w:r>
          </w:p>
        </w:tc>
        <w:tc>
          <w:tcPr>
            <w:tcW w:w="1361" w:type="dxa"/>
            <w:vAlign w:val="center"/>
          </w:tcPr>
          <w:p>
            <w:pPr>
              <w:pStyle w:val="11"/>
            </w:pPr>
            <w:r>
              <w:t>201.62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2014001</w:t>
            </w:r>
          </w:p>
        </w:tc>
        <w:tc>
          <w:tcPr>
            <w:tcW w:w="4535" w:type="dxa"/>
            <w:vAlign w:val="center"/>
          </w:tcPr>
          <w:p>
            <w:pPr>
              <w:pStyle w:val="12"/>
            </w:pPr>
            <w:r>
              <w:t>行政运行</w:t>
            </w:r>
          </w:p>
        </w:tc>
        <w:tc>
          <w:tcPr>
            <w:tcW w:w="1361" w:type="dxa"/>
            <w:vAlign w:val="center"/>
          </w:tcPr>
          <w:p>
            <w:pPr>
              <w:pStyle w:val="11"/>
            </w:pPr>
            <w:r>
              <w:t>201.62</w:t>
            </w:r>
          </w:p>
        </w:tc>
        <w:tc>
          <w:tcPr>
            <w:tcW w:w="1361" w:type="dxa"/>
            <w:vAlign w:val="center"/>
          </w:tcPr>
          <w:p>
            <w:pPr>
              <w:pStyle w:val="11"/>
            </w:pPr>
            <w:r>
              <w:t>201.62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235.62</w:t>
            </w:r>
          </w:p>
        </w:tc>
        <w:tc>
          <w:tcPr>
            <w:tcW w:w="3402" w:type="dxa"/>
            <w:vAlign w:val="center"/>
          </w:tcPr>
          <w:p>
            <w:pPr>
              <w:pStyle w:val="12"/>
            </w:pPr>
            <w:r>
              <w:t>一、一般公共服务支出</w:t>
            </w:r>
          </w:p>
        </w:tc>
        <w:tc>
          <w:tcPr>
            <w:tcW w:w="1474" w:type="dxa"/>
            <w:vAlign w:val="center"/>
          </w:tcPr>
          <w:p>
            <w:pPr>
              <w:pStyle w:val="11"/>
            </w:pPr>
            <w:r>
              <w:t>201.62</w:t>
            </w:r>
          </w:p>
        </w:tc>
        <w:tc>
          <w:tcPr>
            <w:tcW w:w="1474" w:type="dxa"/>
            <w:vAlign w:val="center"/>
          </w:tcPr>
          <w:p>
            <w:pPr>
              <w:pStyle w:val="11"/>
            </w:pPr>
            <w:r>
              <w:t>201.62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25.00</w:t>
            </w:r>
          </w:p>
        </w:tc>
        <w:tc>
          <w:tcPr>
            <w:tcW w:w="1474" w:type="dxa"/>
            <w:vAlign w:val="center"/>
          </w:tcPr>
          <w:p>
            <w:pPr>
              <w:pStyle w:val="11"/>
            </w:pPr>
            <w:r>
              <w:t>25.00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9.00</w:t>
            </w:r>
          </w:p>
        </w:tc>
        <w:tc>
          <w:tcPr>
            <w:tcW w:w="1474" w:type="dxa"/>
            <w:vAlign w:val="center"/>
          </w:tcPr>
          <w:p>
            <w:pPr>
              <w:pStyle w:val="11"/>
            </w:pPr>
            <w:r>
              <w:t>9.00</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235.62</w:t>
            </w:r>
          </w:p>
        </w:tc>
        <w:tc>
          <w:tcPr>
            <w:tcW w:w="3402" w:type="dxa"/>
            <w:vAlign w:val="center"/>
          </w:tcPr>
          <w:p>
            <w:pPr>
              <w:pStyle w:val="14"/>
            </w:pPr>
            <w:r>
              <w:t>本年支出合计</w:t>
            </w:r>
          </w:p>
        </w:tc>
        <w:tc>
          <w:tcPr>
            <w:tcW w:w="1474" w:type="dxa"/>
            <w:vAlign w:val="center"/>
          </w:tcPr>
          <w:p>
            <w:pPr>
              <w:pStyle w:val="15"/>
            </w:pPr>
            <w:r>
              <w:t>235.62</w:t>
            </w:r>
          </w:p>
        </w:tc>
        <w:tc>
          <w:tcPr>
            <w:tcW w:w="1474" w:type="dxa"/>
            <w:vAlign w:val="center"/>
          </w:tcPr>
          <w:p>
            <w:pPr>
              <w:pStyle w:val="15"/>
            </w:pPr>
            <w:r>
              <w:t>235.62</w:t>
            </w: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235.62</w:t>
            </w:r>
          </w:p>
        </w:tc>
        <w:tc>
          <w:tcPr>
            <w:tcW w:w="3402" w:type="dxa"/>
            <w:vAlign w:val="center"/>
          </w:tcPr>
          <w:p>
            <w:pPr>
              <w:pStyle w:val="14"/>
            </w:pPr>
            <w:r>
              <w:t>支出总计</w:t>
            </w:r>
          </w:p>
        </w:tc>
        <w:tc>
          <w:tcPr>
            <w:tcW w:w="1474" w:type="dxa"/>
            <w:vAlign w:val="center"/>
          </w:tcPr>
          <w:p>
            <w:pPr>
              <w:pStyle w:val="15"/>
            </w:pPr>
            <w:r>
              <w:t>235.62</w:t>
            </w:r>
          </w:p>
        </w:tc>
        <w:tc>
          <w:tcPr>
            <w:tcW w:w="1474" w:type="dxa"/>
            <w:vAlign w:val="center"/>
          </w:tcPr>
          <w:p>
            <w:pPr>
              <w:pStyle w:val="15"/>
            </w:pPr>
            <w:r>
              <w:t>235.62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235.62</w:t>
            </w:r>
          </w:p>
        </w:tc>
        <w:tc>
          <w:tcPr>
            <w:tcW w:w="2551" w:type="dxa"/>
            <w:vAlign w:val="center"/>
          </w:tcPr>
          <w:p>
            <w:pPr>
              <w:pStyle w:val="15"/>
            </w:pPr>
            <w:r>
              <w:t>235.62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201.62</w:t>
            </w:r>
          </w:p>
        </w:tc>
        <w:tc>
          <w:tcPr>
            <w:tcW w:w="2551" w:type="dxa"/>
            <w:vAlign w:val="center"/>
          </w:tcPr>
          <w:p>
            <w:pPr>
              <w:pStyle w:val="11"/>
            </w:pPr>
            <w:r>
              <w:t>201.62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20140</w:t>
            </w:r>
          </w:p>
        </w:tc>
        <w:tc>
          <w:tcPr>
            <w:tcW w:w="4535" w:type="dxa"/>
            <w:vAlign w:val="center"/>
          </w:tcPr>
          <w:p>
            <w:pPr>
              <w:pStyle w:val="12"/>
            </w:pPr>
            <w:r>
              <w:t>信访事务</w:t>
            </w:r>
          </w:p>
        </w:tc>
        <w:tc>
          <w:tcPr>
            <w:tcW w:w="2551" w:type="dxa"/>
            <w:vAlign w:val="center"/>
          </w:tcPr>
          <w:p>
            <w:pPr>
              <w:pStyle w:val="11"/>
            </w:pPr>
            <w:r>
              <w:t>201.62</w:t>
            </w:r>
          </w:p>
        </w:tc>
        <w:tc>
          <w:tcPr>
            <w:tcW w:w="2551" w:type="dxa"/>
            <w:vAlign w:val="center"/>
          </w:tcPr>
          <w:p>
            <w:pPr>
              <w:pStyle w:val="11"/>
            </w:pPr>
            <w:r>
              <w:t>201.62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2014001</w:t>
            </w:r>
          </w:p>
        </w:tc>
        <w:tc>
          <w:tcPr>
            <w:tcW w:w="4535" w:type="dxa"/>
            <w:vAlign w:val="center"/>
          </w:tcPr>
          <w:p>
            <w:pPr>
              <w:pStyle w:val="12"/>
            </w:pPr>
            <w:r>
              <w:t>行政运行</w:t>
            </w:r>
          </w:p>
        </w:tc>
        <w:tc>
          <w:tcPr>
            <w:tcW w:w="2551" w:type="dxa"/>
            <w:vAlign w:val="center"/>
          </w:tcPr>
          <w:p>
            <w:pPr>
              <w:pStyle w:val="11"/>
            </w:pPr>
            <w:r>
              <w:t>201.62</w:t>
            </w:r>
          </w:p>
        </w:tc>
        <w:tc>
          <w:tcPr>
            <w:tcW w:w="2551" w:type="dxa"/>
            <w:vAlign w:val="center"/>
          </w:tcPr>
          <w:p>
            <w:pPr>
              <w:pStyle w:val="11"/>
            </w:pPr>
            <w:r>
              <w:t>201.62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235.62</w:t>
            </w:r>
          </w:p>
        </w:tc>
        <w:tc>
          <w:tcPr>
            <w:tcW w:w="2551" w:type="dxa"/>
            <w:vAlign w:val="center"/>
          </w:tcPr>
          <w:p>
            <w:pPr>
              <w:pStyle w:val="15"/>
            </w:pPr>
            <w:r>
              <w:t>215.81</w:t>
            </w:r>
          </w:p>
        </w:tc>
        <w:tc>
          <w:tcPr>
            <w:tcW w:w="2551" w:type="dxa"/>
            <w:vAlign w:val="center"/>
          </w:tcPr>
          <w:p>
            <w:pPr>
              <w:pStyle w:val="15"/>
            </w:pPr>
            <w:r>
              <w:t>19.81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202.81</w:t>
            </w:r>
          </w:p>
        </w:tc>
        <w:tc>
          <w:tcPr>
            <w:tcW w:w="2551" w:type="dxa"/>
            <w:vAlign w:val="center"/>
          </w:tcPr>
          <w:p>
            <w:pPr>
              <w:pStyle w:val="11"/>
            </w:pPr>
            <w:r>
              <w:t>202.81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90.00</w:t>
            </w:r>
          </w:p>
        </w:tc>
        <w:tc>
          <w:tcPr>
            <w:tcW w:w="2551" w:type="dxa"/>
            <w:vAlign w:val="center"/>
          </w:tcPr>
          <w:p>
            <w:pPr>
              <w:pStyle w:val="11"/>
            </w:pPr>
            <w:r>
              <w:t>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25.10</w:t>
            </w:r>
          </w:p>
        </w:tc>
        <w:tc>
          <w:tcPr>
            <w:tcW w:w="2551" w:type="dxa"/>
            <w:vAlign w:val="center"/>
          </w:tcPr>
          <w:p>
            <w:pPr>
              <w:pStyle w:val="11"/>
            </w:pPr>
            <w:r>
              <w:t>25.10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16.20</w:t>
            </w:r>
          </w:p>
        </w:tc>
        <w:tc>
          <w:tcPr>
            <w:tcW w:w="2551" w:type="dxa"/>
            <w:vAlign w:val="center"/>
          </w:tcPr>
          <w:p>
            <w:pPr>
              <w:pStyle w:val="11"/>
            </w:pPr>
            <w:r>
              <w:t>16.20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36.40</w:t>
            </w:r>
          </w:p>
        </w:tc>
        <w:tc>
          <w:tcPr>
            <w:tcW w:w="2551" w:type="dxa"/>
            <w:vAlign w:val="center"/>
          </w:tcPr>
          <w:p>
            <w:pPr>
              <w:pStyle w:val="11"/>
            </w:pPr>
            <w:r>
              <w:t>36.40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1.11</w:t>
            </w:r>
          </w:p>
        </w:tc>
        <w:tc>
          <w:tcPr>
            <w:tcW w:w="2551" w:type="dxa"/>
            <w:vAlign w:val="center"/>
          </w:tcPr>
          <w:p>
            <w:pPr>
              <w:pStyle w:val="11"/>
            </w:pPr>
            <w:r>
              <w:t>1.11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19.81</w:t>
            </w:r>
          </w:p>
        </w:tc>
        <w:tc>
          <w:tcPr>
            <w:tcW w:w="2551" w:type="dxa"/>
            <w:vAlign w:val="center"/>
          </w:tcPr>
          <w:p>
            <w:pPr>
              <w:pStyle w:val="11"/>
            </w:pPr>
          </w:p>
        </w:tc>
        <w:tc>
          <w:tcPr>
            <w:tcW w:w="2551" w:type="dxa"/>
            <w:vAlign w:val="center"/>
          </w:tcPr>
          <w:p>
            <w:pPr>
              <w:pStyle w:val="11"/>
            </w:pPr>
            <w:r>
              <w:t>19.81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8.50</w:t>
            </w:r>
          </w:p>
        </w:tc>
        <w:tc>
          <w:tcPr>
            <w:tcW w:w="2551" w:type="dxa"/>
            <w:vAlign w:val="center"/>
          </w:tcPr>
          <w:p>
            <w:pPr>
              <w:pStyle w:val="11"/>
            </w:pPr>
          </w:p>
        </w:tc>
        <w:tc>
          <w:tcPr>
            <w:tcW w:w="2551" w:type="dxa"/>
            <w:vAlign w:val="center"/>
          </w:tcPr>
          <w:p>
            <w:pPr>
              <w:pStyle w:val="11"/>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3.40</w:t>
            </w:r>
          </w:p>
        </w:tc>
        <w:tc>
          <w:tcPr>
            <w:tcW w:w="2551" w:type="dxa"/>
            <w:vAlign w:val="center"/>
          </w:tcPr>
          <w:p>
            <w:pPr>
              <w:pStyle w:val="11"/>
            </w:pPr>
          </w:p>
        </w:tc>
        <w:tc>
          <w:tcPr>
            <w:tcW w:w="2551" w:type="dxa"/>
            <w:vAlign w:val="center"/>
          </w:tcPr>
          <w:p>
            <w:pPr>
              <w:pStyle w:val="11"/>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13.00</w:t>
            </w:r>
          </w:p>
        </w:tc>
        <w:tc>
          <w:tcPr>
            <w:tcW w:w="2551" w:type="dxa"/>
            <w:vAlign w:val="center"/>
          </w:tcPr>
          <w:p>
            <w:pPr>
              <w:pStyle w:val="11"/>
            </w:pPr>
            <w:r>
              <w:t>13.00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13.00</w:t>
            </w:r>
          </w:p>
        </w:tc>
        <w:tc>
          <w:tcPr>
            <w:tcW w:w="2551" w:type="dxa"/>
            <w:vAlign w:val="center"/>
          </w:tcPr>
          <w:p>
            <w:pPr>
              <w:pStyle w:val="11"/>
            </w:pPr>
            <w:r>
              <w:t>13.00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中国共产党无极县委员会信访局2026年单位预算信息公开情况说明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按照《中华人民共和国预算法》、《地方预决算公开操作规程》和《关于进一步推进预算公开工作的实施意见》规定，现将中国共产党无极县委员会信访局2026年单位预算公开如下：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1、负责各部门来信来访接待工作。</w:t>
      </w:r>
    </w:p>
    <w:p>
      <w:pPr>
        <w:pStyle w:val="17"/>
      </w:pPr>
      <w:r>
        <w:t>２、承办上级党政机关和领导同志批转、交办的来信来访事项，对案件进行归口分流。</w:t>
      </w:r>
    </w:p>
    <w:p>
      <w:pPr>
        <w:pStyle w:val="17"/>
      </w:pPr>
      <w:r>
        <w:t>３、负责向县委、县政府和上级主管部门及本局领导报送重要信访动态和信访信息。</w:t>
      </w:r>
    </w:p>
    <w:p>
      <w:pPr>
        <w:pStyle w:val="17"/>
      </w:pPr>
      <w:r>
        <w:t>4、负责落实重点人员“五包一”责任制逐人确定包案领导、责任人。</w:t>
      </w:r>
    </w:p>
    <w:p>
      <w:pPr>
        <w:pStyle w:val="17"/>
      </w:pPr>
      <w:r>
        <w:t>5、加大领导干部接约访力度。落实领导干部接访约访下访制度。</w:t>
      </w:r>
    </w:p>
    <w:p>
      <w:pPr>
        <w:pStyle w:val="17"/>
      </w:pPr>
      <w:r>
        <w:t>6、负责开展信访积案化解工作。对所有积案，逐案制定化解方案，明确办结时限。</w:t>
      </w:r>
    </w:p>
    <w:p>
      <w:pPr>
        <w:pStyle w:val="17"/>
      </w:pPr>
      <w:r>
        <w:t>7、加强驻京值班，加大依法打击和接劝返处置力度。</w:t>
      </w:r>
    </w:p>
    <w:p>
      <w:pPr>
        <w:pStyle w:val="17"/>
      </w:pPr>
      <w:r>
        <w:t>8、加强网上信访办理力度，注重提高“三率”工作。</w:t>
      </w:r>
    </w:p>
    <w:p>
      <w:pPr>
        <w:pStyle w:val="17"/>
      </w:pPr>
      <w:r>
        <w:t>9、责向分管乡镇和县直部门交办信访案件，并督办、催办和对结果报告的审查、上报工作。</w:t>
      </w:r>
    </w:p>
    <w:p>
      <w:pPr>
        <w:pStyle w:val="17"/>
      </w:pPr>
      <w:r>
        <w:t>10、负责综合分析全县信访形势和信访工作状况。</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中国共产党无极县委员会信访局</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235.62万元，其中：一般公共预算收入235.62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党无极县委员会信访局年度单位预算中支出预算的总体情况。2026年支出预算235.62万元，其中基本支出235.62万元，包括人员经费215.81万元和日常公用经费19.81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235.62万元，较2025年预算减少82.58万元，其中：基本支出减少57.38万元，主要为本年度人员减少。项目支出减少25.20万元，主要为本年度项目无市级解决特殊疑难专项资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2026年，我单位机关运行经费共计安排19.81万元，主要用于日常维修、办公用房水电费、办公用房取暖费、办公用房物业管理费等日常运行支出。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严格按照公务车相关制度执行</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ind w:firstLine="1280" w:firstLineChars="400"/>
        <w:jc w:val="left"/>
        <w:outlineLvl w:val="5"/>
        <w:rPr>
          <w:rFonts w:ascii="黑体" w:hAnsi="黑体" w:eastAsia="黑体" w:cs="黑体"/>
          <w:color w:val="000000"/>
          <w:sz w:val="32"/>
        </w:rPr>
        <w:sectPr>
          <w:pgSz w:w="16840" w:h="11900" w:orient="landscape"/>
          <w:pgMar w:top="1361" w:right="1020" w:bottom="1361" w:left="1020" w:header="720" w:footer="720" w:gutter="0"/>
        </w:sectPr>
      </w:pPr>
      <w:bookmarkStart w:id="1" w:name="_GoBack"/>
      <w:bookmarkEnd w:id="1"/>
      <w:r>
        <w:rPr>
          <w:rFonts w:hint="eastAsia" w:ascii="黑体" w:hAnsi="黑体" w:eastAsia="黑体" w:cs="黑体"/>
          <w:color w:val="000000"/>
          <w:sz w:val="3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中国共产党无极县委员会信访局上年末固定资产金额为64.94万元（详见下表）。本年度拟购置固定资产总额为0.00万元，已按要求列入政府采购预算，详见政府采购预算表。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132</w:t>
            </w:r>
          </w:p>
        </w:tc>
        <w:tc>
          <w:tcPr>
            <w:tcW w:w="2835" w:type="dxa"/>
            <w:vAlign w:val="center"/>
          </w:tcPr>
          <w:p>
            <w:pPr>
              <w:pStyle w:val="11"/>
            </w:pPr>
            <w:r>
              <w:t>53.55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27E59BA"/>
    <w:multiLevelType w:val="singleLevel"/>
    <w:tmpl w:val="C27E59BA"/>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0444E23"/>
    <w:rsid w:val="3C8155F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21</Pages>
  <TotalTime>1</TotalTime>
  <ScaleCrop>false</ScaleCrop>
  <LinksUpToDate>false</LinksUpToDate>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2026-02-25T15:49:00Z</dcterms:created>
  <dc:creator>Administrator</dc:creator>
  <cp:lastModifiedBy>Administrator</cp:lastModifiedBy>
  <dcterms:modified xsi:type="dcterms:W3CDTF">2026-02-25T08:19:28Z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