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235.62</w:t>
            </w:r>
          </w:p>
        </w:tc>
        <w:tc>
          <w:tcPr>
            <w:tcW w:w="4535" w:type="dxa"/>
            <w:vAlign w:val="center"/>
          </w:tcPr>
          <w:p>
            <w:pPr>
              <w:pStyle w:val="13"/>
            </w:pPr>
            <w:r>
              <w:t>一、一般公共服务支出</w:t>
            </w:r>
          </w:p>
        </w:tc>
        <w:tc>
          <w:tcPr>
            <w:tcW w:w="2126" w:type="dxa"/>
            <w:vAlign w:val="center"/>
          </w:tcPr>
          <w:p>
            <w:pPr>
              <w:pStyle w:val="12"/>
            </w:pPr>
            <w:r>
              <w:t>201.62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235.62</w:t>
            </w:r>
          </w:p>
        </w:tc>
        <w:tc>
          <w:tcPr>
            <w:tcW w:w="4535" w:type="dxa"/>
            <w:vAlign w:val="center"/>
          </w:tcPr>
          <w:p>
            <w:pPr>
              <w:pStyle w:val="15"/>
            </w:pPr>
            <w:r>
              <w:t>本年支出合计</w:t>
            </w:r>
          </w:p>
        </w:tc>
        <w:tc>
          <w:tcPr>
            <w:tcW w:w="2126" w:type="dxa"/>
            <w:vAlign w:val="center"/>
          </w:tcPr>
          <w:p>
            <w:pPr>
              <w:pStyle w:val="16"/>
            </w:pPr>
            <w:r>
              <w:t>235.62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235.62</w:t>
            </w:r>
          </w:p>
        </w:tc>
        <w:tc>
          <w:tcPr>
            <w:tcW w:w="4535" w:type="dxa"/>
            <w:vAlign w:val="center"/>
          </w:tcPr>
          <w:p>
            <w:pPr>
              <w:pStyle w:val="15"/>
            </w:pPr>
            <w:r>
              <w:t>支出总计</w:t>
            </w:r>
          </w:p>
        </w:tc>
        <w:tc>
          <w:tcPr>
            <w:tcW w:w="2126" w:type="dxa"/>
            <w:vAlign w:val="center"/>
          </w:tcPr>
          <w:p>
            <w:pPr>
              <w:pStyle w:val="16"/>
            </w:pPr>
            <w:r>
              <w:t>235.62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235.62</w:t>
            </w:r>
          </w:p>
        </w:tc>
        <w:tc>
          <w:tcPr>
            <w:tcW w:w="1134" w:type="dxa"/>
            <w:vAlign w:val="center"/>
          </w:tcPr>
          <w:p>
            <w:pPr>
              <w:pStyle w:val="16"/>
            </w:pPr>
            <w:r>
              <w:t>235.62</w:t>
            </w:r>
          </w:p>
        </w:tc>
        <w:tc>
          <w:tcPr>
            <w:tcW w:w="1134" w:type="dxa"/>
            <w:vAlign w:val="center"/>
          </w:tcPr>
          <w:p>
            <w:pPr>
              <w:pStyle w:val="16"/>
            </w:pPr>
            <w:r>
              <w:t>235.62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r>
              <w:t>201.62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235.62</w:t>
            </w:r>
          </w:p>
        </w:tc>
        <w:tc>
          <w:tcPr>
            <w:tcW w:w="1361" w:type="dxa"/>
            <w:vAlign w:val="center"/>
          </w:tcPr>
          <w:p>
            <w:pPr>
              <w:pStyle w:val="16"/>
            </w:pPr>
            <w:r>
              <w:t>235.62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201.62</w:t>
            </w:r>
          </w:p>
        </w:tc>
        <w:tc>
          <w:tcPr>
            <w:tcW w:w="1361" w:type="dxa"/>
            <w:vAlign w:val="center"/>
          </w:tcPr>
          <w:p>
            <w:pPr>
              <w:pStyle w:val="12"/>
            </w:pPr>
            <w:r>
              <w:t>201.62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201.62</w:t>
            </w:r>
          </w:p>
        </w:tc>
        <w:tc>
          <w:tcPr>
            <w:tcW w:w="1361" w:type="dxa"/>
            <w:vAlign w:val="center"/>
          </w:tcPr>
          <w:p>
            <w:pPr>
              <w:pStyle w:val="12"/>
            </w:pPr>
            <w:r>
              <w:t>201.62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201.62</w:t>
            </w:r>
          </w:p>
        </w:tc>
        <w:tc>
          <w:tcPr>
            <w:tcW w:w="1361" w:type="dxa"/>
            <w:vAlign w:val="center"/>
          </w:tcPr>
          <w:p>
            <w:pPr>
              <w:pStyle w:val="12"/>
            </w:pPr>
            <w:r>
              <w:t>201.62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235.62</w:t>
            </w:r>
          </w:p>
        </w:tc>
        <w:tc>
          <w:tcPr>
            <w:tcW w:w="3402" w:type="dxa"/>
            <w:vAlign w:val="center"/>
          </w:tcPr>
          <w:p>
            <w:pPr>
              <w:pStyle w:val="13"/>
            </w:pPr>
            <w:r>
              <w:t>一、一般公共服务支出</w:t>
            </w:r>
          </w:p>
        </w:tc>
        <w:tc>
          <w:tcPr>
            <w:tcW w:w="1474" w:type="dxa"/>
            <w:vAlign w:val="center"/>
          </w:tcPr>
          <w:p>
            <w:pPr>
              <w:pStyle w:val="12"/>
            </w:pPr>
            <w:r>
              <w:t>201.62</w:t>
            </w:r>
          </w:p>
        </w:tc>
        <w:tc>
          <w:tcPr>
            <w:tcW w:w="1474" w:type="dxa"/>
            <w:vAlign w:val="center"/>
          </w:tcPr>
          <w:p>
            <w:pPr>
              <w:pStyle w:val="12"/>
            </w:pPr>
            <w:r>
              <w:t>201.62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25.00</w:t>
            </w:r>
          </w:p>
        </w:tc>
        <w:tc>
          <w:tcPr>
            <w:tcW w:w="1474" w:type="dxa"/>
            <w:vAlign w:val="center"/>
          </w:tcPr>
          <w:p>
            <w:pPr>
              <w:pStyle w:val="12"/>
            </w:pPr>
            <w:r>
              <w:t>25.00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9.00</w:t>
            </w:r>
          </w:p>
        </w:tc>
        <w:tc>
          <w:tcPr>
            <w:tcW w:w="1474" w:type="dxa"/>
            <w:vAlign w:val="center"/>
          </w:tcPr>
          <w:p>
            <w:pPr>
              <w:pStyle w:val="12"/>
            </w:pPr>
            <w:r>
              <w:t>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235.62</w:t>
            </w:r>
          </w:p>
        </w:tc>
        <w:tc>
          <w:tcPr>
            <w:tcW w:w="3402" w:type="dxa"/>
            <w:vAlign w:val="center"/>
          </w:tcPr>
          <w:p>
            <w:pPr>
              <w:pStyle w:val="15"/>
            </w:pPr>
            <w:r>
              <w:t>本年支出合计</w:t>
            </w:r>
          </w:p>
        </w:tc>
        <w:tc>
          <w:tcPr>
            <w:tcW w:w="1474" w:type="dxa"/>
            <w:vAlign w:val="center"/>
          </w:tcPr>
          <w:p>
            <w:pPr>
              <w:pStyle w:val="16"/>
            </w:pPr>
            <w:r>
              <w:t>235.62</w:t>
            </w:r>
          </w:p>
        </w:tc>
        <w:tc>
          <w:tcPr>
            <w:tcW w:w="1474" w:type="dxa"/>
            <w:vAlign w:val="center"/>
          </w:tcPr>
          <w:p>
            <w:pPr>
              <w:pStyle w:val="16"/>
            </w:pPr>
            <w:r>
              <w:t>235.62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235.62</w:t>
            </w:r>
          </w:p>
        </w:tc>
        <w:tc>
          <w:tcPr>
            <w:tcW w:w="3402" w:type="dxa"/>
            <w:vAlign w:val="center"/>
          </w:tcPr>
          <w:p>
            <w:pPr>
              <w:pStyle w:val="15"/>
            </w:pPr>
            <w:r>
              <w:t>支出总计</w:t>
            </w:r>
          </w:p>
        </w:tc>
        <w:tc>
          <w:tcPr>
            <w:tcW w:w="1474" w:type="dxa"/>
            <w:vAlign w:val="center"/>
          </w:tcPr>
          <w:p>
            <w:pPr>
              <w:pStyle w:val="16"/>
            </w:pPr>
            <w:r>
              <w:t>235.62</w:t>
            </w:r>
          </w:p>
        </w:tc>
        <w:tc>
          <w:tcPr>
            <w:tcW w:w="1474" w:type="dxa"/>
            <w:vAlign w:val="center"/>
          </w:tcPr>
          <w:p>
            <w:pPr>
              <w:pStyle w:val="16"/>
            </w:pPr>
            <w:r>
              <w:t>235.62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235.62</w:t>
            </w:r>
          </w:p>
        </w:tc>
        <w:tc>
          <w:tcPr>
            <w:tcW w:w="2551" w:type="dxa"/>
            <w:vAlign w:val="center"/>
          </w:tcPr>
          <w:p>
            <w:pPr>
              <w:pStyle w:val="16"/>
            </w:pPr>
            <w:r>
              <w:t>235.62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201.62</w:t>
            </w:r>
          </w:p>
        </w:tc>
        <w:tc>
          <w:tcPr>
            <w:tcW w:w="2551" w:type="dxa"/>
            <w:vAlign w:val="center"/>
          </w:tcPr>
          <w:p>
            <w:pPr>
              <w:pStyle w:val="12"/>
            </w:pPr>
            <w:r>
              <w:t>201.62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201.62</w:t>
            </w:r>
          </w:p>
        </w:tc>
        <w:tc>
          <w:tcPr>
            <w:tcW w:w="2551" w:type="dxa"/>
            <w:vAlign w:val="center"/>
          </w:tcPr>
          <w:p>
            <w:pPr>
              <w:pStyle w:val="12"/>
            </w:pPr>
            <w:r>
              <w:t>201.62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201.62</w:t>
            </w:r>
          </w:p>
        </w:tc>
        <w:tc>
          <w:tcPr>
            <w:tcW w:w="2551" w:type="dxa"/>
            <w:vAlign w:val="center"/>
          </w:tcPr>
          <w:p>
            <w:pPr>
              <w:pStyle w:val="12"/>
            </w:pPr>
            <w:r>
              <w:t>201.62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235.62</w:t>
            </w:r>
          </w:p>
        </w:tc>
        <w:tc>
          <w:tcPr>
            <w:tcW w:w="2551" w:type="dxa"/>
            <w:vAlign w:val="center"/>
          </w:tcPr>
          <w:p>
            <w:pPr>
              <w:pStyle w:val="16"/>
            </w:pPr>
            <w:r>
              <w:t>215.81</w:t>
            </w:r>
          </w:p>
        </w:tc>
        <w:tc>
          <w:tcPr>
            <w:tcW w:w="2551" w:type="dxa"/>
            <w:vAlign w:val="center"/>
          </w:tcPr>
          <w:p>
            <w:pPr>
              <w:pStyle w:val="16"/>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202.81</w:t>
            </w:r>
          </w:p>
        </w:tc>
        <w:tc>
          <w:tcPr>
            <w:tcW w:w="2551" w:type="dxa"/>
            <w:vAlign w:val="center"/>
          </w:tcPr>
          <w:p>
            <w:pPr>
              <w:pStyle w:val="12"/>
            </w:pPr>
            <w:r>
              <w:t>202.81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25.10</w:t>
            </w:r>
          </w:p>
        </w:tc>
        <w:tc>
          <w:tcPr>
            <w:tcW w:w="2551" w:type="dxa"/>
            <w:vAlign w:val="center"/>
          </w:tcPr>
          <w:p>
            <w:pPr>
              <w:pStyle w:val="12"/>
            </w:pPr>
            <w:r>
              <w:t>25.10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16.20</w:t>
            </w:r>
          </w:p>
        </w:tc>
        <w:tc>
          <w:tcPr>
            <w:tcW w:w="2551" w:type="dxa"/>
            <w:vAlign w:val="center"/>
          </w:tcPr>
          <w:p>
            <w:pPr>
              <w:pStyle w:val="12"/>
            </w:pPr>
            <w:r>
              <w:t>16.20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36.40</w:t>
            </w:r>
          </w:p>
        </w:tc>
        <w:tc>
          <w:tcPr>
            <w:tcW w:w="2551" w:type="dxa"/>
            <w:vAlign w:val="center"/>
          </w:tcPr>
          <w:p>
            <w:pPr>
              <w:pStyle w:val="12"/>
            </w:pPr>
            <w:r>
              <w:t>36.40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1.11</w:t>
            </w:r>
          </w:p>
        </w:tc>
        <w:tc>
          <w:tcPr>
            <w:tcW w:w="2551" w:type="dxa"/>
            <w:vAlign w:val="center"/>
          </w:tcPr>
          <w:p>
            <w:pPr>
              <w:pStyle w:val="12"/>
            </w:pPr>
            <w:r>
              <w:t>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19.81</w:t>
            </w:r>
          </w:p>
        </w:tc>
        <w:tc>
          <w:tcPr>
            <w:tcW w:w="2551" w:type="dxa"/>
            <w:vAlign w:val="center"/>
          </w:tcPr>
          <w:p>
            <w:pPr>
              <w:pStyle w:val="12"/>
            </w:pPr>
          </w:p>
        </w:tc>
        <w:tc>
          <w:tcPr>
            <w:tcW w:w="2551" w:type="dxa"/>
            <w:vAlign w:val="center"/>
          </w:tcPr>
          <w:p>
            <w:pPr>
              <w:pStyle w:val="12"/>
            </w:pPr>
            <w:r>
              <w:t>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中国共产党无极县委员会信访局2026年部门预算信息公开情况说明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1、负责各部门来信来访接待工作。</w:t>
      </w:r>
    </w:p>
    <w:p>
      <w:pPr>
        <w:pStyle w:val="18"/>
      </w:pPr>
      <w:r>
        <w:t>２、承办上级党政机关和领导同志批转、交办的来信来访事项，对案件进行归口分流。</w:t>
      </w:r>
    </w:p>
    <w:p>
      <w:pPr>
        <w:pStyle w:val="18"/>
      </w:pPr>
      <w:r>
        <w:t>３、负责向县委、县政府和上级主管部门及本局领导报送重要信访动态和信访信息。</w:t>
      </w:r>
    </w:p>
    <w:p>
      <w:pPr>
        <w:pStyle w:val="18"/>
      </w:pPr>
      <w:r>
        <w:t>4、负责落实重点人员“五包一”责任制逐人确定包案领导、责任人。</w:t>
      </w:r>
    </w:p>
    <w:p>
      <w:pPr>
        <w:pStyle w:val="18"/>
      </w:pPr>
      <w:r>
        <w:t>5、加大领导干部接约访力度。落实领导干部接访约访下访制度。</w:t>
      </w:r>
    </w:p>
    <w:p>
      <w:pPr>
        <w:pStyle w:val="18"/>
      </w:pPr>
      <w:r>
        <w:t>6、负责开展信访积案化解工作。对所有积案，逐案制定化解方案，明确办结时限。</w:t>
      </w:r>
    </w:p>
    <w:p>
      <w:pPr>
        <w:pStyle w:val="18"/>
      </w:pPr>
      <w:r>
        <w:t>7、加强驻京值班，加大依法打击和接劝返处置力度。</w:t>
      </w:r>
    </w:p>
    <w:p>
      <w:pPr>
        <w:pStyle w:val="18"/>
      </w:pPr>
      <w:r>
        <w:t>8、加强网上信访办理力度，注重提高“三率”工作。</w:t>
      </w:r>
    </w:p>
    <w:p>
      <w:pPr>
        <w:pStyle w:val="18"/>
      </w:pPr>
      <w:r>
        <w:t>9、责向分管乡镇和县直部门交办信访案件，并督办、催办和对结果报告的审查、上报工作。</w:t>
      </w:r>
    </w:p>
    <w:p>
      <w:pPr>
        <w:pStyle w:val="18"/>
      </w:pPr>
      <w:r>
        <w:t>10、负责综合分析全县信访形势和信访工作状况。</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中国共产党无极县委员会信访局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按照预算管理有关规定，目前部门预算的编制实行综合预算管理，即全部收入和支出都反映在预算中。中国共产党无极县委员会信访局机关及所属事业单位的收支包含在部门预算中。</w:t>
      </w:r>
    </w:p>
    <w:p>
      <w:pPr>
        <w:pStyle w:val="19"/>
      </w:pPr>
      <w:r>
        <w:t>1、收入说明</w:t>
      </w:r>
    </w:p>
    <w:p>
      <w:pPr>
        <w:pStyle w:val="19"/>
      </w:pPr>
      <w:r>
        <w:t>反映本部门当年全部收入。2026年预算收入235.62万元，其中：一般公共预算收入235.62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信访局年度部门预算中支出预算的总体情况。2026年支出预算235.62万元，其中基本支出235.62万元，包括人员经费215.81万元和日常公用经费19.81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235.62万元，较2025年预算减少82.58万元，其中：基本支出减少57.38万元，主要为本年度人员减少。项目支出减少25.20万元，主要为本年度项目无市级解决特殊疑难专项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p>
    <w:p>
      <w:pPr>
        <w:pStyle w:val="22"/>
      </w:pPr>
      <w:r>
        <w:t>1、信访事项办理“三率”（及信访事项及时受理率、按时答复率、群众满意率）在上年基础上稳步、提升，在全市排位达到中上游水平。</w:t>
      </w:r>
    </w:p>
    <w:p>
      <w:pPr>
        <w:pStyle w:val="22"/>
      </w:pPr>
    </w:p>
    <w:p>
      <w:pPr>
        <w:pStyle w:val="22"/>
      </w:pPr>
      <w:r>
        <w:t>2、加强信访积案办理力度，“三访”（即进京“非访”、进京集体访、赴省集体访）量较上年有大幅下降。</w:t>
      </w:r>
    </w:p>
    <w:p>
      <w:pPr>
        <w:pStyle w:val="22"/>
      </w:pPr>
    </w:p>
    <w:p>
      <w:pPr>
        <w:pStyle w:val="22"/>
      </w:pPr>
      <w:r>
        <w:t>3、做好重大会议和活动期间信访稳定值勤工作，妥善处置突发性、群体性信访事件，畅通信访渠道，提高信访事项办理质量和效率。</w:t>
      </w:r>
    </w:p>
    <w:p>
      <w:pPr>
        <w:pStyle w:val="22"/>
      </w:pPr>
    </w:p>
    <w:p>
      <w:pPr>
        <w:pStyle w:val="22"/>
      </w:pPr>
      <w:r>
        <w:t>4、县群众工作中心有效运转，初信初访能够得到及时处理。完成县委、县政府以及上级信访机关交办的其他任务。</w:t>
      </w:r>
    </w:p>
    <w:p>
      <w:pPr>
        <w:pStyle w:val="22"/>
      </w:pPr>
    </w:p>
    <w:p>
      <w:pPr>
        <w:pStyle w:val="22"/>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2"/>
      </w:pPr>
    </w:p>
    <w:p>
      <w:pPr>
        <w:pStyle w:val="22"/>
      </w:pPr>
      <w:r>
        <w:t>6、协助上级信访机关处理无极县群众进京上访工作，综合协调处理跨地区、跨部门、跨行业的重要信访问题，协助公安机关维护县委、县政府机关正常工作秩序。</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p>
    <w:p>
      <w:pPr>
        <w:pStyle w:val="23"/>
      </w:pPr>
    </w:p>
    <w:p>
      <w:pPr>
        <w:pStyle w:val="23"/>
      </w:pPr>
      <w:r>
        <w:t>（一）、信访业务办理</w:t>
      </w:r>
    </w:p>
    <w:p>
      <w:pPr>
        <w:pStyle w:val="23"/>
      </w:pPr>
    </w:p>
    <w:p>
      <w:pPr>
        <w:pStyle w:val="23"/>
      </w:pPr>
      <w:r>
        <w:t>绩效目标：畅通信访渠道，减少信访案件，规范信访事项办理、终结。维护社会和谐稳定。</w:t>
      </w:r>
    </w:p>
    <w:p>
      <w:pPr>
        <w:pStyle w:val="23"/>
      </w:pPr>
      <w:r>
        <w:t>绩效指标：信访事项受理及时率，优90%以上，良80%-90%，中60%-80%，差60%以下</w:t>
      </w:r>
    </w:p>
    <w:p>
      <w:pPr>
        <w:pStyle w:val="23"/>
      </w:pPr>
    </w:p>
    <w:p>
      <w:pPr>
        <w:pStyle w:val="23"/>
      </w:pPr>
      <w:r>
        <w:t>（二）、处置非访、突发性及群体性事件</w:t>
      </w:r>
    </w:p>
    <w:p>
      <w:pPr>
        <w:pStyle w:val="23"/>
      </w:pPr>
    </w:p>
    <w:p>
      <w:pPr>
        <w:pStyle w:val="23"/>
      </w:pPr>
      <w:r>
        <w:t>绩效目标：妥善处置非正常访，维护社会大局和谐稳定。</w:t>
      </w:r>
    </w:p>
    <w:p>
      <w:pPr>
        <w:pStyle w:val="23"/>
      </w:pPr>
      <w:r>
        <w:t>绩效指标：信访事项按期结案率优90%以上，良80%-90%，中60%-80%，差60%以下</w:t>
      </w:r>
    </w:p>
    <w:p>
      <w:pPr>
        <w:pStyle w:val="23"/>
      </w:pPr>
    </w:p>
    <w:p>
      <w:pPr>
        <w:pStyle w:val="23"/>
      </w:pPr>
      <w:r>
        <w:t>（三）、其他综合事务管理</w:t>
      </w:r>
    </w:p>
    <w:p>
      <w:pPr>
        <w:pStyle w:val="23"/>
      </w:pPr>
    </w:p>
    <w:p>
      <w:pPr>
        <w:pStyle w:val="23"/>
      </w:pPr>
      <w:r>
        <w:t>绩效目标：进一步提高信访干部业务能力；吸收可行建议，改进信访工作；提高信访信息化应用水平。保障机要邮件正常传递和信访群众服务中心正常运转；确保会议正常召开。</w:t>
      </w:r>
    </w:p>
    <w:p>
      <w:pPr>
        <w:pStyle w:val="23"/>
      </w:pPr>
      <w:r>
        <w:t>绩效指标：其他各项综合实务工作完成率优90%以上，良80%-90%，中60%-80%，差60%以下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p>
    <w:p>
      <w:pPr>
        <w:pStyle w:val="24"/>
      </w:pPr>
    </w:p>
    <w:p>
      <w:pPr>
        <w:pStyle w:val="24"/>
      </w:pPr>
      <w:r>
        <w:t>1、完善制度建设。本单位制定完善了预算绩效管理制度、资金管理办法、工作保障制度等，为全年预算绩效目标的实现奠定制度基础。</w:t>
      </w:r>
    </w:p>
    <w:p>
      <w:pPr>
        <w:pStyle w:val="24"/>
      </w:pPr>
    </w:p>
    <w:p>
      <w:pPr>
        <w:pStyle w:val="24"/>
      </w:pPr>
      <w:r>
        <w:t>2、加强支出管理。本单位通过优化支出结构、编细编实预算、加快履行政府采购手续、尽快启动项目、及时支付资金、6月底前细化代编预算、按规定及时下达资金等多种措施，确保支出进度达标。</w:t>
      </w:r>
    </w:p>
    <w:p>
      <w:pPr>
        <w:pStyle w:val="24"/>
      </w:pPr>
    </w:p>
    <w:p>
      <w:pPr>
        <w:pStyle w:val="24"/>
      </w:pPr>
      <w:r>
        <w:t>3、加强绩效运行监控。本单位按要求开展绩效运行监控，发现问题及时采取措施，确保绩效目标如期保质实现。</w:t>
      </w:r>
    </w:p>
    <w:p>
      <w:pPr>
        <w:pStyle w:val="24"/>
      </w:pPr>
    </w:p>
    <w:p>
      <w:pPr>
        <w:pStyle w:val="24"/>
      </w:pPr>
    </w:p>
    <w:p>
      <w:pPr>
        <w:pStyle w:val="24"/>
      </w:pPr>
      <w:r>
        <w:t>4、做好绩效自评。本单位按要求开展上年度部门预算绩效自评和重点评价工作，对评价中发现的问题及时整改，调整优化支出结构，提高财政资金使用效益。</w:t>
      </w:r>
    </w:p>
    <w:p>
      <w:pPr>
        <w:pStyle w:val="24"/>
      </w:pPr>
    </w:p>
    <w:p>
      <w:pPr>
        <w:pStyle w:val="24"/>
      </w:pPr>
      <w:r>
        <w:t>5、规范财务资产管理。本单位完善财务管理制度，严格审批程序，加强固定资产登记、使用和报废处置管理，做到支出合理，物尽其用。</w:t>
      </w:r>
    </w:p>
    <w:p>
      <w:pPr>
        <w:pStyle w:val="24"/>
      </w:pPr>
    </w:p>
    <w:p>
      <w:pPr>
        <w:pStyle w:val="24"/>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p>
    <w:p>
      <w:pPr>
        <w:pStyle w:val="24"/>
        <w:sectPr>
          <w:pgSz w:w="16840" w:h="11900" w:orient="landscape"/>
          <w:pgMar w:top="1361" w:right="1020" w:bottom="1361" w:left="1020" w:header="720" w:footer="720" w:gutter="0"/>
        </w:sectPr>
      </w:pPr>
      <w:r>
        <w:t>7、加强宣传培训调研等。本单位加强了人员培训，提高了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488" w:firstLineChars="465"/>
        <w:jc w:val="left"/>
        <w:outlineLvl w:val="2"/>
        <w:rPr>
          <w:rFonts w:hint="eastAsia" w:eastAsia="黑体"/>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5" w:name="_Toc_3_3_0000000016"/>
      <w:r>
        <w:rPr>
          <w:rFonts w:ascii="黑体" w:hAnsi="黑体" w:eastAsia="黑体" w:cs="黑体"/>
          <w:color w:val="000000"/>
          <w:sz w:val="32"/>
        </w:rPr>
        <w:t>部门项目预算安排情况及绩效目标</w:t>
      </w:r>
      <w:bookmarkEnd w:id="15"/>
      <w:r>
        <w:rPr>
          <w:rFonts w:hint="eastAsia" w:ascii="黑体" w:hAnsi="黑体" w:eastAsia="黑体" w:cs="黑体"/>
          <w:color w:val="000000"/>
          <w:sz w:val="32"/>
          <w:lang w:val="en-US" w:eastAsia="zh-CN"/>
        </w:rPr>
        <w:t xml:space="preserve"> </w:t>
      </w:r>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中国共产党无极县委员会信访局（含所属单位）上年末固定资产金额为64.94万元（详见下表）。本年度拟购置固定资产总额为0.00万元，已按要求列入政府采购预算，详见政府采购预算表。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132</w:t>
            </w:r>
          </w:p>
        </w:tc>
        <w:tc>
          <w:tcPr>
            <w:tcW w:w="2835" w:type="dxa"/>
            <w:vAlign w:val="center"/>
          </w:tcPr>
          <w:p>
            <w:pPr>
              <w:pStyle w:val="12"/>
            </w:pPr>
            <w:r>
              <w:t>53.55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56E4BE0"/>
    <w:multiLevelType w:val="singleLevel"/>
    <w:tmpl w:val="C56E4BE0"/>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9F9749D"/>
    <w:rsid w:val="74BB4D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2026-02-25T15:48:00Z</dcterms:created>
  <dc:creator>Administrator</dc:creator>
  <cp:lastModifiedBy>Administrator</cp:lastModifiedBy>
  <dcterms:modified xsi:type="dcterms:W3CDTF">2026-02-25T08:18:45Z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