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二、中共无极县委巡察工作领导小组办公室收支预算</w:t>
      </w:r>
      <w:r>
        <w:tab/>
      </w:r>
      <w:r>
        <w:fldChar w:fldCharType="begin"/>
      </w:r>
      <w:r>
        <w:instrText xml:space="preserve">PAGEREF _Toc_4_4_0000000002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563.62</w:t>
            </w:r>
          </w:p>
        </w:tc>
        <w:tc>
          <w:tcPr>
            <w:tcW w:w="4535" w:type="dxa"/>
            <w:vAlign w:val="center"/>
          </w:tcPr>
          <w:p>
            <w:pPr>
              <w:pStyle w:val="12"/>
            </w:pPr>
            <w:r>
              <w:t>一、一般公共服务支出</w:t>
            </w:r>
          </w:p>
        </w:tc>
        <w:tc>
          <w:tcPr>
            <w:tcW w:w="2126" w:type="dxa"/>
            <w:vAlign w:val="center"/>
          </w:tcPr>
          <w:p>
            <w:pPr>
              <w:pStyle w:val="11"/>
            </w:pPr>
            <w:r>
              <w:t>491.92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563.62</w:t>
            </w:r>
          </w:p>
        </w:tc>
        <w:tc>
          <w:tcPr>
            <w:tcW w:w="4535" w:type="dxa"/>
            <w:vAlign w:val="center"/>
          </w:tcPr>
          <w:p>
            <w:pPr>
              <w:pStyle w:val="14"/>
            </w:pPr>
            <w:r>
              <w:t>本年支出合计</w:t>
            </w:r>
          </w:p>
        </w:tc>
        <w:tc>
          <w:tcPr>
            <w:tcW w:w="2126" w:type="dxa"/>
            <w:vAlign w:val="center"/>
          </w:tcPr>
          <w:p>
            <w:pPr>
              <w:pStyle w:val="15"/>
            </w:pPr>
            <w:r>
              <w:t>563.62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563.62</w:t>
            </w:r>
          </w:p>
        </w:tc>
        <w:tc>
          <w:tcPr>
            <w:tcW w:w="4535" w:type="dxa"/>
            <w:vAlign w:val="center"/>
          </w:tcPr>
          <w:p>
            <w:pPr>
              <w:pStyle w:val="14"/>
            </w:pPr>
            <w:r>
              <w:t>支出总计</w:t>
            </w:r>
          </w:p>
        </w:tc>
        <w:tc>
          <w:tcPr>
            <w:tcW w:w="2126" w:type="dxa"/>
            <w:vAlign w:val="center"/>
          </w:tcPr>
          <w:p>
            <w:pPr>
              <w:pStyle w:val="15"/>
            </w:pPr>
            <w:r>
              <w:t>563.62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563.62</w:t>
            </w:r>
          </w:p>
        </w:tc>
        <w:tc>
          <w:tcPr>
            <w:tcW w:w="1134" w:type="dxa"/>
            <w:vAlign w:val="center"/>
          </w:tcPr>
          <w:p>
            <w:pPr>
              <w:pStyle w:val="15"/>
            </w:pPr>
            <w:r>
              <w:t>563.62</w:t>
            </w:r>
          </w:p>
        </w:tc>
        <w:tc>
          <w:tcPr>
            <w:tcW w:w="1134" w:type="dxa"/>
            <w:vAlign w:val="center"/>
          </w:tcPr>
          <w:p>
            <w:pPr>
              <w:pStyle w:val="15"/>
            </w:pPr>
            <w:r>
              <w:t>563.62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r>
              <w:t>491.92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r>
              <w:t>20.40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563.62</w:t>
            </w:r>
          </w:p>
        </w:tc>
        <w:tc>
          <w:tcPr>
            <w:tcW w:w="1361" w:type="dxa"/>
            <w:vAlign w:val="center"/>
          </w:tcPr>
          <w:p>
            <w:pPr>
              <w:pStyle w:val="15"/>
            </w:pPr>
            <w:r>
              <w:t>563.62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491.92</w:t>
            </w:r>
          </w:p>
        </w:tc>
        <w:tc>
          <w:tcPr>
            <w:tcW w:w="1361" w:type="dxa"/>
            <w:vAlign w:val="center"/>
          </w:tcPr>
          <w:p>
            <w:pPr>
              <w:pStyle w:val="11"/>
            </w:pPr>
            <w:r>
              <w:t>491.92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491.92</w:t>
            </w:r>
          </w:p>
        </w:tc>
        <w:tc>
          <w:tcPr>
            <w:tcW w:w="1361" w:type="dxa"/>
            <w:vAlign w:val="center"/>
          </w:tcPr>
          <w:p>
            <w:pPr>
              <w:pStyle w:val="11"/>
            </w:pPr>
            <w:r>
              <w:t>491.92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491.92</w:t>
            </w:r>
          </w:p>
        </w:tc>
        <w:tc>
          <w:tcPr>
            <w:tcW w:w="1361" w:type="dxa"/>
            <w:vAlign w:val="center"/>
          </w:tcPr>
          <w:p>
            <w:pPr>
              <w:pStyle w:val="11"/>
            </w:pPr>
            <w:r>
              <w:t>491.92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51.30</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51.30</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51.30</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20.40</w:t>
            </w:r>
          </w:p>
        </w:tc>
        <w:tc>
          <w:tcPr>
            <w:tcW w:w="1361" w:type="dxa"/>
            <w:vAlign w:val="center"/>
          </w:tcPr>
          <w:p>
            <w:pPr>
              <w:pStyle w:val="11"/>
            </w:pPr>
            <w:r>
              <w:t>20.40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20.40</w:t>
            </w:r>
          </w:p>
        </w:tc>
        <w:tc>
          <w:tcPr>
            <w:tcW w:w="1361" w:type="dxa"/>
            <w:vAlign w:val="center"/>
          </w:tcPr>
          <w:p>
            <w:pPr>
              <w:pStyle w:val="11"/>
            </w:pPr>
            <w:r>
              <w:t>20.40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20.40</w:t>
            </w:r>
          </w:p>
        </w:tc>
        <w:tc>
          <w:tcPr>
            <w:tcW w:w="1361" w:type="dxa"/>
            <w:vAlign w:val="center"/>
          </w:tcPr>
          <w:p>
            <w:pPr>
              <w:pStyle w:val="11"/>
            </w:pPr>
            <w:r>
              <w:t>20.40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563.62</w:t>
            </w:r>
          </w:p>
        </w:tc>
        <w:tc>
          <w:tcPr>
            <w:tcW w:w="3402" w:type="dxa"/>
            <w:vAlign w:val="center"/>
          </w:tcPr>
          <w:p>
            <w:pPr>
              <w:pStyle w:val="12"/>
            </w:pPr>
            <w:r>
              <w:t>一、一般公共服务支出</w:t>
            </w:r>
          </w:p>
        </w:tc>
        <w:tc>
          <w:tcPr>
            <w:tcW w:w="1474" w:type="dxa"/>
            <w:vAlign w:val="center"/>
          </w:tcPr>
          <w:p>
            <w:pPr>
              <w:pStyle w:val="11"/>
            </w:pPr>
            <w:r>
              <w:t>491.92</w:t>
            </w:r>
          </w:p>
        </w:tc>
        <w:tc>
          <w:tcPr>
            <w:tcW w:w="1474" w:type="dxa"/>
            <w:vAlign w:val="center"/>
          </w:tcPr>
          <w:p>
            <w:pPr>
              <w:pStyle w:val="11"/>
            </w:pPr>
            <w:r>
              <w:t>491.92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51.30</w:t>
            </w:r>
          </w:p>
        </w:tc>
        <w:tc>
          <w:tcPr>
            <w:tcW w:w="1474" w:type="dxa"/>
            <w:vAlign w:val="center"/>
          </w:tcPr>
          <w:p>
            <w:pPr>
              <w:pStyle w:val="11"/>
            </w:pPr>
            <w:r>
              <w:t>51.30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20.40</w:t>
            </w:r>
          </w:p>
        </w:tc>
        <w:tc>
          <w:tcPr>
            <w:tcW w:w="1474" w:type="dxa"/>
            <w:vAlign w:val="center"/>
          </w:tcPr>
          <w:p>
            <w:pPr>
              <w:pStyle w:val="11"/>
            </w:pPr>
            <w:r>
              <w:t>20.40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563.62</w:t>
            </w:r>
          </w:p>
        </w:tc>
        <w:tc>
          <w:tcPr>
            <w:tcW w:w="3402" w:type="dxa"/>
            <w:vAlign w:val="center"/>
          </w:tcPr>
          <w:p>
            <w:pPr>
              <w:pStyle w:val="14"/>
            </w:pPr>
            <w:r>
              <w:t>本年支出合计</w:t>
            </w:r>
          </w:p>
        </w:tc>
        <w:tc>
          <w:tcPr>
            <w:tcW w:w="1474" w:type="dxa"/>
            <w:vAlign w:val="center"/>
          </w:tcPr>
          <w:p>
            <w:pPr>
              <w:pStyle w:val="15"/>
            </w:pPr>
            <w:r>
              <w:t>563.62</w:t>
            </w:r>
          </w:p>
        </w:tc>
        <w:tc>
          <w:tcPr>
            <w:tcW w:w="1474" w:type="dxa"/>
            <w:vAlign w:val="center"/>
          </w:tcPr>
          <w:p>
            <w:pPr>
              <w:pStyle w:val="15"/>
            </w:pPr>
            <w:r>
              <w:t>563.62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563.62</w:t>
            </w:r>
          </w:p>
        </w:tc>
        <w:tc>
          <w:tcPr>
            <w:tcW w:w="3402" w:type="dxa"/>
            <w:vAlign w:val="center"/>
          </w:tcPr>
          <w:p>
            <w:pPr>
              <w:pStyle w:val="14"/>
            </w:pPr>
            <w:r>
              <w:t>支出总计</w:t>
            </w:r>
          </w:p>
        </w:tc>
        <w:tc>
          <w:tcPr>
            <w:tcW w:w="1474" w:type="dxa"/>
            <w:vAlign w:val="center"/>
          </w:tcPr>
          <w:p>
            <w:pPr>
              <w:pStyle w:val="15"/>
            </w:pPr>
            <w:r>
              <w:t>563.62</w:t>
            </w:r>
          </w:p>
        </w:tc>
        <w:tc>
          <w:tcPr>
            <w:tcW w:w="1474" w:type="dxa"/>
            <w:vAlign w:val="center"/>
          </w:tcPr>
          <w:p>
            <w:pPr>
              <w:pStyle w:val="15"/>
            </w:pPr>
            <w:r>
              <w:t>563.62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563.62</w:t>
            </w:r>
          </w:p>
        </w:tc>
        <w:tc>
          <w:tcPr>
            <w:tcW w:w="2551" w:type="dxa"/>
            <w:vAlign w:val="center"/>
          </w:tcPr>
          <w:p>
            <w:pPr>
              <w:pStyle w:val="15"/>
            </w:pPr>
            <w:r>
              <w:t>563.62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491.92</w:t>
            </w:r>
          </w:p>
        </w:tc>
        <w:tc>
          <w:tcPr>
            <w:tcW w:w="2551" w:type="dxa"/>
            <w:vAlign w:val="center"/>
          </w:tcPr>
          <w:p>
            <w:pPr>
              <w:pStyle w:val="11"/>
            </w:pPr>
            <w:r>
              <w:t>491.92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491.92</w:t>
            </w:r>
          </w:p>
        </w:tc>
        <w:tc>
          <w:tcPr>
            <w:tcW w:w="2551" w:type="dxa"/>
            <w:vAlign w:val="center"/>
          </w:tcPr>
          <w:p>
            <w:pPr>
              <w:pStyle w:val="11"/>
            </w:pPr>
            <w:r>
              <w:t>491.92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491.92</w:t>
            </w:r>
          </w:p>
        </w:tc>
        <w:tc>
          <w:tcPr>
            <w:tcW w:w="2551" w:type="dxa"/>
            <w:vAlign w:val="center"/>
          </w:tcPr>
          <w:p>
            <w:pPr>
              <w:pStyle w:val="11"/>
            </w:pPr>
            <w:r>
              <w:t>491.92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51.30</w:t>
            </w:r>
          </w:p>
        </w:tc>
        <w:tc>
          <w:tcPr>
            <w:tcW w:w="2551" w:type="dxa"/>
            <w:vAlign w:val="center"/>
          </w:tcPr>
          <w:p>
            <w:pPr>
              <w:pStyle w:val="11"/>
            </w:pPr>
            <w:r>
              <w:t>51.30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51.30</w:t>
            </w:r>
          </w:p>
        </w:tc>
        <w:tc>
          <w:tcPr>
            <w:tcW w:w="2551" w:type="dxa"/>
            <w:vAlign w:val="center"/>
          </w:tcPr>
          <w:p>
            <w:pPr>
              <w:pStyle w:val="11"/>
            </w:pPr>
            <w:r>
              <w:t>51.30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51.30</w:t>
            </w:r>
          </w:p>
        </w:tc>
        <w:tc>
          <w:tcPr>
            <w:tcW w:w="2551" w:type="dxa"/>
            <w:vAlign w:val="center"/>
          </w:tcPr>
          <w:p>
            <w:pPr>
              <w:pStyle w:val="11"/>
            </w:pPr>
            <w:r>
              <w:t>51.30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563.62</w:t>
            </w:r>
          </w:p>
        </w:tc>
        <w:tc>
          <w:tcPr>
            <w:tcW w:w="2551" w:type="dxa"/>
            <w:vAlign w:val="center"/>
          </w:tcPr>
          <w:p>
            <w:pPr>
              <w:pStyle w:val="15"/>
            </w:pPr>
            <w:r>
              <w:t>453.60</w:t>
            </w:r>
          </w:p>
        </w:tc>
        <w:tc>
          <w:tcPr>
            <w:tcW w:w="2551" w:type="dxa"/>
            <w:vAlign w:val="center"/>
          </w:tcPr>
          <w:p>
            <w:pPr>
              <w:pStyle w:val="15"/>
            </w:pPr>
            <w:r>
              <w:t>110.02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433.10</w:t>
            </w:r>
          </w:p>
        </w:tc>
        <w:tc>
          <w:tcPr>
            <w:tcW w:w="2551" w:type="dxa"/>
            <w:vAlign w:val="center"/>
          </w:tcPr>
          <w:p>
            <w:pPr>
              <w:pStyle w:val="11"/>
            </w:pPr>
            <w:r>
              <w:t>433.10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69.50</w:t>
            </w:r>
          </w:p>
        </w:tc>
        <w:tc>
          <w:tcPr>
            <w:tcW w:w="2551" w:type="dxa"/>
            <w:vAlign w:val="center"/>
          </w:tcPr>
          <w:p>
            <w:pPr>
              <w:pStyle w:val="11"/>
            </w:pPr>
            <w:r>
              <w:t>69.50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51.30</w:t>
            </w:r>
          </w:p>
        </w:tc>
        <w:tc>
          <w:tcPr>
            <w:tcW w:w="2551" w:type="dxa"/>
            <w:vAlign w:val="center"/>
          </w:tcPr>
          <w:p>
            <w:pPr>
              <w:pStyle w:val="11"/>
            </w:pPr>
            <w:r>
              <w:t>51.30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110.02</w:t>
            </w:r>
          </w:p>
        </w:tc>
        <w:tc>
          <w:tcPr>
            <w:tcW w:w="2551" w:type="dxa"/>
            <w:vAlign w:val="center"/>
          </w:tcPr>
          <w:p>
            <w:pPr>
              <w:pStyle w:val="11"/>
            </w:pPr>
          </w:p>
        </w:tc>
        <w:tc>
          <w:tcPr>
            <w:tcW w:w="2551" w:type="dxa"/>
            <w:vAlign w:val="center"/>
          </w:tcPr>
          <w:p>
            <w:pPr>
              <w:pStyle w:val="11"/>
            </w:pPr>
            <w:r>
              <w:t>110.02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58.50</w:t>
            </w:r>
          </w:p>
        </w:tc>
        <w:tc>
          <w:tcPr>
            <w:tcW w:w="2551" w:type="dxa"/>
            <w:vAlign w:val="center"/>
          </w:tcPr>
          <w:p>
            <w:pPr>
              <w:pStyle w:val="11"/>
            </w:pPr>
          </w:p>
        </w:tc>
        <w:tc>
          <w:tcPr>
            <w:tcW w:w="2551" w:type="dxa"/>
            <w:vAlign w:val="center"/>
          </w:tcPr>
          <w:p>
            <w:pPr>
              <w:pStyle w:val="11"/>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15.52</w:t>
            </w:r>
          </w:p>
        </w:tc>
        <w:tc>
          <w:tcPr>
            <w:tcW w:w="2551" w:type="dxa"/>
            <w:vAlign w:val="center"/>
          </w:tcPr>
          <w:p>
            <w:pPr>
              <w:pStyle w:val="11"/>
            </w:pPr>
          </w:p>
        </w:tc>
        <w:tc>
          <w:tcPr>
            <w:tcW w:w="2551" w:type="dxa"/>
            <w:vAlign w:val="center"/>
          </w:tcPr>
          <w:p>
            <w:pPr>
              <w:pStyle w:val="11"/>
            </w:pPr>
            <w:r>
              <w:t>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20.50</w:t>
            </w:r>
          </w:p>
        </w:tc>
        <w:tc>
          <w:tcPr>
            <w:tcW w:w="2551" w:type="dxa"/>
            <w:vAlign w:val="center"/>
          </w:tcPr>
          <w:p>
            <w:pPr>
              <w:pStyle w:val="11"/>
            </w:pPr>
            <w:r>
              <w:t>20.50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15.52</w:t>
            </w:r>
          </w:p>
        </w:tc>
        <w:tc>
          <w:tcPr>
            <w:tcW w:w="2381" w:type="dxa"/>
            <w:vAlign w:val="center"/>
          </w:tcPr>
          <w:p>
            <w:pPr>
              <w:pStyle w:val="15"/>
            </w:pPr>
            <w:r>
              <w:t>15.52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15.52</w:t>
            </w:r>
          </w:p>
        </w:tc>
        <w:tc>
          <w:tcPr>
            <w:tcW w:w="2381" w:type="dxa"/>
            <w:vAlign w:val="center"/>
          </w:tcPr>
          <w:p>
            <w:pPr>
              <w:pStyle w:val="11"/>
            </w:pPr>
            <w:r>
              <w:t>15.52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pStyle w:val="17"/>
      </w:pPr>
      <w:r>
        <w:t>（一）负责推动党中央和省、市、县决策部署的落实，按照县委要求协调有关方面开展工作，承担县委运行保障具体事务。</w:t>
      </w:r>
    </w:p>
    <w:p>
      <w:pPr>
        <w:pStyle w:val="17"/>
      </w:pPr>
      <w:r>
        <w:t>（二）负责县委和县委办公室文件、县委领导讲话的起草、修改等工作。</w:t>
      </w:r>
    </w:p>
    <w:p>
      <w:pPr>
        <w:pStyle w:val="17"/>
      </w:pPr>
      <w:r>
        <w:t>（三）围绕党中央和省、市、县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pStyle w:val="17"/>
      </w:pPr>
      <w:r>
        <w:t>（四）负责县委全会、县委常委会和县委其他重要会议的会务工作；负责县委领导参加重大活动和日常工作活动的组织安排；承担县委值班工作，负责编写县委大事记。</w:t>
      </w:r>
    </w:p>
    <w:p>
      <w:pPr>
        <w:pStyle w:val="17"/>
      </w:pPr>
      <w:r>
        <w:t>（五）承担县委履行全面从严治党主体责任相关工作的谋划、部署、督导、推动和落实；负责统筹协调和督促指导全县党务公开工作。</w:t>
      </w:r>
    </w:p>
    <w:p>
      <w:pPr>
        <w:pStyle w:val="17"/>
      </w:pPr>
      <w:r>
        <w:t>（六）负责县委日常公文处理负责县委文件和县委办公室代县委行文的审核工作；负责县委制定规范性文件；负责为县委领导提供法律方面的服务工作。</w:t>
      </w:r>
    </w:p>
    <w:p>
      <w:pPr>
        <w:pStyle w:val="17"/>
      </w:pPr>
      <w:r>
        <w:t>（七）督查上级党委指示和县委重要决策的贯彻落实，督办上级和县委领导交办的重要事项。</w:t>
      </w:r>
    </w:p>
    <w:p>
      <w:pPr>
        <w:pStyle w:val="17"/>
      </w:pPr>
      <w:r>
        <w:t>（八）贯彻落实党中央和省、市、县委关于国家安全工作的决策部署，负责研究提出县委国家安全委员会重点工作安排，收集汇总、整理分析并上报涉及国家安全的情报信息，指导协调有关方面开展国家安全风险排查，组织全县国家安全工作督查检查、考核考评工作。</w:t>
      </w:r>
    </w:p>
    <w:p>
      <w:pPr>
        <w:pStyle w:val="17"/>
      </w:pPr>
      <w:r>
        <w:t>（九）负责上级党委、政府和全县党政军领导机关及要害部门核心机密的传递工作；承担县委保密委员会的日常工作；按规定程序传送和处理机要文电，保证机要通信畅通。</w:t>
      </w:r>
    </w:p>
    <w:p>
      <w:pPr>
        <w:pStyle w:val="17"/>
      </w:pPr>
      <w:r>
        <w:t>（十）负责全县档案事业宏观管理和执法复议、监督指导等工作。</w:t>
      </w:r>
    </w:p>
    <w:p>
      <w:pPr>
        <w:pStyle w:val="17"/>
      </w:pPr>
      <w:r>
        <w:t>（十一）负责地方志和党史有关工作。</w:t>
      </w:r>
    </w:p>
    <w:p>
      <w:pPr>
        <w:pStyle w:val="17"/>
      </w:pPr>
      <w:r>
        <w:t>（十二）完成县委交办的其他任务。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中国共产党无极县委员会办公室本级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563.62万元，其中：一般公共预算收入563.62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办公室本级年度单位预算中支出预算的总体情况。2026年支出预算563.62万元，其中基本支出563.62万元，包括人员经费453.60万元和日常公用经费110.02万元；项目支出0.00万元，主要为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2026年预算收支安排563.62万元，较2025年预算减少102.59万元，其中：基本支出减少99.08万元，主要为办公经费减少。项目支出减少3.51万元，主要为王磊同志援藏探亲补贴。预计下年使用的单位资金结余增加0.00万元。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15.52万元，其中因公出国（境）费0.00万元；公务用车购置及运维费15.52万元（其中：公务用车购置费为0.00万元，公务用车运维费15.52万元)；公务接待费0.00万元。与2025年相比减少4.48万元，增减变化的主要原因是缩减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中国共产党无极县委员会办公室本级小计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25.00</w:t>
            </w:r>
          </w:p>
        </w:tc>
        <w:tc>
          <w:tcPr>
            <w:tcW w:w="964" w:type="dxa"/>
            <w:vAlign w:val="center"/>
          </w:tcPr>
          <w:p>
            <w:pPr>
              <w:pStyle w:val="15"/>
            </w:pPr>
            <w:r>
              <w:t>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74.02</w:t>
            </w:r>
          </w:p>
        </w:tc>
        <w:tc>
          <w:tcPr>
            <w:tcW w:w="1134" w:type="dxa"/>
            <w:vAlign w:val="center"/>
          </w:tcPr>
          <w:p>
            <w:pPr>
              <w:pStyle w:val="12"/>
            </w:pPr>
            <w:r>
              <w:t>办公设备零部件</w:t>
            </w:r>
          </w:p>
        </w:tc>
        <w:tc>
          <w:tcPr>
            <w:tcW w:w="1134" w:type="dxa"/>
            <w:vAlign w:val="center"/>
          </w:tcPr>
          <w:p>
            <w:pPr>
              <w:pStyle w:val="12"/>
            </w:pPr>
            <w:r>
              <w:t>A02021700</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1.00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74.02</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批</w:t>
            </w:r>
          </w:p>
        </w:tc>
        <w:tc>
          <w:tcPr>
            <w:tcW w:w="850" w:type="dxa"/>
            <w:vAlign w:val="center"/>
          </w:tcPr>
          <w:p>
            <w:pPr>
              <w:pStyle w:val="11"/>
            </w:pPr>
            <w:r>
              <w:t>15</w:t>
            </w:r>
          </w:p>
        </w:tc>
        <w:tc>
          <w:tcPr>
            <w:tcW w:w="850" w:type="dxa"/>
            <w:vAlign w:val="center"/>
          </w:tcPr>
          <w:p>
            <w:pPr>
              <w:pStyle w:val="11"/>
            </w:pPr>
            <w:r>
              <w:t>1.00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中国共产党无极县委员会办公室本级上年末固定资产金额为20.00万元（详见下表）。本年度拟购置固定资产总额为0.00万元，已按要求列入政府采购预算，详见政府采购预算表。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201001中国共产党无极县委员会办公室本级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二、中共无极县委巡察工作领导小组办公室收支预算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203.16</w:t>
            </w:r>
          </w:p>
        </w:tc>
        <w:tc>
          <w:tcPr>
            <w:tcW w:w="4535" w:type="dxa"/>
            <w:vAlign w:val="center"/>
          </w:tcPr>
          <w:p>
            <w:pPr>
              <w:pStyle w:val="12"/>
            </w:pPr>
            <w:r>
              <w:t>一、一般公共服务支出</w:t>
            </w:r>
          </w:p>
        </w:tc>
        <w:tc>
          <w:tcPr>
            <w:tcW w:w="2126" w:type="dxa"/>
            <w:vAlign w:val="center"/>
          </w:tcPr>
          <w:p>
            <w:pPr>
              <w:pStyle w:val="11"/>
            </w:pPr>
            <w:r>
              <w:t>173.16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203.16</w:t>
            </w:r>
          </w:p>
        </w:tc>
        <w:tc>
          <w:tcPr>
            <w:tcW w:w="4535" w:type="dxa"/>
            <w:vAlign w:val="center"/>
          </w:tcPr>
          <w:p>
            <w:pPr>
              <w:pStyle w:val="14"/>
            </w:pPr>
            <w:r>
              <w:t>本年支出合计</w:t>
            </w:r>
          </w:p>
        </w:tc>
        <w:tc>
          <w:tcPr>
            <w:tcW w:w="2126" w:type="dxa"/>
            <w:vAlign w:val="center"/>
          </w:tcPr>
          <w:p>
            <w:pPr>
              <w:pStyle w:val="15"/>
            </w:pPr>
            <w:r>
              <w:t>203.16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203.16</w:t>
            </w:r>
          </w:p>
        </w:tc>
        <w:tc>
          <w:tcPr>
            <w:tcW w:w="4535" w:type="dxa"/>
            <w:vAlign w:val="center"/>
          </w:tcPr>
          <w:p>
            <w:pPr>
              <w:pStyle w:val="14"/>
            </w:pPr>
            <w:r>
              <w:t>支出总计</w:t>
            </w:r>
          </w:p>
        </w:tc>
        <w:tc>
          <w:tcPr>
            <w:tcW w:w="2126" w:type="dxa"/>
            <w:vAlign w:val="center"/>
          </w:tcPr>
          <w:p>
            <w:pPr>
              <w:pStyle w:val="15"/>
            </w:pPr>
            <w:r>
              <w:t>203.16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203.16</w:t>
            </w:r>
          </w:p>
        </w:tc>
        <w:tc>
          <w:tcPr>
            <w:tcW w:w="1134" w:type="dxa"/>
            <w:vAlign w:val="center"/>
          </w:tcPr>
          <w:p>
            <w:pPr>
              <w:pStyle w:val="15"/>
            </w:pPr>
            <w:r>
              <w:t>203.16</w:t>
            </w:r>
          </w:p>
        </w:tc>
        <w:tc>
          <w:tcPr>
            <w:tcW w:w="1134" w:type="dxa"/>
            <w:vAlign w:val="center"/>
          </w:tcPr>
          <w:p>
            <w:pPr>
              <w:pStyle w:val="15"/>
            </w:pPr>
            <w:r>
              <w:t>203.16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r>
              <w:t>173.16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203.16</w:t>
            </w:r>
          </w:p>
        </w:tc>
        <w:tc>
          <w:tcPr>
            <w:tcW w:w="1361" w:type="dxa"/>
            <w:vAlign w:val="center"/>
          </w:tcPr>
          <w:p>
            <w:pPr>
              <w:pStyle w:val="15"/>
            </w:pPr>
            <w:r>
              <w:t>203.16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173.16</w:t>
            </w:r>
          </w:p>
        </w:tc>
        <w:tc>
          <w:tcPr>
            <w:tcW w:w="1361" w:type="dxa"/>
            <w:vAlign w:val="center"/>
          </w:tcPr>
          <w:p>
            <w:pPr>
              <w:pStyle w:val="11"/>
            </w:pPr>
            <w:r>
              <w:t>173.16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173.16</w:t>
            </w:r>
          </w:p>
        </w:tc>
        <w:tc>
          <w:tcPr>
            <w:tcW w:w="1361" w:type="dxa"/>
            <w:vAlign w:val="center"/>
          </w:tcPr>
          <w:p>
            <w:pPr>
              <w:pStyle w:val="11"/>
            </w:pPr>
            <w:r>
              <w:t>173.16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173.16</w:t>
            </w:r>
          </w:p>
        </w:tc>
        <w:tc>
          <w:tcPr>
            <w:tcW w:w="1361" w:type="dxa"/>
            <w:vAlign w:val="center"/>
          </w:tcPr>
          <w:p>
            <w:pPr>
              <w:pStyle w:val="11"/>
            </w:pPr>
            <w:r>
              <w:t>173.16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203.16</w:t>
            </w:r>
          </w:p>
        </w:tc>
        <w:tc>
          <w:tcPr>
            <w:tcW w:w="3402" w:type="dxa"/>
            <w:vAlign w:val="center"/>
          </w:tcPr>
          <w:p>
            <w:pPr>
              <w:pStyle w:val="12"/>
            </w:pPr>
            <w:r>
              <w:t>一、一般公共服务支出</w:t>
            </w:r>
          </w:p>
        </w:tc>
        <w:tc>
          <w:tcPr>
            <w:tcW w:w="1474" w:type="dxa"/>
            <w:vAlign w:val="center"/>
          </w:tcPr>
          <w:p>
            <w:pPr>
              <w:pStyle w:val="11"/>
            </w:pPr>
            <w:r>
              <w:t>173.16</w:t>
            </w:r>
          </w:p>
        </w:tc>
        <w:tc>
          <w:tcPr>
            <w:tcW w:w="1474" w:type="dxa"/>
            <w:vAlign w:val="center"/>
          </w:tcPr>
          <w:p>
            <w:pPr>
              <w:pStyle w:val="11"/>
            </w:pPr>
            <w:r>
              <w:t>173.16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22.00</w:t>
            </w:r>
          </w:p>
        </w:tc>
        <w:tc>
          <w:tcPr>
            <w:tcW w:w="1474" w:type="dxa"/>
            <w:vAlign w:val="center"/>
          </w:tcPr>
          <w:p>
            <w:pPr>
              <w:pStyle w:val="11"/>
            </w:pPr>
            <w:r>
              <w:t>22.00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8.00</w:t>
            </w:r>
          </w:p>
        </w:tc>
        <w:tc>
          <w:tcPr>
            <w:tcW w:w="1474" w:type="dxa"/>
            <w:vAlign w:val="center"/>
          </w:tcPr>
          <w:p>
            <w:pPr>
              <w:pStyle w:val="11"/>
            </w:pPr>
            <w:r>
              <w:t>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203.16</w:t>
            </w:r>
          </w:p>
        </w:tc>
        <w:tc>
          <w:tcPr>
            <w:tcW w:w="3402" w:type="dxa"/>
            <w:vAlign w:val="center"/>
          </w:tcPr>
          <w:p>
            <w:pPr>
              <w:pStyle w:val="14"/>
            </w:pPr>
            <w:r>
              <w:t>本年支出合计</w:t>
            </w:r>
          </w:p>
        </w:tc>
        <w:tc>
          <w:tcPr>
            <w:tcW w:w="1474" w:type="dxa"/>
            <w:vAlign w:val="center"/>
          </w:tcPr>
          <w:p>
            <w:pPr>
              <w:pStyle w:val="15"/>
            </w:pPr>
            <w:r>
              <w:t>203.16</w:t>
            </w:r>
          </w:p>
        </w:tc>
        <w:tc>
          <w:tcPr>
            <w:tcW w:w="1474" w:type="dxa"/>
            <w:vAlign w:val="center"/>
          </w:tcPr>
          <w:p>
            <w:pPr>
              <w:pStyle w:val="15"/>
            </w:pPr>
            <w:r>
              <w:t>203.16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203.16</w:t>
            </w:r>
          </w:p>
        </w:tc>
        <w:tc>
          <w:tcPr>
            <w:tcW w:w="3402" w:type="dxa"/>
            <w:vAlign w:val="center"/>
          </w:tcPr>
          <w:p>
            <w:pPr>
              <w:pStyle w:val="14"/>
            </w:pPr>
            <w:r>
              <w:t>支出总计</w:t>
            </w:r>
          </w:p>
        </w:tc>
        <w:tc>
          <w:tcPr>
            <w:tcW w:w="1474" w:type="dxa"/>
            <w:vAlign w:val="center"/>
          </w:tcPr>
          <w:p>
            <w:pPr>
              <w:pStyle w:val="15"/>
            </w:pPr>
            <w:r>
              <w:t>203.16</w:t>
            </w:r>
          </w:p>
        </w:tc>
        <w:tc>
          <w:tcPr>
            <w:tcW w:w="1474" w:type="dxa"/>
            <w:vAlign w:val="center"/>
          </w:tcPr>
          <w:p>
            <w:pPr>
              <w:pStyle w:val="15"/>
            </w:pPr>
            <w:r>
              <w:t>203.16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203.16</w:t>
            </w:r>
          </w:p>
        </w:tc>
        <w:tc>
          <w:tcPr>
            <w:tcW w:w="2551" w:type="dxa"/>
            <w:vAlign w:val="center"/>
          </w:tcPr>
          <w:p>
            <w:pPr>
              <w:pStyle w:val="15"/>
            </w:pPr>
            <w:r>
              <w:t>203.16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173.16</w:t>
            </w:r>
          </w:p>
        </w:tc>
        <w:tc>
          <w:tcPr>
            <w:tcW w:w="2551" w:type="dxa"/>
            <w:vAlign w:val="center"/>
          </w:tcPr>
          <w:p>
            <w:pPr>
              <w:pStyle w:val="11"/>
            </w:pPr>
            <w:r>
              <w:t>173.16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173.16</w:t>
            </w:r>
          </w:p>
        </w:tc>
        <w:tc>
          <w:tcPr>
            <w:tcW w:w="2551" w:type="dxa"/>
            <w:vAlign w:val="center"/>
          </w:tcPr>
          <w:p>
            <w:pPr>
              <w:pStyle w:val="11"/>
            </w:pPr>
            <w:r>
              <w:t>173.16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173.16</w:t>
            </w:r>
          </w:p>
        </w:tc>
        <w:tc>
          <w:tcPr>
            <w:tcW w:w="2551" w:type="dxa"/>
            <w:vAlign w:val="center"/>
          </w:tcPr>
          <w:p>
            <w:pPr>
              <w:pStyle w:val="11"/>
            </w:pPr>
            <w:r>
              <w:t>173.16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203.16</w:t>
            </w:r>
          </w:p>
        </w:tc>
        <w:tc>
          <w:tcPr>
            <w:tcW w:w="2551" w:type="dxa"/>
            <w:vAlign w:val="center"/>
          </w:tcPr>
          <w:p>
            <w:pPr>
              <w:pStyle w:val="15"/>
            </w:pPr>
            <w:r>
              <w:t>176.25</w:t>
            </w:r>
          </w:p>
        </w:tc>
        <w:tc>
          <w:tcPr>
            <w:tcW w:w="2551" w:type="dxa"/>
            <w:vAlign w:val="center"/>
          </w:tcPr>
          <w:p>
            <w:pPr>
              <w:pStyle w:val="15"/>
            </w:pPr>
            <w: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176.25</w:t>
            </w:r>
          </w:p>
        </w:tc>
        <w:tc>
          <w:tcPr>
            <w:tcW w:w="2551" w:type="dxa"/>
            <w:vAlign w:val="center"/>
          </w:tcPr>
          <w:p>
            <w:pPr>
              <w:pStyle w:val="11"/>
            </w:pPr>
            <w:r>
              <w:t>176.25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35.20</w:t>
            </w:r>
          </w:p>
        </w:tc>
        <w:tc>
          <w:tcPr>
            <w:tcW w:w="2551" w:type="dxa"/>
            <w:vAlign w:val="center"/>
          </w:tcPr>
          <w:p>
            <w:pPr>
              <w:pStyle w:val="11"/>
            </w:pPr>
            <w:r>
              <w:t>35.20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33.50</w:t>
            </w:r>
          </w:p>
        </w:tc>
        <w:tc>
          <w:tcPr>
            <w:tcW w:w="2551" w:type="dxa"/>
            <w:vAlign w:val="center"/>
          </w:tcPr>
          <w:p>
            <w:pPr>
              <w:pStyle w:val="11"/>
            </w:pPr>
            <w:r>
              <w:t>33.50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0.55</w:t>
            </w:r>
          </w:p>
        </w:tc>
        <w:tc>
          <w:tcPr>
            <w:tcW w:w="2551" w:type="dxa"/>
            <w:vAlign w:val="center"/>
          </w:tcPr>
          <w:p>
            <w:pPr>
              <w:pStyle w:val="11"/>
            </w:pPr>
            <w:r>
              <w:t>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26.91</w:t>
            </w:r>
          </w:p>
        </w:tc>
        <w:tc>
          <w:tcPr>
            <w:tcW w:w="2551" w:type="dxa"/>
            <w:vAlign w:val="center"/>
          </w:tcPr>
          <w:p>
            <w:pPr>
              <w:pStyle w:val="11"/>
            </w:pPr>
          </w:p>
        </w:tc>
        <w:tc>
          <w:tcPr>
            <w:tcW w:w="2551" w:type="dxa"/>
            <w:vAlign w:val="center"/>
          </w:tcPr>
          <w:p>
            <w:pPr>
              <w:pStyle w:val="11"/>
            </w:pPr>
            <w:r>
              <w:t>26.91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中共无极县委巡察工作领导小组办公室2026年单位预算信息公开情况说明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按照《中华人民共和国预算法》、《地方预决算公开操作规程》和《关于进一步推进预算公开工作的实施意见》规定，现将中共无极县委巡察工作领导小组办公室2026年单位预算公开如下：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一、贯彻落实中央、省委、市委、县委和县委巡察工作领导小组的决策部署，向市委巡察工作领导小组办公室和县委 巡察工作领导小组报告工作情况。</w:t>
      </w:r>
    </w:p>
    <w:p>
      <w:pPr>
        <w:pStyle w:val="17"/>
      </w:pPr>
      <w:r>
        <w:t>二、统筹、协调开展巡察工作。</w:t>
      </w:r>
    </w:p>
    <w:p>
      <w:pPr>
        <w:pStyle w:val="17"/>
      </w:pPr>
      <w:r>
        <w:t>三、具体落实上级政策研究、制度建设等工作。</w:t>
      </w:r>
    </w:p>
    <w:p>
      <w:pPr>
        <w:pStyle w:val="17"/>
      </w:pPr>
      <w:r>
        <w:t>四、对县委、县委巡察工作领导小组决定的事项进行督办，会同县委巡察组对巡察整改工作进行专项检查。</w:t>
      </w:r>
    </w:p>
    <w:p>
      <w:pPr>
        <w:pStyle w:val="17"/>
      </w:pPr>
      <w:r>
        <w:t>五、配合有关部门对巡察工作人员进行培训、考核、监督和管理。</w:t>
      </w:r>
    </w:p>
    <w:p>
      <w:pPr>
        <w:pStyle w:val="17"/>
      </w:pPr>
      <w:r>
        <w:t>六、完成市委巡察工作领导小组办公室和县委巡察工作领导小组交办的其他任务。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中共无极县委巡察工作领导小组办公室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203.16万元，其中：一般公共预算收入203.16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无极县委巡察工作领导小组办公室年度单位预算中支出预算的总体情况。2026年支出预算203.16万元，其中基本支出203.16万元，包括人员经费176.25万元和日常公用经费26.91万元；项目支出0.00万元，主要为</w:t>
      </w:r>
      <w:r>
        <w:rPr>
          <w:rFonts w:hint="eastAsia"/>
          <w:lang w:val="en-US" w:eastAsia="zh-CN"/>
        </w:rPr>
        <w:t>无项目支出</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2026年预算收支安排203.16万元，较2025年预算增加6.00万元，其中：基本支出增加6.00万元，主要为人员数量增加项目支出增加0.00万元，主要为</w:t>
      </w:r>
      <w:r>
        <w:rPr>
          <w:rFonts w:hint="eastAsia"/>
          <w:lang w:val="en-US" w:eastAsia="zh-CN"/>
        </w:rPr>
        <w:t>无项目支出</w:t>
      </w:r>
      <w:bookmarkStart w:id="2" w:name="_GoBack"/>
      <w:bookmarkEnd w:id="2"/>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因公出国（境）费用0万元，与上年持平，原因为未安排出国（境）经费，公务用车运维费比上年减少0.09万元，原因为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中共无极县委巡察工作领导小组办公室上年末固定资产金额为0.00万元（详见下表）。本年度拟购置固定资产总额为0.00万元，已按要求列入政府采购预算，详见政府采购预算表。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201004中共无极县委巡察工作领导小组办公室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890FDE"/>
    <w:rsid w:val="72864C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2026-02-25T15:35:00Z</dcterms:created>
  <dc:creator>Administrator</dc:creator>
  <cp:lastModifiedBy>李润泽</cp:lastModifiedBy>
  <dcterms:modified xsi:type="dcterms:W3CDTF">2026-03-02T06:02:43Z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345328631B1A443F838D029E4080BDAE</vt:lpwstr>
  </property>
</Properties>
</file>