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766.78</w:t>
            </w:r>
          </w:p>
        </w:tc>
        <w:tc>
          <w:tcPr>
            <w:tcW w:w="4535" w:type="dxa"/>
            <w:vAlign w:val="center"/>
          </w:tcPr>
          <w:p>
            <w:pPr>
              <w:pStyle w:val="13"/>
            </w:pPr>
            <w:r>
              <w:t>一、一般公共服务支出</w:t>
            </w:r>
          </w:p>
        </w:tc>
        <w:tc>
          <w:tcPr>
            <w:tcW w:w="2126" w:type="dxa"/>
            <w:vAlign w:val="center"/>
          </w:tcPr>
          <w:p>
            <w:pPr>
              <w:pStyle w:val="12"/>
            </w:pPr>
            <w:r>
              <w:t>665.08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766.78</w:t>
            </w:r>
          </w:p>
        </w:tc>
        <w:tc>
          <w:tcPr>
            <w:tcW w:w="4535" w:type="dxa"/>
            <w:vAlign w:val="center"/>
          </w:tcPr>
          <w:p>
            <w:pPr>
              <w:pStyle w:val="15"/>
            </w:pPr>
            <w:r>
              <w:t>本年支出合计</w:t>
            </w:r>
          </w:p>
        </w:tc>
        <w:tc>
          <w:tcPr>
            <w:tcW w:w="2126" w:type="dxa"/>
            <w:vAlign w:val="center"/>
          </w:tcPr>
          <w:p>
            <w:pPr>
              <w:pStyle w:val="16"/>
            </w:pPr>
            <w:r>
              <w:t>766.78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766.78</w:t>
            </w:r>
          </w:p>
        </w:tc>
        <w:tc>
          <w:tcPr>
            <w:tcW w:w="4535" w:type="dxa"/>
            <w:vAlign w:val="center"/>
          </w:tcPr>
          <w:p>
            <w:pPr>
              <w:pStyle w:val="15"/>
            </w:pPr>
            <w:r>
              <w:t>支出总计</w:t>
            </w:r>
          </w:p>
        </w:tc>
        <w:tc>
          <w:tcPr>
            <w:tcW w:w="2126" w:type="dxa"/>
            <w:vAlign w:val="center"/>
          </w:tcPr>
          <w:p>
            <w:pPr>
              <w:pStyle w:val="16"/>
            </w:pPr>
            <w:r>
              <w:t>766.78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766.78</w:t>
            </w:r>
          </w:p>
        </w:tc>
        <w:tc>
          <w:tcPr>
            <w:tcW w:w="1134" w:type="dxa"/>
            <w:vAlign w:val="center"/>
          </w:tcPr>
          <w:p>
            <w:pPr>
              <w:pStyle w:val="16"/>
            </w:pPr>
            <w:r>
              <w:t>766.78</w:t>
            </w:r>
          </w:p>
        </w:tc>
        <w:tc>
          <w:tcPr>
            <w:tcW w:w="1134" w:type="dxa"/>
            <w:vAlign w:val="center"/>
          </w:tcPr>
          <w:p>
            <w:pPr>
              <w:pStyle w:val="16"/>
            </w:pPr>
            <w:r>
              <w:t>766.78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r>
              <w:t>665.08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r>
              <w:t>73.30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r>
              <w:t>28.40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766.78</w:t>
            </w:r>
          </w:p>
        </w:tc>
        <w:tc>
          <w:tcPr>
            <w:tcW w:w="1361" w:type="dxa"/>
            <w:vAlign w:val="center"/>
          </w:tcPr>
          <w:p>
            <w:pPr>
              <w:pStyle w:val="16"/>
            </w:pPr>
            <w:r>
              <w:t>766.78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665.08</w:t>
            </w:r>
          </w:p>
        </w:tc>
        <w:tc>
          <w:tcPr>
            <w:tcW w:w="1361" w:type="dxa"/>
            <w:vAlign w:val="center"/>
          </w:tcPr>
          <w:p>
            <w:pPr>
              <w:pStyle w:val="12"/>
            </w:pPr>
            <w:r>
              <w:t>665.08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665.08</w:t>
            </w:r>
          </w:p>
        </w:tc>
        <w:tc>
          <w:tcPr>
            <w:tcW w:w="1361" w:type="dxa"/>
            <w:vAlign w:val="center"/>
          </w:tcPr>
          <w:p>
            <w:pPr>
              <w:pStyle w:val="12"/>
            </w:pPr>
            <w:r>
              <w:t>665.08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665.08</w:t>
            </w:r>
          </w:p>
        </w:tc>
        <w:tc>
          <w:tcPr>
            <w:tcW w:w="1361" w:type="dxa"/>
            <w:vAlign w:val="center"/>
          </w:tcPr>
          <w:p>
            <w:pPr>
              <w:pStyle w:val="12"/>
            </w:pPr>
            <w:r>
              <w:t>665.08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73.30</w:t>
            </w:r>
          </w:p>
        </w:tc>
        <w:tc>
          <w:tcPr>
            <w:tcW w:w="1361" w:type="dxa"/>
            <w:vAlign w:val="center"/>
          </w:tcPr>
          <w:p>
            <w:pPr>
              <w:pStyle w:val="12"/>
            </w:pPr>
            <w:r>
              <w:t>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73.30</w:t>
            </w:r>
          </w:p>
        </w:tc>
        <w:tc>
          <w:tcPr>
            <w:tcW w:w="1361" w:type="dxa"/>
            <w:vAlign w:val="center"/>
          </w:tcPr>
          <w:p>
            <w:pPr>
              <w:pStyle w:val="12"/>
            </w:pPr>
            <w:r>
              <w:t>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73.30</w:t>
            </w:r>
          </w:p>
        </w:tc>
        <w:tc>
          <w:tcPr>
            <w:tcW w:w="1361" w:type="dxa"/>
            <w:vAlign w:val="center"/>
          </w:tcPr>
          <w:p>
            <w:pPr>
              <w:pStyle w:val="12"/>
            </w:pPr>
            <w:r>
              <w:t>73.30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28.40</w:t>
            </w:r>
          </w:p>
        </w:tc>
        <w:tc>
          <w:tcPr>
            <w:tcW w:w="1361" w:type="dxa"/>
            <w:vAlign w:val="center"/>
          </w:tcPr>
          <w:p>
            <w:pPr>
              <w:pStyle w:val="12"/>
            </w:pPr>
            <w:r>
              <w:t>28.40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28.40</w:t>
            </w:r>
          </w:p>
        </w:tc>
        <w:tc>
          <w:tcPr>
            <w:tcW w:w="1361" w:type="dxa"/>
            <w:vAlign w:val="center"/>
          </w:tcPr>
          <w:p>
            <w:pPr>
              <w:pStyle w:val="12"/>
            </w:pPr>
            <w:r>
              <w:t>28.40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28.40</w:t>
            </w:r>
          </w:p>
        </w:tc>
        <w:tc>
          <w:tcPr>
            <w:tcW w:w="1361" w:type="dxa"/>
            <w:vAlign w:val="center"/>
          </w:tcPr>
          <w:p>
            <w:pPr>
              <w:pStyle w:val="12"/>
            </w:pPr>
            <w:r>
              <w:t>28.40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766.78</w:t>
            </w:r>
          </w:p>
        </w:tc>
        <w:tc>
          <w:tcPr>
            <w:tcW w:w="3402" w:type="dxa"/>
            <w:vAlign w:val="center"/>
          </w:tcPr>
          <w:p>
            <w:pPr>
              <w:pStyle w:val="13"/>
            </w:pPr>
            <w:r>
              <w:t>一、一般公共服务支出</w:t>
            </w:r>
          </w:p>
        </w:tc>
        <w:tc>
          <w:tcPr>
            <w:tcW w:w="1474" w:type="dxa"/>
            <w:vAlign w:val="center"/>
          </w:tcPr>
          <w:p>
            <w:pPr>
              <w:pStyle w:val="12"/>
            </w:pPr>
            <w:r>
              <w:t>665.08</w:t>
            </w:r>
          </w:p>
        </w:tc>
        <w:tc>
          <w:tcPr>
            <w:tcW w:w="1474" w:type="dxa"/>
            <w:vAlign w:val="center"/>
          </w:tcPr>
          <w:p>
            <w:pPr>
              <w:pStyle w:val="12"/>
            </w:pPr>
            <w:r>
              <w:t>665.08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73.30</w:t>
            </w:r>
          </w:p>
        </w:tc>
        <w:tc>
          <w:tcPr>
            <w:tcW w:w="1474" w:type="dxa"/>
            <w:vAlign w:val="center"/>
          </w:tcPr>
          <w:p>
            <w:pPr>
              <w:pStyle w:val="12"/>
            </w:pPr>
            <w:r>
              <w:t>73.30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28.40</w:t>
            </w:r>
          </w:p>
        </w:tc>
        <w:tc>
          <w:tcPr>
            <w:tcW w:w="1474" w:type="dxa"/>
            <w:vAlign w:val="center"/>
          </w:tcPr>
          <w:p>
            <w:pPr>
              <w:pStyle w:val="12"/>
            </w:pPr>
            <w:r>
              <w:t>28.40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766.78</w:t>
            </w:r>
          </w:p>
        </w:tc>
        <w:tc>
          <w:tcPr>
            <w:tcW w:w="3402" w:type="dxa"/>
            <w:vAlign w:val="center"/>
          </w:tcPr>
          <w:p>
            <w:pPr>
              <w:pStyle w:val="15"/>
            </w:pPr>
            <w:r>
              <w:t>本年支出合计</w:t>
            </w:r>
          </w:p>
        </w:tc>
        <w:tc>
          <w:tcPr>
            <w:tcW w:w="1474" w:type="dxa"/>
            <w:vAlign w:val="center"/>
          </w:tcPr>
          <w:p>
            <w:pPr>
              <w:pStyle w:val="16"/>
            </w:pPr>
            <w:r>
              <w:t>766.78</w:t>
            </w:r>
          </w:p>
        </w:tc>
        <w:tc>
          <w:tcPr>
            <w:tcW w:w="1474" w:type="dxa"/>
            <w:vAlign w:val="center"/>
          </w:tcPr>
          <w:p>
            <w:pPr>
              <w:pStyle w:val="16"/>
            </w:pPr>
            <w:r>
              <w:t>766.78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766.78</w:t>
            </w:r>
          </w:p>
        </w:tc>
        <w:tc>
          <w:tcPr>
            <w:tcW w:w="3402" w:type="dxa"/>
            <w:vAlign w:val="center"/>
          </w:tcPr>
          <w:p>
            <w:pPr>
              <w:pStyle w:val="15"/>
            </w:pPr>
            <w:r>
              <w:t>支出总计</w:t>
            </w:r>
          </w:p>
        </w:tc>
        <w:tc>
          <w:tcPr>
            <w:tcW w:w="1474" w:type="dxa"/>
            <w:vAlign w:val="center"/>
          </w:tcPr>
          <w:p>
            <w:pPr>
              <w:pStyle w:val="16"/>
            </w:pPr>
            <w:r>
              <w:t>766.78</w:t>
            </w:r>
          </w:p>
        </w:tc>
        <w:tc>
          <w:tcPr>
            <w:tcW w:w="1474" w:type="dxa"/>
            <w:vAlign w:val="center"/>
          </w:tcPr>
          <w:p>
            <w:pPr>
              <w:pStyle w:val="16"/>
            </w:pPr>
            <w:r>
              <w:t>766.78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766.78</w:t>
            </w:r>
          </w:p>
        </w:tc>
        <w:tc>
          <w:tcPr>
            <w:tcW w:w="2551" w:type="dxa"/>
            <w:vAlign w:val="center"/>
          </w:tcPr>
          <w:p>
            <w:pPr>
              <w:pStyle w:val="16"/>
            </w:pPr>
            <w:r>
              <w:t>766.78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665.08</w:t>
            </w:r>
          </w:p>
        </w:tc>
        <w:tc>
          <w:tcPr>
            <w:tcW w:w="2551" w:type="dxa"/>
            <w:vAlign w:val="center"/>
          </w:tcPr>
          <w:p>
            <w:pPr>
              <w:pStyle w:val="12"/>
            </w:pPr>
            <w:r>
              <w:t>665.08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665.08</w:t>
            </w:r>
          </w:p>
        </w:tc>
        <w:tc>
          <w:tcPr>
            <w:tcW w:w="2551" w:type="dxa"/>
            <w:vAlign w:val="center"/>
          </w:tcPr>
          <w:p>
            <w:pPr>
              <w:pStyle w:val="12"/>
            </w:pPr>
            <w:r>
              <w:t>665.08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665.08</w:t>
            </w:r>
          </w:p>
        </w:tc>
        <w:tc>
          <w:tcPr>
            <w:tcW w:w="2551" w:type="dxa"/>
            <w:vAlign w:val="center"/>
          </w:tcPr>
          <w:p>
            <w:pPr>
              <w:pStyle w:val="12"/>
            </w:pPr>
            <w:r>
              <w:t>665.08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766.78</w:t>
            </w:r>
          </w:p>
        </w:tc>
        <w:tc>
          <w:tcPr>
            <w:tcW w:w="2551" w:type="dxa"/>
            <w:vAlign w:val="center"/>
          </w:tcPr>
          <w:p>
            <w:pPr>
              <w:pStyle w:val="16"/>
            </w:pPr>
            <w:r>
              <w:t>629.85</w:t>
            </w:r>
          </w:p>
        </w:tc>
        <w:tc>
          <w:tcPr>
            <w:tcW w:w="2551" w:type="dxa"/>
            <w:vAlign w:val="center"/>
          </w:tcPr>
          <w:p>
            <w:pPr>
              <w:pStyle w:val="16"/>
            </w:pPr>
            <w:r>
              <w:t>136.93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609.35</w:t>
            </w:r>
          </w:p>
        </w:tc>
        <w:tc>
          <w:tcPr>
            <w:tcW w:w="2551" w:type="dxa"/>
            <w:vAlign w:val="center"/>
          </w:tcPr>
          <w:p>
            <w:pPr>
              <w:pStyle w:val="12"/>
            </w:pPr>
            <w:r>
              <w:t>609.35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257.00</w:t>
            </w:r>
          </w:p>
        </w:tc>
        <w:tc>
          <w:tcPr>
            <w:tcW w:w="2551" w:type="dxa"/>
            <w:vAlign w:val="center"/>
          </w:tcPr>
          <w:p>
            <w:pPr>
              <w:pStyle w:val="12"/>
            </w:pPr>
            <w:r>
              <w:t>257.00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104.70</w:t>
            </w:r>
          </w:p>
        </w:tc>
        <w:tc>
          <w:tcPr>
            <w:tcW w:w="2551" w:type="dxa"/>
            <w:vAlign w:val="center"/>
          </w:tcPr>
          <w:p>
            <w:pPr>
              <w:pStyle w:val="12"/>
            </w:pPr>
            <w:r>
              <w:t>104.70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97.50</w:t>
            </w:r>
          </w:p>
        </w:tc>
        <w:tc>
          <w:tcPr>
            <w:tcW w:w="2551" w:type="dxa"/>
            <w:vAlign w:val="center"/>
          </w:tcPr>
          <w:p>
            <w:pPr>
              <w:pStyle w:val="12"/>
            </w:pPr>
            <w:r>
              <w:t>97.50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73.30</w:t>
            </w:r>
          </w:p>
        </w:tc>
        <w:tc>
          <w:tcPr>
            <w:tcW w:w="2551" w:type="dxa"/>
            <w:vAlign w:val="center"/>
          </w:tcPr>
          <w:p>
            <w:pPr>
              <w:pStyle w:val="12"/>
            </w:pPr>
            <w:r>
              <w:t>73.30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28.40</w:t>
            </w:r>
          </w:p>
        </w:tc>
        <w:tc>
          <w:tcPr>
            <w:tcW w:w="2551" w:type="dxa"/>
            <w:vAlign w:val="center"/>
          </w:tcPr>
          <w:p>
            <w:pPr>
              <w:pStyle w:val="12"/>
            </w:pPr>
            <w:r>
              <w:t>28.40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2.45</w:t>
            </w:r>
          </w:p>
        </w:tc>
        <w:tc>
          <w:tcPr>
            <w:tcW w:w="2551" w:type="dxa"/>
            <w:vAlign w:val="center"/>
          </w:tcPr>
          <w:p>
            <w:pPr>
              <w:pStyle w:val="12"/>
            </w:pPr>
            <w:r>
              <w:t>2.45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136.93</w:t>
            </w:r>
          </w:p>
        </w:tc>
        <w:tc>
          <w:tcPr>
            <w:tcW w:w="2551" w:type="dxa"/>
            <w:vAlign w:val="center"/>
          </w:tcPr>
          <w:p>
            <w:pPr>
              <w:pStyle w:val="12"/>
            </w:pPr>
          </w:p>
        </w:tc>
        <w:tc>
          <w:tcPr>
            <w:tcW w:w="2551" w:type="dxa"/>
            <w:vAlign w:val="center"/>
          </w:tcPr>
          <w:p>
            <w:pPr>
              <w:pStyle w:val="12"/>
            </w:pPr>
            <w:r>
              <w:t>136.93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21.50</w:t>
            </w:r>
          </w:p>
        </w:tc>
        <w:tc>
          <w:tcPr>
            <w:tcW w:w="2551" w:type="dxa"/>
            <w:vAlign w:val="center"/>
          </w:tcPr>
          <w:p>
            <w:pPr>
              <w:pStyle w:val="12"/>
            </w:pPr>
          </w:p>
        </w:tc>
        <w:tc>
          <w:tcPr>
            <w:tcW w:w="2551" w:type="dxa"/>
            <w:vAlign w:val="center"/>
          </w:tcPr>
          <w:p>
            <w:pPr>
              <w:pStyle w:val="12"/>
            </w:pPr>
            <w:r>
              <w:t>21.50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18.43</w:t>
            </w:r>
          </w:p>
        </w:tc>
        <w:tc>
          <w:tcPr>
            <w:tcW w:w="2551" w:type="dxa"/>
            <w:vAlign w:val="center"/>
          </w:tcPr>
          <w:p>
            <w:pPr>
              <w:pStyle w:val="12"/>
            </w:pPr>
          </w:p>
        </w:tc>
        <w:tc>
          <w:tcPr>
            <w:tcW w:w="2551" w:type="dxa"/>
            <w:vAlign w:val="center"/>
          </w:tcPr>
          <w:p>
            <w:pPr>
              <w:pStyle w:val="12"/>
            </w:pPr>
            <w:r>
              <w:t>18.43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20.50</w:t>
            </w:r>
          </w:p>
        </w:tc>
        <w:tc>
          <w:tcPr>
            <w:tcW w:w="2551" w:type="dxa"/>
            <w:vAlign w:val="center"/>
          </w:tcPr>
          <w:p>
            <w:pPr>
              <w:pStyle w:val="12"/>
            </w:pPr>
            <w:r>
              <w:t>20.50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18.43</w:t>
            </w:r>
          </w:p>
        </w:tc>
        <w:tc>
          <w:tcPr>
            <w:tcW w:w="2381" w:type="dxa"/>
            <w:vAlign w:val="center"/>
          </w:tcPr>
          <w:p>
            <w:pPr>
              <w:pStyle w:val="16"/>
            </w:pPr>
            <w:r>
              <w:t>18.43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18.43</w:t>
            </w:r>
          </w:p>
        </w:tc>
        <w:tc>
          <w:tcPr>
            <w:tcW w:w="2381" w:type="dxa"/>
            <w:vAlign w:val="center"/>
          </w:tcPr>
          <w:p>
            <w:pPr>
              <w:pStyle w:val="12"/>
            </w:pPr>
            <w:r>
              <w:t>18.43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18.43</w:t>
            </w:r>
          </w:p>
        </w:tc>
        <w:tc>
          <w:tcPr>
            <w:tcW w:w="2381" w:type="dxa"/>
            <w:vAlign w:val="center"/>
          </w:tcPr>
          <w:p>
            <w:pPr>
              <w:pStyle w:val="12"/>
            </w:pPr>
            <w:r>
              <w:t>18.43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18.43</w:t>
            </w:r>
          </w:p>
        </w:tc>
        <w:tc>
          <w:tcPr>
            <w:tcW w:w="2381" w:type="dxa"/>
            <w:vAlign w:val="center"/>
          </w:tcPr>
          <w:p>
            <w:pPr>
              <w:pStyle w:val="12"/>
            </w:pPr>
            <w:r>
              <w:t>18.43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（一）负责推动党中央和省、市、县决策部署的落实，按照县委要求协调有关方面开展工作，承担县委运行保障具体事务。</w:t>
      </w:r>
    </w:p>
    <w:p>
      <w:pPr>
        <w:pStyle w:val="18"/>
      </w:pPr>
      <w:r>
        <w:t>（二）负责县委和县委办公室文件、县委领导讲话的起草、修改等工作。</w:t>
      </w:r>
    </w:p>
    <w:p>
      <w:pPr>
        <w:pStyle w:val="18"/>
      </w:pPr>
      <w:r>
        <w:t>（三）围绕党中央和省、市、县总体工作部署及领导关注的重大问题开展调查研究，为科学决策提供参考；向上级党委和县委反馈全县重要工作及情况，收集和处理信息，反映动态；负责全县全面深化改革工作的组织协调、督办考核；负责社情民意的搜集、整理和编报工作。</w:t>
      </w:r>
    </w:p>
    <w:p>
      <w:pPr>
        <w:pStyle w:val="18"/>
      </w:pPr>
      <w:r>
        <w:t>（四）负责县委全会、县委常委会和县委其他重要会议的会务工作；负责县委领导参加重大活动和日常工作活动的组织安排；承担县委值班工作，负责编写县委大事记。</w:t>
      </w:r>
    </w:p>
    <w:p>
      <w:pPr>
        <w:pStyle w:val="18"/>
      </w:pPr>
      <w:r>
        <w:t>（五）承担县委履行全面从严治党主体责任相关工作的谋划、部署、督导、推动和落实；负责统筹协调和督促指导全县党务公开工作。</w:t>
      </w:r>
    </w:p>
    <w:p>
      <w:pPr>
        <w:pStyle w:val="18"/>
      </w:pPr>
      <w:r>
        <w:t>（六）负责县委日常公文处理负责县委文件和县委办公室代县委行文的审核工作；负责县委制定规范性文件；负责为县委领导提供法律方面的服务工作。</w:t>
      </w:r>
    </w:p>
    <w:p>
      <w:pPr>
        <w:pStyle w:val="18"/>
      </w:pPr>
      <w:r>
        <w:t>（七）督查上级党委指示和县委重要决策的贯彻落实，督办上级和县委领导交办的重要事项。</w:t>
      </w:r>
    </w:p>
    <w:p>
      <w:pPr>
        <w:pStyle w:val="18"/>
      </w:pPr>
      <w:r>
        <w:t>（八）贯彻落实党中央和省、市、县委关于国家安全工作的决策部署，负责研究提出县委国家安全委员会重点工作安排，收集汇总、整理分析并上报涉及国家安全的情报信息，指导协调有关方面开展国家安全风险排查，组织全县国家安全工作督查检查、考核考评工作。</w:t>
      </w:r>
    </w:p>
    <w:p>
      <w:pPr>
        <w:pStyle w:val="18"/>
      </w:pPr>
      <w:r>
        <w:t>（九）负责上级党委、政府和全县党政军领导机关及要害部门核心机密的传递工作；承担县委保密委员会的日常工作；按规定程序传送和处理机要文电，保证机要通信畅通。</w:t>
      </w:r>
    </w:p>
    <w:p>
      <w:pPr>
        <w:pStyle w:val="18"/>
      </w:pPr>
      <w:r>
        <w:t>（十）负责全县档案事业宏观管理和执法复议、监督指导等工作。</w:t>
      </w:r>
    </w:p>
    <w:p>
      <w:pPr>
        <w:pStyle w:val="18"/>
      </w:pPr>
      <w:r>
        <w:t>（十一）负责地方志和党史有关工作。</w:t>
      </w:r>
    </w:p>
    <w:p>
      <w:pPr>
        <w:pStyle w:val="18"/>
      </w:pPr>
      <w:r>
        <w:t>（十二）完成县委交办的其他任务。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中国共产党无极县委员会办公室本级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中共无极县委巡察工作领导小组办公室</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按照预算管理有关规定，目前部门预算的编制实行综合预算管理，即全部收入和支出都反映在预算中。中国共产党无极县委员会办公室机关及所属事业单位的收支包含在部门预算中。</w:t>
      </w:r>
    </w:p>
    <w:p>
      <w:pPr>
        <w:pStyle w:val="19"/>
      </w:pPr>
      <w:r>
        <w:t>1、收入说明</w:t>
      </w:r>
    </w:p>
    <w:p>
      <w:pPr>
        <w:pStyle w:val="19"/>
      </w:pPr>
      <w:r>
        <w:t>反映本部门当年全部收入。2026年预算收入766.78万元，其中：一般公共预算收入766.78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办公室年度部门预算中支出预算的总体情况。2026年支出预算766.78万元，其中基本支出766.78万元，包括人员经费629.85万元和日常公用经费136.93万元；项目支出0.00万元，主要为主要为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2026年预算收支安排766.78万元，较2025年预算减少96.59万元，其中：基本支出减少93.08万元，主要为办公经费减少。项目支出减少3.51万元，主要为王磊同志援藏探亲补贴</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18.43万元，其中因公出国（境）费0.00万元；公务用车购置及运维费18.43万元（其中：公务用车购置费为0.00万元，公务用车运维费18.43万元)；公务接待费0.00万元。与2025年相比减少4.57万元，增减变化的主要原因是未申请。</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始终坚持以习近平新时代中国特色社会主义思想为指引，按照中央和省、市有关部署，全面贯彻落实党的十九大精神，高举习近平新时代中国特色社会主义伟大旗帜，大力发扬“一不怕吃苦、二不怕吃亏、三不怕批评”的办公室精神，坚持创新、协调、绿色、开放、共享的理念，切实改进工作作风， 开拓进取，扎实工作，为建设“幸福无极、魅力无极”做出新贡献，努力向县委交一份合格答卷。</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1|、规范县委机关大院后勤保障，强化机关安全保卫管理，维护县委机关正常办公秩序。</w:t>
      </w:r>
    </w:p>
    <w:p>
      <w:pPr>
        <w:pStyle w:val="23"/>
      </w:pPr>
      <w:r>
        <w:t>绩效目标：保障县委大院水电暖正常供应，无安全事故，维持机关正常办公秩序。</w:t>
      </w:r>
    </w:p>
    <w:p>
      <w:pPr>
        <w:pStyle w:val="23"/>
      </w:pPr>
      <w:r>
        <w:t>绩效指标：保障安保人员24小时在岗在位，配备必要的警用装备、监控设备及消防器材，水、电、暖设备及配套设备正常运行，规范管理。</w:t>
      </w:r>
    </w:p>
    <w:p>
      <w:pPr>
        <w:pStyle w:val="23"/>
      </w:pPr>
      <w:r>
        <w:t>2、认真做好有关工作，为领导决策提供依据，保障落实到位，切实发挥好参谋助手作用。</w:t>
      </w:r>
    </w:p>
    <w:p>
      <w:pPr>
        <w:pStyle w:val="23"/>
      </w:pPr>
      <w:r>
        <w:t>绩效目标：提供车辆、专用设备、人员及经费保障，切实做好信息、督查、保密及日常性工作。</w:t>
      </w:r>
    </w:p>
    <w:p>
      <w:pPr>
        <w:pStyle w:val="23"/>
      </w:pPr>
      <w:r>
        <w:t>绩效指标：积极开展信息收集、整理、上报工作，主动应对网络舆情，保障信息工作正常开展；及时开展督导检查，保障交办任务顺利完成；全力做好保密工作；保障日常工作正常开展。</w:t>
      </w:r>
    </w:p>
    <w:p>
      <w:pPr>
        <w:pStyle w:val="23"/>
      </w:pPr>
      <w:r>
        <w:t>3、提升密码通信工作水平，全方位保障密码通信服务工作，确保机要安全无差错。</w:t>
      </w:r>
    </w:p>
    <w:p>
      <w:pPr>
        <w:pStyle w:val="23"/>
      </w:pPr>
      <w:r>
        <w:t>绩效目标：保障密码通信绝对安全、绝对畅通，切实提高应急通信能力，保障机要工作顺利开展。</w:t>
      </w:r>
    </w:p>
    <w:p>
      <w:pPr>
        <w:pStyle w:val="23"/>
      </w:pPr>
      <w:r>
        <w:t>绩效指标：做好密码设备更新及内网建设（升级） 、维护工作；做好我县电子政务内网建设工程的组织实施工作，满足我县党政部门对内网业务运行的实际需求；圆满完成应急通讯演练任务，切实提高应急通信能力。</w:t>
      </w:r>
    </w:p>
    <w:p>
      <w:pPr>
        <w:pStyle w:val="23"/>
      </w:pPr>
      <w:r>
        <w:t>4、完成党报党刊征订工作。</w:t>
      </w:r>
    </w:p>
    <w:p>
      <w:pPr>
        <w:pStyle w:val="23"/>
      </w:pPr>
      <w:r>
        <w:t>绩效目标：充分发挥党报党刊的作用，壮大主流思想舆论，提高广大干部的理论素养、政治素养。</w:t>
      </w:r>
    </w:p>
    <w:p>
      <w:pPr>
        <w:pStyle w:val="23"/>
      </w:pPr>
      <w:r>
        <w:t>绩效指标：充分认识党报党刊征订工作重要性，按时按量完成征订任务，积极宣传党的理论、路线、方针、政策，引导社会舆论，指导我县实际工作；学习借鉴其他地方先进工作经验，为县委领导科学决策提供理论依据。</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完善制度建设。制定完善预算绩效管理制度，建立资金管理办法，完善保障制度，落实责任考核，为全年预算绩效目标的实现奠定制度基础。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规范财务资产管理。完善财务管理制度，建立财务领导小组，严格各项审批程序，加强固定资产登记、使用和报废处置管理，做到支出合理，物尽其用。</w:t>
      </w:r>
    </w:p>
    <w:p>
      <w:pPr>
        <w:pStyle w:val="24"/>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25.00</w:t>
            </w:r>
          </w:p>
        </w:tc>
        <w:tc>
          <w:tcPr>
            <w:tcW w:w="964" w:type="dxa"/>
            <w:vAlign w:val="center"/>
          </w:tcPr>
          <w:p>
            <w:pPr>
              <w:pStyle w:val="16"/>
            </w:pPr>
            <w:r>
              <w:t>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中国共产党无极县委员会办公室本级小计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25.00</w:t>
            </w:r>
          </w:p>
        </w:tc>
        <w:tc>
          <w:tcPr>
            <w:tcW w:w="964" w:type="dxa"/>
            <w:vAlign w:val="center"/>
          </w:tcPr>
          <w:p>
            <w:pPr>
              <w:pStyle w:val="16"/>
            </w:pPr>
            <w:r>
              <w:t>25.00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74.02</w:t>
            </w:r>
          </w:p>
        </w:tc>
        <w:tc>
          <w:tcPr>
            <w:tcW w:w="1134" w:type="dxa"/>
            <w:vAlign w:val="center"/>
          </w:tcPr>
          <w:p>
            <w:pPr>
              <w:pStyle w:val="13"/>
            </w:pPr>
            <w:r>
              <w:t>办公设备零部件</w:t>
            </w:r>
          </w:p>
        </w:tc>
        <w:tc>
          <w:tcPr>
            <w:tcW w:w="1134" w:type="dxa"/>
            <w:vAlign w:val="center"/>
          </w:tcPr>
          <w:p>
            <w:pPr>
              <w:pStyle w:val="13"/>
            </w:pPr>
            <w:r>
              <w:t>A02021700</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1.00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74.02</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批</w:t>
            </w:r>
          </w:p>
        </w:tc>
        <w:tc>
          <w:tcPr>
            <w:tcW w:w="850" w:type="dxa"/>
            <w:vAlign w:val="center"/>
          </w:tcPr>
          <w:p>
            <w:pPr>
              <w:pStyle w:val="12"/>
            </w:pPr>
            <w:r>
              <w:t>15</w:t>
            </w:r>
          </w:p>
        </w:tc>
        <w:tc>
          <w:tcPr>
            <w:tcW w:w="850" w:type="dxa"/>
            <w:vAlign w:val="center"/>
          </w:tcPr>
          <w:p>
            <w:pPr>
              <w:pStyle w:val="12"/>
            </w:pPr>
            <w:r>
              <w:t>1.00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中国共产党无极县委员会办公室（含所属单位）上年末固定资产金额为20.00万元（详见下表）。本年度拟购置固定资产总额为0.00万元，已按要求列入政府采购预算，详见政府采购预算表。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201中国共产党无极县委员会办公室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806FCE"/>
    <w:rsid w:val="6A547D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2026-02-25T15:38:00Z</dcterms:created>
  <dc:creator>Administrator</dc:creator>
  <cp:lastModifiedBy>李润泽</cp:lastModifiedBy>
  <dcterms:modified xsi:type="dcterms:W3CDTF">2026-03-02T06:01:42Z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3D817EEA8C29464F9DEDA68F13B30592</vt:lpwstr>
  </property>
</Properties>
</file>