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一、中国共产党无极县委员会宣传部本级收支预算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一、中国共产党无极县委员会宣传部本级收支预算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248.76</w:t>
            </w:r>
          </w:p>
        </w:tc>
        <w:tc>
          <w:tcPr>
            <w:tcW w:w="4535" w:type="dxa"/>
            <w:vAlign w:val="center"/>
          </w:tcPr>
          <w:p>
            <w:pPr>
              <w:pStyle w:val="12"/>
            </w:pPr>
            <w:r>
              <w:t>一、一般公共服务支出</w:t>
            </w:r>
          </w:p>
        </w:tc>
        <w:tc>
          <w:tcPr>
            <w:tcW w:w="2126" w:type="dxa"/>
            <w:vAlign w:val="center"/>
          </w:tcPr>
          <w:p>
            <w:pPr>
              <w:pStyle w:val="11"/>
            </w:pPr>
            <w:r>
              <w:t>185.66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248.76</w:t>
            </w:r>
          </w:p>
        </w:tc>
        <w:tc>
          <w:tcPr>
            <w:tcW w:w="4535" w:type="dxa"/>
            <w:vAlign w:val="center"/>
          </w:tcPr>
          <w:p>
            <w:pPr>
              <w:pStyle w:val="14"/>
            </w:pPr>
            <w:r>
              <w:t>本年支出合计</w:t>
            </w:r>
          </w:p>
        </w:tc>
        <w:tc>
          <w:tcPr>
            <w:tcW w:w="2126" w:type="dxa"/>
            <w:vAlign w:val="center"/>
          </w:tcPr>
          <w:p>
            <w:pPr>
              <w:pStyle w:val="15"/>
            </w:pPr>
            <w:r>
              <w:t>295.31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46.55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295.31</w:t>
            </w:r>
          </w:p>
        </w:tc>
        <w:tc>
          <w:tcPr>
            <w:tcW w:w="4535" w:type="dxa"/>
            <w:vAlign w:val="center"/>
          </w:tcPr>
          <w:p>
            <w:pPr>
              <w:pStyle w:val="14"/>
            </w:pPr>
            <w:r>
              <w:t>支出总计</w:t>
            </w:r>
          </w:p>
        </w:tc>
        <w:tc>
          <w:tcPr>
            <w:tcW w:w="2126" w:type="dxa"/>
            <w:vAlign w:val="center"/>
          </w:tcPr>
          <w:p>
            <w:pPr>
              <w:pStyle w:val="15"/>
            </w:pPr>
            <w:r>
              <w:t>295.31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295.31</w:t>
            </w:r>
          </w:p>
        </w:tc>
        <w:tc>
          <w:tcPr>
            <w:tcW w:w="1134" w:type="dxa"/>
            <w:vAlign w:val="center"/>
          </w:tcPr>
          <w:p>
            <w:pPr>
              <w:pStyle w:val="15"/>
            </w:pPr>
            <w:r>
              <w:t>248.76</w:t>
            </w:r>
          </w:p>
        </w:tc>
        <w:tc>
          <w:tcPr>
            <w:tcW w:w="1134" w:type="dxa"/>
            <w:vAlign w:val="center"/>
          </w:tcPr>
          <w:p>
            <w:pPr>
              <w:pStyle w:val="15"/>
            </w:pPr>
            <w:r>
              <w:t>248.76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185.66</w:t>
            </w:r>
          </w:p>
        </w:tc>
        <w:tc>
          <w:tcPr>
            <w:tcW w:w="1134" w:type="dxa"/>
            <w:vAlign w:val="center"/>
          </w:tcPr>
          <w:p>
            <w:pPr>
              <w:pStyle w:val="11"/>
            </w:pPr>
            <w:r>
              <w:t>185.66</w:t>
            </w:r>
          </w:p>
        </w:tc>
        <w:tc>
          <w:tcPr>
            <w:tcW w:w="1134" w:type="dxa"/>
            <w:vAlign w:val="center"/>
          </w:tcPr>
          <w:p>
            <w:pPr>
              <w:pStyle w:val="11"/>
            </w:pPr>
            <w:r>
              <w:t>185.66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20133</w:t>
            </w:r>
          </w:p>
        </w:tc>
        <w:tc>
          <w:tcPr>
            <w:tcW w:w="1559" w:type="dxa"/>
            <w:vAlign w:val="center"/>
          </w:tcPr>
          <w:p>
            <w:pPr>
              <w:pStyle w:val="12"/>
            </w:pPr>
            <w:r>
              <w:t>宣传事务</w:t>
            </w:r>
          </w:p>
        </w:tc>
        <w:tc>
          <w:tcPr>
            <w:tcW w:w="1134" w:type="dxa"/>
            <w:vAlign w:val="center"/>
          </w:tcPr>
          <w:p>
            <w:pPr>
              <w:pStyle w:val="11"/>
            </w:pPr>
            <w:r>
              <w:t>185.66</w:t>
            </w:r>
          </w:p>
        </w:tc>
        <w:tc>
          <w:tcPr>
            <w:tcW w:w="1134" w:type="dxa"/>
            <w:vAlign w:val="center"/>
          </w:tcPr>
          <w:p>
            <w:pPr>
              <w:pStyle w:val="11"/>
            </w:pPr>
            <w:r>
              <w:t>185.66</w:t>
            </w:r>
          </w:p>
        </w:tc>
        <w:tc>
          <w:tcPr>
            <w:tcW w:w="1134" w:type="dxa"/>
            <w:vAlign w:val="center"/>
          </w:tcPr>
          <w:p>
            <w:pPr>
              <w:pStyle w:val="11"/>
            </w:pPr>
            <w:r>
              <w:t>185.66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2013301</w:t>
            </w:r>
          </w:p>
        </w:tc>
        <w:tc>
          <w:tcPr>
            <w:tcW w:w="1559" w:type="dxa"/>
            <w:vAlign w:val="center"/>
          </w:tcPr>
          <w:p>
            <w:pPr>
              <w:pStyle w:val="12"/>
            </w:pPr>
            <w:r>
              <w:t>行政运行</w:t>
            </w:r>
          </w:p>
        </w:tc>
        <w:tc>
          <w:tcPr>
            <w:tcW w:w="1134" w:type="dxa"/>
            <w:vAlign w:val="center"/>
          </w:tcPr>
          <w:p>
            <w:pPr>
              <w:pStyle w:val="11"/>
            </w:pPr>
            <w:r>
              <w:t>185.66</w:t>
            </w:r>
          </w:p>
        </w:tc>
        <w:tc>
          <w:tcPr>
            <w:tcW w:w="1134" w:type="dxa"/>
            <w:vAlign w:val="center"/>
          </w:tcPr>
          <w:p>
            <w:pPr>
              <w:pStyle w:val="11"/>
            </w:pPr>
            <w:r>
              <w:t>185.66</w:t>
            </w:r>
          </w:p>
        </w:tc>
        <w:tc>
          <w:tcPr>
            <w:tcW w:w="1134" w:type="dxa"/>
            <w:vAlign w:val="center"/>
          </w:tcPr>
          <w:p>
            <w:pPr>
              <w:pStyle w:val="11"/>
            </w:pPr>
            <w:r>
              <w:t>185.66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207</w:t>
            </w:r>
          </w:p>
        </w:tc>
        <w:tc>
          <w:tcPr>
            <w:tcW w:w="1559" w:type="dxa"/>
            <w:vAlign w:val="center"/>
          </w:tcPr>
          <w:p>
            <w:pPr>
              <w:pStyle w:val="12"/>
            </w:pPr>
            <w:r>
              <w:t>文化旅游体育与传媒支出</w:t>
            </w:r>
          </w:p>
        </w:tc>
        <w:tc>
          <w:tcPr>
            <w:tcW w:w="1134" w:type="dxa"/>
            <w:vAlign w:val="center"/>
          </w:tcPr>
          <w:p>
            <w:pPr>
              <w:pStyle w:val="11"/>
            </w:pPr>
            <w:r>
              <w:t>82.85</w:t>
            </w:r>
          </w:p>
        </w:tc>
        <w:tc>
          <w:tcPr>
            <w:tcW w:w="1134" w:type="dxa"/>
            <w:vAlign w:val="center"/>
          </w:tcPr>
          <w:p>
            <w:pPr>
              <w:pStyle w:val="11"/>
            </w:pPr>
            <w:r>
              <w:t>36.30</w:t>
            </w:r>
          </w:p>
        </w:tc>
        <w:tc>
          <w:tcPr>
            <w:tcW w:w="1134" w:type="dxa"/>
            <w:vAlign w:val="center"/>
          </w:tcPr>
          <w:p>
            <w:pPr>
              <w:pStyle w:val="11"/>
            </w:pPr>
            <w:r>
              <w:t>36.30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20799</w:t>
            </w:r>
          </w:p>
        </w:tc>
        <w:tc>
          <w:tcPr>
            <w:tcW w:w="1559" w:type="dxa"/>
            <w:vAlign w:val="center"/>
          </w:tcPr>
          <w:p>
            <w:pPr>
              <w:pStyle w:val="12"/>
            </w:pPr>
            <w:r>
              <w:t>其他文化旅游体育与传媒支出</w:t>
            </w:r>
          </w:p>
        </w:tc>
        <w:tc>
          <w:tcPr>
            <w:tcW w:w="1134" w:type="dxa"/>
            <w:vAlign w:val="center"/>
          </w:tcPr>
          <w:p>
            <w:pPr>
              <w:pStyle w:val="11"/>
            </w:pPr>
            <w:r>
              <w:t>82.85</w:t>
            </w:r>
          </w:p>
        </w:tc>
        <w:tc>
          <w:tcPr>
            <w:tcW w:w="1134" w:type="dxa"/>
            <w:vAlign w:val="center"/>
          </w:tcPr>
          <w:p>
            <w:pPr>
              <w:pStyle w:val="11"/>
            </w:pPr>
            <w:r>
              <w:t>36.30</w:t>
            </w:r>
          </w:p>
        </w:tc>
        <w:tc>
          <w:tcPr>
            <w:tcW w:w="1134" w:type="dxa"/>
            <w:vAlign w:val="center"/>
          </w:tcPr>
          <w:p>
            <w:pPr>
              <w:pStyle w:val="11"/>
            </w:pPr>
            <w:r>
              <w:t>36.30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2079999</w:t>
            </w:r>
          </w:p>
        </w:tc>
        <w:tc>
          <w:tcPr>
            <w:tcW w:w="1559" w:type="dxa"/>
            <w:vAlign w:val="center"/>
          </w:tcPr>
          <w:p>
            <w:pPr>
              <w:pStyle w:val="12"/>
            </w:pPr>
            <w:r>
              <w:t>其他文化旅游体育与传媒支出</w:t>
            </w:r>
          </w:p>
        </w:tc>
        <w:tc>
          <w:tcPr>
            <w:tcW w:w="1134" w:type="dxa"/>
            <w:vAlign w:val="center"/>
          </w:tcPr>
          <w:p>
            <w:pPr>
              <w:pStyle w:val="11"/>
            </w:pPr>
            <w:r>
              <w:t>82.85</w:t>
            </w:r>
          </w:p>
        </w:tc>
        <w:tc>
          <w:tcPr>
            <w:tcW w:w="1134" w:type="dxa"/>
            <w:vAlign w:val="center"/>
          </w:tcPr>
          <w:p>
            <w:pPr>
              <w:pStyle w:val="11"/>
            </w:pPr>
            <w:r>
              <w:t>36.30</w:t>
            </w:r>
          </w:p>
        </w:tc>
        <w:tc>
          <w:tcPr>
            <w:tcW w:w="1134" w:type="dxa"/>
            <w:vAlign w:val="center"/>
          </w:tcPr>
          <w:p>
            <w:pPr>
              <w:pStyle w:val="11"/>
            </w:pPr>
            <w:r>
              <w:t>36.30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46.55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r>
              <w:t>19.00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7.80</w:t>
            </w:r>
          </w:p>
        </w:tc>
        <w:tc>
          <w:tcPr>
            <w:tcW w:w="1134" w:type="dxa"/>
            <w:vAlign w:val="center"/>
          </w:tcPr>
          <w:p>
            <w:pPr>
              <w:pStyle w:val="11"/>
            </w:pPr>
            <w:r>
              <w:t>7.80</w:t>
            </w:r>
          </w:p>
        </w:tc>
        <w:tc>
          <w:tcPr>
            <w:tcW w:w="1134" w:type="dxa"/>
            <w:vAlign w:val="center"/>
          </w:tcPr>
          <w:p>
            <w:pPr>
              <w:pStyle w:val="11"/>
            </w:pPr>
            <w:r>
              <w:t>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7.80</w:t>
            </w:r>
          </w:p>
        </w:tc>
        <w:tc>
          <w:tcPr>
            <w:tcW w:w="1134" w:type="dxa"/>
            <w:vAlign w:val="center"/>
          </w:tcPr>
          <w:p>
            <w:pPr>
              <w:pStyle w:val="11"/>
            </w:pPr>
            <w:r>
              <w:t>7.80</w:t>
            </w:r>
          </w:p>
        </w:tc>
        <w:tc>
          <w:tcPr>
            <w:tcW w:w="1134" w:type="dxa"/>
            <w:vAlign w:val="center"/>
          </w:tcPr>
          <w:p>
            <w:pPr>
              <w:pStyle w:val="11"/>
            </w:pPr>
            <w:r>
              <w:t>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7.80</w:t>
            </w:r>
          </w:p>
        </w:tc>
        <w:tc>
          <w:tcPr>
            <w:tcW w:w="1134" w:type="dxa"/>
            <w:vAlign w:val="center"/>
          </w:tcPr>
          <w:p>
            <w:pPr>
              <w:pStyle w:val="11"/>
            </w:pPr>
            <w:r>
              <w:t>7.80</w:t>
            </w:r>
          </w:p>
        </w:tc>
        <w:tc>
          <w:tcPr>
            <w:tcW w:w="1134" w:type="dxa"/>
            <w:vAlign w:val="center"/>
          </w:tcPr>
          <w:p>
            <w:pPr>
              <w:pStyle w:val="11"/>
            </w:pPr>
            <w:r>
              <w:t>7.80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295.31</w:t>
            </w:r>
          </w:p>
        </w:tc>
        <w:tc>
          <w:tcPr>
            <w:tcW w:w="1361" w:type="dxa"/>
            <w:vAlign w:val="center"/>
          </w:tcPr>
          <w:p>
            <w:pPr>
              <w:pStyle w:val="15"/>
            </w:pPr>
            <w:r>
              <w:t>212.46</w:t>
            </w:r>
          </w:p>
        </w:tc>
        <w:tc>
          <w:tcPr>
            <w:tcW w:w="1361" w:type="dxa"/>
            <w:vAlign w:val="center"/>
          </w:tcPr>
          <w:p>
            <w:pPr>
              <w:pStyle w:val="15"/>
            </w:pPr>
            <w:r>
              <w:t>82.85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185.66</w:t>
            </w:r>
          </w:p>
        </w:tc>
        <w:tc>
          <w:tcPr>
            <w:tcW w:w="1361" w:type="dxa"/>
            <w:vAlign w:val="center"/>
          </w:tcPr>
          <w:p>
            <w:pPr>
              <w:pStyle w:val="11"/>
            </w:pPr>
            <w:r>
              <w:t>185.66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20133</w:t>
            </w:r>
          </w:p>
        </w:tc>
        <w:tc>
          <w:tcPr>
            <w:tcW w:w="4535" w:type="dxa"/>
            <w:vAlign w:val="center"/>
          </w:tcPr>
          <w:p>
            <w:pPr>
              <w:pStyle w:val="12"/>
            </w:pPr>
            <w:r>
              <w:t>宣传事务</w:t>
            </w:r>
          </w:p>
        </w:tc>
        <w:tc>
          <w:tcPr>
            <w:tcW w:w="1361" w:type="dxa"/>
            <w:vAlign w:val="center"/>
          </w:tcPr>
          <w:p>
            <w:pPr>
              <w:pStyle w:val="11"/>
            </w:pPr>
            <w:r>
              <w:t>185.66</w:t>
            </w:r>
          </w:p>
        </w:tc>
        <w:tc>
          <w:tcPr>
            <w:tcW w:w="1361" w:type="dxa"/>
            <w:vAlign w:val="center"/>
          </w:tcPr>
          <w:p>
            <w:pPr>
              <w:pStyle w:val="11"/>
            </w:pPr>
            <w:r>
              <w:t>185.66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2013301</w:t>
            </w:r>
          </w:p>
        </w:tc>
        <w:tc>
          <w:tcPr>
            <w:tcW w:w="4535" w:type="dxa"/>
            <w:vAlign w:val="center"/>
          </w:tcPr>
          <w:p>
            <w:pPr>
              <w:pStyle w:val="12"/>
            </w:pPr>
            <w:r>
              <w:t>行政运行</w:t>
            </w:r>
          </w:p>
        </w:tc>
        <w:tc>
          <w:tcPr>
            <w:tcW w:w="1361" w:type="dxa"/>
            <w:vAlign w:val="center"/>
          </w:tcPr>
          <w:p>
            <w:pPr>
              <w:pStyle w:val="11"/>
            </w:pPr>
            <w:r>
              <w:t>185.66</w:t>
            </w:r>
          </w:p>
        </w:tc>
        <w:tc>
          <w:tcPr>
            <w:tcW w:w="1361" w:type="dxa"/>
            <w:vAlign w:val="center"/>
          </w:tcPr>
          <w:p>
            <w:pPr>
              <w:pStyle w:val="11"/>
            </w:pPr>
            <w:r>
              <w:t>185.66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207</w:t>
            </w:r>
          </w:p>
        </w:tc>
        <w:tc>
          <w:tcPr>
            <w:tcW w:w="4535" w:type="dxa"/>
            <w:vAlign w:val="center"/>
          </w:tcPr>
          <w:p>
            <w:pPr>
              <w:pStyle w:val="12"/>
            </w:pPr>
            <w:r>
              <w:t>文化旅游体育与传媒支出</w:t>
            </w:r>
          </w:p>
        </w:tc>
        <w:tc>
          <w:tcPr>
            <w:tcW w:w="1361" w:type="dxa"/>
            <w:vAlign w:val="center"/>
          </w:tcPr>
          <w:p>
            <w:pPr>
              <w:pStyle w:val="11"/>
            </w:pPr>
            <w:r>
              <w:t>82.85</w:t>
            </w:r>
          </w:p>
        </w:tc>
        <w:tc>
          <w:tcPr>
            <w:tcW w:w="1361" w:type="dxa"/>
            <w:vAlign w:val="center"/>
          </w:tcPr>
          <w:p>
            <w:pPr>
              <w:pStyle w:val="11"/>
            </w:pPr>
          </w:p>
        </w:tc>
        <w:tc>
          <w:tcPr>
            <w:tcW w:w="1361" w:type="dxa"/>
            <w:vAlign w:val="center"/>
          </w:tcPr>
          <w:p>
            <w:pPr>
              <w:pStyle w:val="11"/>
            </w:pPr>
            <w:r>
              <w:t>82.85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20799</w:t>
            </w:r>
          </w:p>
        </w:tc>
        <w:tc>
          <w:tcPr>
            <w:tcW w:w="4535" w:type="dxa"/>
            <w:vAlign w:val="center"/>
          </w:tcPr>
          <w:p>
            <w:pPr>
              <w:pStyle w:val="12"/>
            </w:pPr>
            <w:r>
              <w:t>其他文化旅游体育与传媒支出</w:t>
            </w:r>
          </w:p>
        </w:tc>
        <w:tc>
          <w:tcPr>
            <w:tcW w:w="1361" w:type="dxa"/>
            <w:vAlign w:val="center"/>
          </w:tcPr>
          <w:p>
            <w:pPr>
              <w:pStyle w:val="11"/>
            </w:pPr>
            <w:r>
              <w:t>82.85</w:t>
            </w:r>
          </w:p>
        </w:tc>
        <w:tc>
          <w:tcPr>
            <w:tcW w:w="1361" w:type="dxa"/>
            <w:vAlign w:val="center"/>
          </w:tcPr>
          <w:p>
            <w:pPr>
              <w:pStyle w:val="11"/>
            </w:pPr>
          </w:p>
        </w:tc>
        <w:tc>
          <w:tcPr>
            <w:tcW w:w="1361" w:type="dxa"/>
            <w:vAlign w:val="center"/>
          </w:tcPr>
          <w:p>
            <w:pPr>
              <w:pStyle w:val="11"/>
            </w:pPr>
            <w:r>
              <w:t>82.85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2079999</w:t>
            </w:r>
          </w:p>
        </w:tc>
        <w:tc>
          <w:tcPr>
            <w:tcW w:w="4535" w:type="dxa"/>
            <w:vAlign w:val="center"/>
          </w:tcPr>
          <w:p>
            <w:pPr>
              <w:pStyle w:val="12"/>
            </w:pPr>
            <w:r>
              <w:t>其他文化旅游体育与传媒支出</w:t>
            </w:r>
          </w:p>
        </w:tc>
        <w:tc>
          <w:tcPr>
            <w:tcW w:w="1361" w:type="dxa"/>
            <w:vAlign w:val="center"/>
          </w:tcPr>
          <w:p>
            <w:pPr>
              <w:pStyle w:val="11"/>
            </w:pPr>
            <w:r>
              <w:t>82.85</w:t>
            </w:r>
          </w:p>
        </w:tc>
        <w:tc>
          <w:tcPr>
            <w:tcW w:w="1361" w:type="dxa"/>
            <w:vAlign w:val="center"/>
          </w:tcPr>
          <w:p>
            <w:pPr>
              <w:pStyle w:val="11"/>
            </w:pPr>
          </w:p>
        </w:tc>
        <w:tc>
          <w:tcPr>
            <w:tcW w:w="1361" w:type="dxa"/>
            <w:vAlign w:val="center"/>
          </w:tcPr>
          <w:p>
            <w:pPr>
              <w:pStyle w:val="11"/>
            </w:pPr>
            <w:r>
              <w:t>82.85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19.00</w:t>
            </w:r>
          </w:p>
        </w:tc>
        <w:tc>
          <w:tcPr>
            <w:tcW w:w="1361" w:type="dxa"/>
            <w:vAlign w:val="center"/>
          </w:tcPr>
          <w:p>
            <w:pPr>
              <w:pStyle w:val="11"/>
            </w:pPr>
            <w:r>
              <w:t>19.00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7.80</w:t>
            </w:r>
          </w:p>
        </w:tc>
        <w:tc>
          <w:tcPr>
            <w:tcW w:w="1361" w:type="dxa"/>
            <w:vAlign w:val="center"/>
          </w:tcPr>
          <w:p>
            <w:pPr>
              <w:pStyle w:val="11"/>
            </w:pPr>
            <w:r>
              <w:t>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7.80</w:t>
            </w:r>
          </w:p>
        </w:tc>
        <w:tc>
          <w:tcPr>
            <w:tcW w:w="1361" w:type="dxa"/>
            <w:vAlign w:val="center"/>
          </w:tcPr>
          <w:p>
            <w:pPr>
              <w:pStyle w:val="11"/>
            </w:pPr>
            <w:r>
              <w:t>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7.80</w:t>
            </w:r>
          </w:p>
        </w:tc>
        <w:tc>
          <w:tcPr>
            <w:tcW w:w="1361" w:type="dxa"/>
            <w:vAlign w:val="center"/>
          </w:tcPr>
          <w:p>
            <w:pPr>
              <w:pStyle w:val="11"/>
            </w:pPr>
            <w:r>
              <w:t>7.80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248.76</w:t>
            </w:r>
          </w:p>
        </w:tc>
        <w:tc>
          <w:tcPr>
            <w:tcW w:w="3402" w:type="dxa"/>
            <w:vAlign w:val="center"/>
          </w:tcPr>
          <w:p>
            <w:pPr>
              <w:pStyle w:val="12"/>
            </w:pPr>
            <w:r>
              <w:t>一、一般公共服务支出</w:t>
            </w:r>
          </w:p>
        </w:tc>
        <w:tc>
          <w:tcPr>
            <w:tcW w:w="1474" w:type="dxa"/>
            <w:vAlign w:val="center"/>
          </w:tcPr>
          <w:p>
            <w:pPr>
              <w:pStyle w:val="11"/>
            </w:pPr>
            <w:r>
              <w:t>185.66</w:t>
            </w:r>
          </w:p>
        </w:tc>
        <w:tc>
          <w:tcPr>
            <w:tcW w:w="1474" w:type="dxa"/>
            <w:vAlign w:val="center"/>
          </w:tcPr>
          <w:p>
            <w:pPr>
              <w:pStyle w:val="11"/>
            </w:pPr>
            <w:r>
              <w:t>185.66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r>
              <w:t>82.85</w:t>
            </w:r>
          </w:p>
        </w:tc>
        <w:tc>
          <w:tcPr>
            <w:tcW w:w="1474" w:type="dxa"/>
            <w:vAlign w:val="center"/>
          </w:tcPr>
          <w:p>
            <w:pPr>
              <w:pStyle w:val="11"/>
            </w:pPr>
            <w:r>
              <w:t>82.85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19.00</w:t>
            </w:r>
          </w:p>
        </w:tc>
        <w:tc>
          <w:tcPr>
            <w:tcW w:w="1474" w:type="dxa"/>
            <w:vAlign w:val="center"/>
          </w:tcPr>
          <w:p>
            <w:pPr>
              <w:pStyle w:val="11"/>
            </w:pPr>
            <w:r>
              <w:t>19.00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7.80</w:t>
            </w:r>
          </w:p>
        </w:tc>
        <w:tc>
          <w:tcPr>
            <w:tcW w:w="1474" w:type="dxa"/>
            <w:vAlign w:val="center"/>
          </w:tcPr>
          <w:p>
            <w:pPr>
              <w:pStyle w:val="11"/>
            </w:pPr>
            <w:r>
              <w:t>7.80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248.76</w:t>
            </w:r>
          </w:p>
        </w:tc>
        <w:tc>
          <w:tcPr>
            <w:tcW w:w="3402" w:type="dxa"/>
            <w:vAlign w:val="center"/>
          </w:tcPr>
          <w:p>
            <w:pPr>
              <w:pStyle w:val="14"/>
            </w:pPr>
            <w:r>
              <w:t>本年支出合计</w:t>
            </w:r>
          </w:p>
        </w:tc>
        <w:tc>
          <w:tcPr>
            <w:tcW w:w="1474" w:type="dxa"/>
            <w:vAlign w:val="center"/>
          </w:tcPr>
          <w:p>
            <w:pPr>
              <w:pStyle w:val="15"/>
            </w:pPr>
            <w:r>
              <w:t>295.31</w:t>
            </w:r>
          </w:p>
        </w:tc>
        <w:tc>
          <w:tcPr>
            <w:tcW w:w="1474" w:type="dxa"/>
            <w:vAlign w:val="center"/>
          </w:tcPr>
          <w:p>
            <w:pPr>
              <w:pStyle w:val="15"/>
            </w:pPr>
            <w:r>
              <w:t>295.31</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46.55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46.55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295.31</w:t>
            </w:r>
          </w:p>
        </w:tc>
        <w:tc>
          <w:tcPr>
            <w:tcW w:w="3402" w:type="dxa"/>
            <w:vAlign w:val="center"/>
          </w:tcPr>
          <w:p>
            <w:pPr>
              <w:pStyle w:val="14"/>
            </w:pPr>
            <w:r>
              <w:t>支出总计</w:t>
            </w:r>
          </w:p>
        </w:tc>
        <w:tc>
          <w:tcPr>
            <w:tcW w:w="1474" w:type="dxa"/>
            <w:vAlign w:val="center"/>
          </w:tcPr>
          <w:p>
            <w:pPr>
              <w:pStyle w:val="15"/>
            </w:pPr>
            <w:r>
              <w:t>295.31</w:t>
            </w:r>
          </w:p>
        </w:tc>
        <w:tc>
          <w:tcPr>
            <w:tcW w:w="1474" w:type="dxa"/>
            <w:vAlign w:val="center"/>
          </w:tcPr>
          <w:p>
            <w:pPr>
              <w:pStyle w:val="15"/>
            </w:pPr>
            <w:r>
              <w:t>295.31</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295.31</w:t>
            </w:r>
          </w:p>
        </w:tc>
        <w:tc>
          <w:tcPr>
            <w:tcW w:w="2551" w:type="dxa"/>
            <w:vAlign w:val="center"/>
          </w:tcPr>
          <w:p>
            <w:pPr>
              <w:pStyle w:val="15"/>
            </w:pPr>
            <w:r>
              <w:t>212.46</w:t>
            </w:r>
          </w:p>
        </w:tc>
        <w:tc>
          <w:tcPr>
            <w:tcW w:w="2551" w:type="dxa"/>
            <w:vAlign w:val="center"/>
          </w:tcPr>
          <w:p>
            <w:pPr>
              <w:pStyle w:val="15"/>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185.66</w:t>
            </w:r>
          </w:p>
        </w:tc>
        <w:tc>
          <w:tcPr>
            <w:tcW w:w="2551" w:type="dxa"/>
            <w:vAlign w:val="center"/>
          </w:tcPr>
          <w:p>
            <w:pPr>
              <w:pStyle w:val="11"/>
            </w:pPr>
            <w:r>
              <w:t>185.66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20133</w:t>
            </w:r>
          </w:p>
        </w:tc>
        <w:tc>
          <w:tcPr>
            <w:tcW w:w="4535" w:type="dxa"/>
            <w:vAlign w:val="center"/>
          </w:tcPr>
          <w:p>
            <w:pPr>
              <w:pStyle w:val="12"/>
            </w:pPr>
            <w:r>
              <w:t>宣传事务</w:t>
            </w:r>
          </w:p>
        </w:tc>
        <w:tc>
          <w:tcPr>
            <w:tcW w:w="2551" w:type="dxa"/>
            <w:vAlign w:val="center"/>
          </w:tcPr>
          <w:p>
            <w:pPr>
              <w:pStyle w:val="11"/>
            </w:pPr>
            <w:r>
              <w:t>185.66</w:t>
            </w:r>
          </w:p>
        </w:tc>
        <w:tc>
          <w:tcPr>
            <w:tcW w:w="2551" w:type="dxa"/>
            <w:vAlign w:val="center"/>
          </w:tcPr>
          <w:p>
            <w:pPr>
              <w:pStyle w:val="11"/>
            </w:pPr>
            <w:r>
              <w:t>185.66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2013301</w:t>
            </w:r>
          </w:p>
        </w:tc>
        <w:tc>
          <w:tcPr>
            <w:tcW w:w="4535" w:type="dxa"/>
            <w:vAlign w:val="center"/>
          </w:tcPr>
          <w:p>
            <w:pPr>
              <w:pStyle w:val="12"/>
            </w:pPr>
            <w:r>
              <w:t>行政运行</w:t>
            </w:r>
          </w:p>
        </w:tc>
        <w:tc>
          <w:tcPr>
            <w:tcW w:w="2551" w:type="dxa"/>
            <w:vAlign w:val="center"/>
          </w:tcPr>
          <w:p>
            <w:pPr>
              <w:pStyle w:val="11"/>
            </w:pPr>
            <w:r>
              <w:t>185.66</w:t>
            </w:r>
          </w:p>
        </w:tc>
        <w:tc>
          <w:tcPr>
            <w:tcW w:w="2551" w:type="dxa"/>
            <w:vAlign w:val="center"/>
          </w:tcPr>
          <w:p>
            <w:pPr>
              <w:pStyle w:val="11"/>
            </w:pPr>
            <w:r>
              <w:t>185.66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207</w:t>
            </w:r>
          </w:p>
        </w:tc>
        <w:tc>
          <w:tcPr>
            <w:tcW w:w="4535" w:type="dxa"/>
            <w:vAlign w:val="center"/>
          </w:tcPr>
          <w:p>
            <w:pPr>
              <w:pStyle w:val="12"/>
            </w:pPr>
            <w:r>
              <w:t>文化旅游体育与传媒支出</w:t>
            </w:r>
          </w:p>
        </w:tc>
        <w:tc>
          <w:tcPr>
            <w:tcW w:w="2551" w:type="dxa"/>
            <w:vAlign w:val="center"/>
          </w:tcPr>
          <w:p>
            <w:pPr>
              <w:pStyle w:val="11"/>
            </w:pPr>
            <w:r>
              <w:t>82.85</w:t>
            </w:r>
          </w:p>
        </w:tc>
        <w:tc>
          <w:tcPr>
            <w:tcW w:w="2551" w:type="dxa"/>
            <w:vAlign w:val="center"/>
          </w:tcPr>
          <w:p>
            <w:pPr>
              <w:pStyle w:val="11"/>
            </w:pPr>
          </w:p>
        </w:tc>
        <w:tc>
          <w:tcPr>
            <w:tcW w:w="2551" w:type="dxa"/>
            <w:vAlign w:val="center"/>
          </w:tcPr>
          <w:p>
            <w:pPr>
              <w:pStyle w:val="11"/>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20799</w:t>
            </w:r>
          </w:p>
        </w:tc>
        <w:tc>
          <w:tcPr>
            <w:tcW w:w="4535" w:type="dxa"/>
            <w:vAlign w:val="center"/>
          </w:tcPr>
          <w:p>
            <w:pPr>
              <w:pStyle w:val="12"/>
            </w:pPr>
            <w:r>
              <w:t>其他文化旅游体育与传媒支出</w:t>
            </w:r>
          </w:p>
        </w:tc>
        <w:tc>
          <w:tcPr>
            <w:tcW w:w="2551" w:type="dxa"/>
            <w:vAlign w:val="center"/>
          </w:tcPr>
          <w:p>
            <w:pPr>
              <w:pStyle w:val="11"/>
            </w:pPr>
            <w:r>
              <w:t>82.85</w:t>
            </w:r>
          </w:p>
        </w:tc>
        <w:tc>
          <w:tcPr>
            <w:tcW w:w="2551" w:type="dxa"/>
            <w:vAlign w:val="center"/>
          </w:tcPr>
          <w:p>
            <w:pPr>
              <w:pStyle w:val="11"/>
            </w:pPr>
          </w:p>
        </w:tc>
        <w:tc>
          <w:tcPr>
            <w:tcW w:w="2551" w:type="dxa"/>
            <w:vAlign w:val="center"/>
          </w:tcPr>
          <w:p>
            <w:pPr>
              <w:pStyle w:val="11"/>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2079999</w:t>
            </w:r>
          </w:p>
        </w:tc>
        <w:tc>
          <w:tcPr>
            <w:tcW w:w="4535" w:type="dxa"/>
            <w:vAlign w:val="center"/>
          </w:tcPr>
          <w:p>
            <w:pPr>
              <w:pStyle w:val="12"/>
            </w:pPr>
            <w:r>
              <w:t>其他文化旅游体育与传媒支出</w:t>
            </w:r>
          </w:p>
        </w:tc>
        <w:tc>
          <w:tcPr>
            <w:tcW w:w="2551" w:type="dxa"/>
            <w:vAlign w:val="center"/>
          </w:tcPr>
          <w:p>
            <w:pPr>
              <w:pStyle w:val="11"/>
            </w:pPr>
            <w:r>
              <w:t>82.85</w:t>
            </w:r>
          </w:p>
        </w:tc>
        <w:tc>
          <w:tcPr>
            <w:tcW w:w="2551" w:type="dxa"/>
            <w:vAlign w:val="center"/>
          </w:tcPr>
          <w:p>
            <w:pPr>
              <w:pStyle w:val="11"/>
            </w:pPr>
          </w:p>
        </w:tc>
        <w:tc>
          <w:tcPr>
            <w:tcW w:w="2551" w:type="dxa"/>
            <w:vAlign w:val="center"/>
          </w:tcPr>
          <w:p>
            <w:pPr>
              <w:pStyle w:val="11"/>
            </w:pPr>
            <w:r>
              <w:t>82.85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7.80</w:t>
            </w:r>
          </w:p>
        </w:tc>
        <w:tc>
          <w:tcPr>
            <w:tcW w:w="2551" w:type="dxa"/>
            <w:vAlign w:val="center"/>
          </w:tcPr>
          <w:p>
            <w:pPr>
              <w:pStyle w:val="11"/>
            </w:pPr>
            <w:r>
              <w:t>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7.80</w:t>
            </w:r>
          </w:p>
        </w:tc>
        <w:tc>
          <w:tcPr>
            <w:tcW w:w="2551" w:type="dxa"/>
            <w:vAlign w:val="center"/>
          </w:tcPr>
          <w:p>
            <w:pPr>
              <w:pStyle w:val="11"/>
            </w:pPr>
            <w:r>
              <w:t>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7.80</w:t>
            </w:r>
          </w:p>
        </w:tc>
        <w:tc>
          <w:tcPr>
            <w:tcW w:w="2551" w:type="dxa"/>
            <w:vAlign w:val="center"/>
          </w:tcPr>
          <w:p>
            <w:pPr>
              <w:pStyle w:val="11"/>
            </w:pPr>
            <w:r>
              <w:t>7.80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212.46</w:t>
            </w:r>
          </w:p>
        </w:tc>
        <w:tc>
          <w:tcPr>
            <w:tcW w:w="2551" w:type="dxa"/>
            <w:vAlign w:val="center"/>
          </w:tcPr>
          <w:p>
            <w:pPr>
              <w:pStyle w:val="15"/>
            </w:pPr>
            <w:r>
              <w:t>189.05</w:t>
            </w:r>
          </w:p>
        </w:tc>
        <w:tc>
          <w:tcPr>
            <w:tcW w:w="2551" w:type="dxa"/>
            <w:vAlign w:val="center"/>
          </w:tcPr>
          <w:p>
            <w:pPr>
              <w:pStyle w:val="15"/>
            </w:pPr>
            <w:r>
              <w:t>23.41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162.05</w:t>
            </w:r>
          </w:p>
        </w:tc>
        <w:tc>
          <w:tcPr>
            <w:tcW w:w="2551" w:type="dxa"/>
            <w:vAlign w:val="center"/>
          </w:tcPr>
          <w:p>
            <w:pPr>
              <w:pStyle w:val="11"/>
            </w:pPr>
            <w:r>
              <w:t>162.05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66.00</w:t>
            </w:r>
          </w:p>
        </w:tc>
        <w:tc>
          <w:tcPr>
            <w:tcW w:w="2551" w:type="dxa"/>
            <w:vAlign w:val="center"/>
          </w:tcPr>
          <w:p>
            <w:pPr>
              <w:pStyle w:val="11"/>
            </w:pPr>
            <w:r>
              <w:t>66.00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27.60</w:t>
            </w:r>
          </w:p>
        </w:tc>
        <w:tc>
          <w:tcPr>
            <w:tcW w:w="2551" w:type="dxa"/>
            <w:vAlign w:val="center"/>
          </w:tcPr>
          <w:p>
            <w:pPr>
              <w:pStyle w:val="11"/>
            </w:pPr>
            <w:r>
              <w:t>27.60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22.60</w:t>
            </w:r>
          </w:p>
        </w:tc>
        <w:tc>
          <w:tcPr>
            <w:tcW w:w="2551" w:type="dxa"/>
            <w:vAlign w:val="center"/>
          </w:tcPr>
          <w:p>
            <w:pPr>
              <w:pStyle w:val="11"/>
            </w:pPr>
            <w:r>
              <w:t>22.60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18.30</w:t>
            </w:r>
          </w:p>
        </w:tc>
        <w:tc>
          <w:tcPr>
            <w:tcW w:w="2551" w:type="dxa"/>
            <w:vAlign w:val="center"/>
          </w:tcPr>
          <w:p>
            <w:pPr>
              <w:pStyle w:val="11"/>
            </w:pPr>
            <w:r>
              <w:t>18.30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19.00</w:t>
            </w:r>
          </w:p>
        </w:tc>
        <w:tc>
          <w:tcPr>
            <w:tcW w:w="2551" w:type="dxa"/>
            <w:vAlign w:val="center"/>
          </w:tcPr>
          <w:p>
            <w:pPr>
              <w:pStyle w:val="11"/>
            </w:pPr>
            <w:r>
              <w:t>19.00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7.80</w:t>
            </w:r>
          </w:p>
        </w:tc>
        <w:tc>
          <w:tcPr>
            <w:tcW w:w="2551" w:type="dxa"/>
            <w:vAlign w:val="center"/>
          </w:tcPr>
          <w:p>
            <w:pPr>
              <w:pStyle w:val="11"/>
            </w:pPr>
            <w:r>
              <w:t>7.80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0.75</w:t>
            </w:r>
          </w:p>
        </w:tc>
        <w:tc>
          <w:tcPr>
            <w:tcW w:w="2551" w:type="dxa"/>
            <w:vAlign w:val="center"/>
          </w:tcPr>
          <w:p>
            <w:pPr>
              <w:pStyle w:val="11"/>
            </w:pPr>
            <w:r>
              <w:t>0.75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23.41</w:t>
            </w:r>
          </w:p>
        </w:tc>
        <w:tc>
          <w:tcPr>
            <w:tcW w:w="2551" w:type="dxa"/>
            <w:vAlign w:val="center"/>
          </w:tcPr>
          <w:p>
            <w:pPr>
              <w:pStyle w:val="11"/>
            </w:pPr>
          </w:p>
        </w:tc>
        <w:tc>
          <w:tcPr>
            <w:tcW w:w="2551" w:type="dxa"/>
            <w:vAlign w:val="center"/>
          </w:tcPr>
          <w:p>
            <w:pPr>
              <w:pStyle w:val="11"/>
            </w:pPr>
            <w:r>
              <w:t>23.41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5.50</w:t>
            </w:r>
          </w:p>
        </w:tc>
        <w:tc>
          <w:tcPr>
            <w:tcW w:w="2551" w:type="dxa"/>
            <w:vAlign w:val="center"/>
          </w:tcPr>
          <w:p>
            <w:pPr>
              <w:pStyle w:val="11"/>
            </w:pPr>
          </w:p>
        </w:tc>
        <w:tc>
          <w:tcPr>
            <w:tcW w:w="2551"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2.91</w:t>
            </w:r>
          </w:p>
        </w:tc>
        <w:tc>
          <w:tcPr>
            <w:tcW w:w="2551" w:type="dxa"/>
            <w:vAlign w:val="center"/>
          </w:tcPr>
          <w:p>
            <w:pPr>
              <w:pStyle w:val="11"/>
            </w:pPr>
          </w:p>
        </w:tc>
        <w:tc>
          <w:tcPr>
            <w:tcW w:w="2551" w:type="dxa"/>
            <w:vAlign w:val="center"/>
          </w:tcPr>
          <w:p>
            <w:pPr>
              <w:pStyle w:val="11"/>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7.50</w:t>
            </w:r>
          </w:p>
        </w:tc>
        <w:tc>
          <w:tcPr>
            <w:tcW w:w="2551" w:type="dxa"/>
            <w:vAlign w:val="center"/>
          </w:tcPr>
          <w:p>
            <w:pPr>
              <w:pStyle w:val="11"/>
            </w:pPr>
          </w:p>
        </w:tc>
        <w:tc>
          <w:tcPr>
            <w:tcW w:w="2551" w:type="dxa"/>
            <w:vAlign w:val="center"/>
          </w:tcPr>
          <w:p>
            <w:pPr>
              <w:pStyle w:val="11"/>
            </w:pPr>
            <w:r>
              <w:t>7.50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27.00</w:t>
            </w:r>
          </w:p>
        </w:tc>
        <w:tc>
          <w:tcPr>
            <w:tcW w:w="2551" w:type="dxa"/>
            <w:vAlign w:val="center"/>
          </w:tcPr>
          <w:p>
            <w:pPr>
              <w:pStyle w:val="11"/>
            </w:pPr>
            <w:r>
              <w:t>27.00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2.91</w:t>
            </w:r>
          </w:p>
        </w:tc>
        <w:tc>
          <w:tcPr>
            <w:tcW w:w="2381" w:type="dxa"/>
            <w:vAlign w:val="center"/>
          </w:tcPr>
          <w:p>
            <w:pPr>
              <w:pStyle w:val="15"/>
            </w:pPr>
            <w:r>
              <w:t>2.91</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2.91</w:t>
            </w:r>
          </w:p>
        </w:tc>
        <w:tc>
          <w:tcPr>
            <w:tcW w:w="2381" w:type="dxa"/>
            <w:vAlign w:val="center"/>
          </w:tcPr>
          <w:p>
            <w:pPr>
              <w:pStyle w:val="11"/>
            </w:pPr>
            <w:r>
              <w:t>2.91</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中国共产党无极县委员会宣传部本级2026年单位预算信息公开情况说明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按照《中华人民共和国预算法》、《地方预决算公开操作规程》和《关于进一步推进预算公开工作的实施意见》规定，现将中国共产党无极县委员会宣传部本级2026年单位预算公开如下：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中国共产党无极县委员会宣传部本级2026年单位预算信息公开情况说明</w:t>
      </w:r>
    </w:p>
    <w:p>
      <w:pPr>
        <w:pStyle w:val="17"/>
      </w:pPr>
      <w:r>
        <w:t>按照《中华人民共和国预算法》、《地方预决算公开操作规程》和《关于进一步推进预算公开工作的实施意见》规定，现将中国共产党无极县委员会宣传部本级2026年单位预算公开如下：</w:t>
      </w:r>
    </w:p>
    <w:p>
      <w:pPr>
        <w:pStyle w:val="17"/>
      </w:pPr>
      <w:r>
        <w:t>一、单位职责及机构设置情况</w:t>
      </w:r>
    </w:p>
    <w:p>
      <w:pPr>
        <w:pStyle w:val="17"/>
      </w:pPr>
      <w:r>
        <w:t>单位职责：</w:t>
      </w:r>
    </w:p>
    <w:p>
      <w:pPr>
        <w:pStyle w:val="17"/>
      </w:pPr>
      <w:r>
        <w:t>根据《中共石家庄市委办公厅、石家庄市人民政府办公厅关于印发&lt;无极县机构改革方案&gt;的通知》（石办字〔2018〕71号），制定本规定。</w:t>
      </w:r>
    </w:p>
    <w:p>
      <w:pPr>
        <w:pStyle w:val="17"/>
      </w:pPr>
      <w:r>
        <w:t>中共无极县委宣传部（简称县委宣传部）为县委主管意识形态方面工作的职能部门，机构规格为正科级，加挂县精神文明建设委员会办公室、县政府新闻办公室、县新闻出版局（县版权局）牌子。主要职责如下：</w:t>
      </w:r>
    </w:p>
    <w:p>
      <w:pPr>
        <w:pStyle w:val="17"/>
      </w:pPr>
      <w:r>
        <w:t>一、拟订全县宣传思想文化工作重大方针政策和事业发展总体规划，统筹协调推进宣传思想文化领域法治建设，按照县委统一部署，协调宣传思想文化系统各部门之间的工作。</w:t>
      </w:r>
    </w:p>
    <w:p>
      <w:pPr>
        <w:pStyle w:val="17"/>
      </w:pPr>
      <w:r>
        <w:t>二、统筹协调全县党的意识形态工作，贯彻落实县委关于意识形态工作决策部署，组织协调意识形态工作责任制落实和日常监督检查。</w:t>
      </w:r>
    </w:p>
    <w:p>
      <w:pPr>
        <w:pStyle w:val="17"/>
      </w:pPr>
      <w:r>
        <w:t>三、统筹指导协调全县理论研究、理论学习、理论宣传工作，组织推动理论武装工作，推动落实马克思主义理论研究和建设工程任务，负责县委理论学习中心组理论学习的有关工作。</w:t>
      </w:r>
    </w:p>
    <w:p>
      <w:pPr>
        <w:pStyle w:val="17"/>
      </w:pPr>
      <w:r>
        <w:t>四、负责规划组织全县全局性思想政治工作任务，组织对先进典型的学习推广。配合县委组织部做好基层党员教育工作，指导协调编写党员教育教材，会同有关部门研究和改进群众思想教育工作。负责指导协调全县爱国主义教育基地的建设、管理、使用。负责全县国防教育工作。</w:t>
      </w:r>
    </w:p>
    <w:p>
      <w:pPr>
        <w:pStyle w:val="17"/>
      </w:pPr>
      <w:r>
        <w:t>五、统筹分析研判和引导全县社会舆论，指导协调县直各新闻部门的工作，组织全县突发公共事件应急新闻工作。</w:t>
      </w:r>
    </w:p>
    <w:p>
      <w:pPr>
        <w:pStyle w:val="17"/>
      </w:pPr>
      <w:r>
        <w:t>六、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发放等相关工作。</w:t>
      </w:r>
    </w:p>
    <w:p>
      <w:pPr>
        <w:pStyle w:val="17"/>
      </w:pPr>
      <w:r>
        <w:t>七、从宏观上统筹指导协调全县互联网宣传和信息内容管理工作。统筹数字新媒体的建设和管理。</w:t>
      </w:r>
    </w:p>
    <w:p>
      <w:pPr>
        <w:pStyle w:val="17"/>
      </w:pPr>
      <w:r>
        <w:t>八、从宏观上统筹指导协调推动全县精神文化产品的创作和生产，协调组织中华优秀传统文化传承发展有关工作，指导协调推动群众文化建设。</w:t>
      </w:r>
    </w:p>
    <w:p>
      <w:pPr>
        <w:pStyle w:val="17"/>
      </w:pPr>
      <w:r>
        <w:t>九、负责管理全县电影行政事务，指导监管电影制片、发行、放映工作，组织对电影内容进行审查，指导协调全县性重大电影活动。</w:t>
      </w:r>
    </w:p>
    <w:p>
      <w:pPr>
        <w:pStyle w:val="17"/>
      </w:pPr>
      <w:r>
        <w:t>十、对全县新闻出版、广播影视、文化艺术业改革发展研究提出政策性建议，统筹指导协调文化体制改革和文化事业、文化产业及旅游业发展，负责县级文化企业国有资产监督管理。</w:t>
      </w:r>
    </w:p>
    <w:p>
      <w:pPr>
        <w:pStyle w:val="17"/>
      </w:pPr>
      <w:r>
        <w:t>十一、统筹指导全县舆情信息工作，组织协调开展县内外舆情信息收集分析研判工作，跟踪了解、研究掌握宣传舆情动态。</w:t>
      </w:r>
    </w:p>
    <w:p>
      <w:pPr>
        <w:pStyle w:val="17"/>
      </w:pPr>
      <w:r>
        <w:t>十二、统筹研究拟订有关全县精神文明建设的方针、政策。规划部署全县精神文明建设工作，组织指导全县群众性精神文明创建活动。</w:t>
      </w:r>
    </w:p>
    <w:p>
      <w:pPr>
        <w:pStyle w:val="17"/>
      </w:pPr>
      <w:r>
        <w:t>十三、统筹协调全县对外宣传工作。指导协调有关部门研究拟订全县对外宣传事业发展规划，组织协调我县对外宣传文化交流工作，会同有关部门做好境外记者采访事务方面工作。</w:t>
      </w:r>
    </w:p>
    <w:p>
      <w:pPr>
        <w:pStyle w:val="17"/>
      </w:pPr>
      <w:r>
        <w:t>十四、统筹协调组织开展新闻发布工作。承担县委新闻发布有关组织协调工作，负责县政府新闻发布组织实施工作。指导协调县政府各部门和各乡（镇）的新闻发布工作，推动新闻发言人制度落实。</w:t>
      </w:r>
    </w:p>
    <w:p>
      <w:pPr>
        <w:pStyle w:val="17"/>
      </w:pPr>
      <w:r>
        <w:t>十五、统筹指导协调全县哲学社会科学发展工作。组织制定发展战略、中长期规划和专项计划。负责组织社会科学课题项目评审和成果转化应用等工作。</w:t>
      </w:r>
    </w:p>
    <w:p>
      <w:pPr>
        <w:pStyle w:val="17"/>
      </w:pPr>
      <w:r>
        <w:t>十六、受县委委托，会同县委组织部管理新闻、文化、社会科学研究和互联网信息等方面县直宣传思想文化部门的领导干部。对各乡（镇）党委宣传委员的任免提出意见。负责有关重要宣传舆论阵地和重要岗位领导干部管理工作。统筹组织开展宣传思想文化系统干部教育培训和人才工作。</w:t>
      </w:r>
    </w:p>
    <w:p>
      <w:pPr>
        <w:pStyle w:val="17"/>
      </w:pPr>
      <w:r>
        <w:t>十七、完成县委交办的其他任务。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中国共产党无极县委员会宣传部本级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295.31万元，其中：一般公共预算收入248.76万元，基金预算收入0.00万元，国有资本经营预算收入0.00万元，财政专户核拨收入0.00万元，单位资金收入0.00万元，上年结转结余46.55万元。</w:t>
      </w:r>
    </w:p>
    <w:p>
      <w:pPr>
        <w:pStyle w:val="18"/>
      </w:pPr>
      <w:r>
        <w:t>2、支出说明</w:t>
      </w:r>
    </w:p>
    <w:p>
      <w:pPr>
        <w:pStyle w:val="18"/>
      </w:pPr>
      <w:r>
        <w:t>收支预算总表支出栏、基本支出表、项目支出表按经济分类和支出功能分类科目编制，反映中国共产党无极县委员会宣传部本级年度单位预算中支出预算的总体情况。2026年支出预算295.31万元，其中基本支出212.46万元，包括人员经费189.05万元和日常公用经费23.41万元；项目支出82.85万元，主要为对外宣传经费、国防教育经费、正版软件和操作系统经费、文明办创城经费、道德模范经费、图书购置经费、理论学习中心组经费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295.31万元，较2025年预算减少45.62万元，其中：基本支出减少55.29万元，主要为本年度基本支出相关数据变动，因保险个人缴纳部分支出口径调整，按财政预算管理相关要求将原列入基本支出的保险个人承担部分调整至其他核算口径，相应核减基本支出金额。项目支出增加9.67万元，主要为根据工作实际增加了项目总额资金</w:t>
      </w:r>
      <w:bookmarkStart w:id="1" w:name="_GoBack"/>
      <w:bookmarkEnd w:id="1"/>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2026年，我单位机关运行经费共计安排23.41万元，主要用于日常维修、办公用房水电费、办公用房取暖费、办公用房物业管理费等日常运行支出。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2.91万元，其中因公出国（境）费0.00万元；公务用车购置及运维费2.91万元（其中：公务用车购置费为0.00万元，公务用车运维费2.91万元)；公务接待费0.00万元。与2025年相比减少0.09万元，增减变化的主要原因是主要严格落实厉行节俭及公务用车管理相关要求，优化公车使用频率，降低公车运行成本。</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1、关于提前下达2026年中央支持地方公共文化服务体系建设补助资金（农家书屋资金）绩效目标表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13013026P00007610009Y</w:t>
            </w:r>
          </w:p>
        </w:tc>
        <w:tc>
          <w:tcPr>
            <w:tcW w:w="2835" w:type="dxa"/>
            <w:vAlign w:val="center"/>
          </w:tcPr>
          <w:p>
            <w:pPr>
              <w:pStyle w:val="10"/>
            </w:pPr>
            <w:r>
              <w:t>项目名称</w:t>
            </w:r>
          </w:p>
        </w:tc>
        <w:tc>
          <w:tcPr>
            <w:tcW w:w="6095" w:type="dxa"/>
            <w:gridSpan w:val="3"/>
            <w:vAlign w:val="center"/>
          </w:tcPr>
          <w:p>
            <w:pPr>
              <w:pStyle w:val="12"/>
            </w:pPr>
            <w:r>
              <w:t>关于提前下达2026年中央支持地方公共文化服务体系建设补助资金（农家书屋资金）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21.30</w:t>
            </w:r>
          </w:p>
        </w:tc>
        <w:tc>
          <w:tcPr>
            <w:tcW w:w="2835" w:type="dxa"/>
            <w:vAlign w:val="center"/>
          </w:tcPr>
          <w:p>
            <w:pPr>
              <w:pStyle w:val="10"/>
            </w:pPr>
            <w:r>
              <w:t>其中：财政    资金</w:t>
            </w:r>
          </w:p>
        </w:tc>
        <w:tc>
          <w:tcPr>
            <w:tcW w:w="2551" w:type="dxa"/>
            <w:vAlign w:val="center"/>
          </w:tcPr>
          <w:p>
            <w:pPr>
              <w:pStyle w:val="12"/>
            </w:pPr>
            <w:r>
              <w:t>21.30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2026年中央支持地方公共文化服务建设资金（农家书屋）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5.33</w:t>
            </w:r>
          </w:p>
        </w:tc>
        <w:tc>
          <w:tcPr>
            <w:tcW w:w="2835" w:type="dxa"/>
            <w:vAlign w:val="center"/>
          </w:tcPr>
          <w:p>
            <w:pPr>
              <w:pStyle w:val="13"/>
            </w:pPr>
            <w:r>
              <w:t>10.65</w:t>
            </w:r>
          </w:p>
        </w:tc>
        <w:tc>
          <w:tcPr>
            <w:tcW w:w="2551" w:type="dxa"/>
            <w:vAlign w:val="center"/>
          </w:tcPr>
          <w:p>
            <w:pPr>
              <w:pStyle w:val="13"/>
            </w:pPr>
            <w:r>
              <w:t>15.98</w:t>
            </w:r>
          </w:p>
        </w:tc>
        <w:tc>
          <w:tcPr>
            <w:tcW w:w="3544" w:type="dxa"/>
            <w:gridSpan w:val="2"/>
            <w:vAlign w:val="center"/>
          </w:tcPr>
          <w:p>
            <w:pPr>
              <w:pStyle w:val="13"/>
            </w:pPr>
            <w:r>
              <w:t>21.30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1.提前下达2026年中央支持地方公共文化服务建设资金（农家书屋）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社会效益提升%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5386" w:type="dxa"/>
            <w:vAlign w:val="center"/>
          </w:tcPr>
          <w:p>
            <w:pPr>
              <w:pStyle w:val="12"/>
            </w:pPr>
            <w:r>
              <w:t>受众满意度</w:t>
            </w:r>
          </w:p>
        </w:tc>
        <w:tc>
          <w:tcPr>
            <w:tcW w:w="2268" w:type="dxa"/>
            <w:vAlign w:val="center"/>
          </w:tcPr>
          <w:p>
            <w:pPr>
              <w:pStyle w:val="12"/>
            </w:pPr>
            <w:r>
              <w:t>≥95%</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2、关于提前下达2026年中央支持地方公共文化服务体系建设补助资金（新时代文明实践资金）绩效目标表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13013026P00007610008B</w:t>
            </w:r>
          </w:p>
        </w:tc>
        <w:tc>
          <w:tcPr>
            <w:tcW w:w="2835" w:type="dxa"/>
            <w:vAlign w:val="center"/>
          </w:tcPr>
          <w:p>
            <w:pPr>
              <w:pStyle w:val="10"/>
            </w:pPr>
            <w:r>
              <w:t>项目名称</w:t>
            </w:r>
          </w:p>
        </w:tc>
        <w:tc>
          <w:tcPr>
            <w:tcW w:w="6095" w:type="dxa"/>
            <w:gridSpan w:val="3"/>
            <w:vAlign w:val="center"/>
          </w:tcPr>
          <w:p>
            <w:pPr>
              <w:pStyle w:val="12"/>
            </w:pPr>
            <w:r>
              <w:t>关于提前下达2026年中央支持地方公共文化服务体系建设补助资金（新时代文明实践资金）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2026年中央支持地方公共文化服务体系建设补助资金（新时代文明实践资金）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4"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1.关于提前下达2026年中央支持地方公共文化服务体系建设补助资金（新时代文明实践资金）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完成率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支付及时率</w:t>
            </w:r>
          </w:p>
        </w:tc>
        <w:tc>
          <w:tcPr>
            <w:tcW w:w="5386" w:type="dxa"/>
            <w:vAlign w:val="center"/>
          </w:tcPr>
          <w:p>
            <w:pPr>
              <w:pStyle w:val="12"/>
            </w:pPr>
            <w:r>
              <w:t>支付及时率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w:t>
            </w:r>
          </w:p>
        </w:tc>
        <w:tc>
          <w:tcPr>
            <w:tcW w:w="5386" w:type="dxa"/>
            <w:vAlign w:val="center"/>
          </w:tcPr>
          <w:p>
            <w:pPr>
              <w:pStyle w:val="12"/>
            </w:pPr>
            <w:r>
              <w:t>总成本</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经济效益提升%</w:t>
            </w:r>
          </w:p>
        </w:tc>
        <w:tc>
          <w:tcPr>
            <w:tcW w:w="5386" w:type="dxa"/>
            <w:vAlign w:val="center"/>
          </w:tcPr>
          <w:p>
            <w:pPr>
              <w:pStyle w:val="12"/>
            </w:pPr>
            <w:r>
              <w:t>经济效益提升%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社会效益提升%</w:t>
            </w:r>
          </w:p>
        </w:tc>
        <w:tc>
          <w:tcPr>
            <w:tcW w:w="2268" w:type="dxa"/>
            <w:vAlign w:val="center"/>
          </w:tcPr>
          <w:p>
            <w:pPr>
              <w:pStyle w:val="12"/>
            </w:pPr>
            <w:r>
              <w:t>≥95%</w:t>
            </w:r>
          </w:p>
        </w:tc>
        <w:tc>
          <w:tcPr>
            <w:tcW w:w="1276" w:type="dxa"/>
            <w:vAlign w:val="center"/>
          </w:tcPr>
          <w:p>
            <w:pPr>
              <w:pStyle w:val="12"/>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受众满意度</w:t>
            </w:r>
          </w:p>
        </w:tc>
        <w:tc>
          <w:tcPr>
            <w:tcW w:w="5386" w:type="dxa"/>
            <w:vAlign w:val="center"/>
          </w:tcPr>
          <w:p>
            <w:pPr>
              <w:pStyle w:val="12"/>
            </w:pPr>
            <w:r>
              <w:t>受众满意度</w:t>
            </w:r>
          </w:p>
        </w:tc>
        <w:tc>
          <w:tcPr>
            <w:tcW w:w="2268" w:type="dxa"/>
            <w:vAlign w:val="center"/>
          </w:tcPr>
          <w:p>
            <w:pPr>
              <w:pStyle w:val="12"/>
            </w:pPr>
            <w:r>
              <w:t>≥95%</w:t>
            </w:r>
          </w:p>
        </w:tc>
        <w:tc>
          <w:tcPr>
            <w:tcW w:w="1276" w:type="dxa"/>
            <w:vAlign w:val="center"/>
          </w:tcPr>
          <w:p>
            <w:pPr>
              <w:pStyle w:val="12"/>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3、提前下达2025年中央支持地方公共文化服务体系建设（新时代文明实践中心项目）资金绩效目标表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13013025P00000210095K</w:t>
            </w:r>
          </w:p>
        </w:tc>
        <w:tc>
          <w:tcPr>
            <w:tcW w:w="2835" w:type="dxa"/>
            <w:vAlign w:val="center"/>
          </w:tcPr>
          <w:p>
            <w:pPr>
              <w:pStyle w:val="10"/>
            </w:pPr>
            <w:r>
              <w:t>项目名称</w:t>
            </w:r>
          </w:p>
        </w:tc>
        <w:tc>
          <w:tcPr>
            <w:tcW w:w="6095" w:type="dxa"/>
            <w:gridSpan w:val="3"/>
            <w:vAlign w:val="center"/>
          </w:tcPr>
          <w:p>
            <w:pPr>
              <w:pStyle w:val="12"/>
            </w:pPr>
            <w:r>
              <w:t>提前下达2025年中央支持地方公共文化服务体系建设（新时代文明实践中心项目）资金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25.25</w:t>
            </w:r>
          </w:p>
        </w:tc>
        <w:tc>
          <w:tcPr>
            <w:tcW w:w="2835" w:type="dxa"/>
            <w:vAlign w:val="center"/>
          </w:tcPr>
          <w:p>
            <w:pPr>
              <w:pStyle w:val="10"/>
            </w:pPr>
            <w:r>
              <w:t>其中：财政    资金</w:t>
            </w:r>
          </w:p>
        </w:tc>
        <w:tc>
          <w:tcPr>
            <w:tcW w:w="2551" w:type="dxa"/>
            <w:vAlign w:val="center"/>
          </w:tcPr>
          <w:p>
            <w:pPr>
              <w:pStyle w:val="12"/>
            </w:pPr>
            <w:r>
              <w:t>25.25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新时代文明实践中心项目经费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6.31</w:t>
            </w:r>
          </w:p>
        </w:tc>
        <w:tc>
          <w:tcPr>
            <w:tcW w:w="2835" w:type="dxa"/>
            <w:vAlign w:val="center"/>
          </w:tcPr>
          <w:p>
            <w:pPr>
              <w:pStyle w:val="13"/>
            </w:pPr>
            <w:r>
              <w:t>12.63</w:t>
            </w:r>
          </w:p>
        </w:tc>
        <w:tc>
          <w:tcPr>
            <w:tcW w:w="2551" w:type="dxa"/>
            <w:vAlign w:val="center"/>
          </w:tcPr>
          <w:p>
            <w:pPr>
              <w:pStyle w:val="13"/>
            </w:pPr>
            <w:r>
              <w:t>18.94</w:t>
            </w:r>
          </w:p>
        </w:tc>
        <w:tc>
          <w:tcPr>
            <w:tcW w:w="3544" w:type="dxa"/>
            <w:gridSpan w:val="2"/>
            <w:vAlign w:val="center"/>
          </w:tcPr>
          <w:p>
            <w:pPr>
              <w:pStyle w:val="13"/>
            </w:pPr>
            <w:r>
              <w:t>25.25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1.提前下达2025年中央支持地方公共文化服务体系建设（新时代文明实践中心项目）资金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对接活动次数</w:t>
            </w:r>
          </w:p>
        </w:tc>
        <w:tc>
          <w:tcPr>
            <w:tcW w:w="5386" w:type="dxa"/>
            <w:vAlign w:val="center"/>
          </w:tcPr>
          <w:p>
            <w:pPr>
              <w:pStyle w:val="12"/>
            </w:pPr>
            <w:r>
              <w:t>对接活动次数</w:t>
            </w:r>
          </w:p>
        </w:tc>
        <w:tc>
          <w:tcPr>
            <w:tcW w:w="2268" w:type="dxa"/>
            <w:vAlign w:val="center"/>
          </w:tcPr>
          <w:p>
            <w:pPr>
              <w:pStyle w:val="12"/>
            </w:pPr>
            <w:r>
              <w:t>≥9595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项目合格率</w:t>
            </w:r>
          </w:p>
        </w:tc>
        <w:tc>
          <w:tcPr>
            <w:tcW w:w="5386" w:type="dxa"/>
            <w:vAlign w:val="center"/>
          </w:tcPr>
          <w:p>
            <w:pPr>
              <w:pStyle w:val="12"/>
            </w:pPr>
            <w:r>
              <w:t>项目合格率</w:t>
            </w:r>
          </w:p>
        </w:tc>
        <w:tc>
          <w:tcPr>
            <w:tcW w:w="2268" w:type="dxa"/>
            <w:vAlign w:val="center"/>
          </w:tcPr>
          <w:p>
            <w:pPr>
              <w:pStyle w:val="12"/>
            </w:pPr>
            <w:r>
              <w:t>≥9598</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≥9596</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≥9595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经济效益增长率</w:t>
            </w:r>
          </w:p>
        </w:tc>
        <w:tc>
          <w:tcPr>
            <w:tcW w:w="5386" w:type="dxa"/>
            <w:vAlign w:val="center"/>
          </w:tcPr>
          <w:p>
            <w:pPr>
              <w:pStyle w:val="12"/>
            </w:pPr>
            <w:r>
              <w:t>经济效益增长率</w:t>
            </w:r>
          </w:p>
        </w:tc>
        <w:tc>
          <w:tcPr>
            <w:tcW w:w="2268" w:type="dxa"/>
            <w:vAlign w:val="center"/>
          </w:tcPr>
          <w:p>
            <w:pPr>
              <w:pStyle w:val="12"/>
            </w:pPr>
            <w:r>
              <w:t>≥9597</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推动工作开展</w:t>
            </w:r>
          </w:p>
        </w:tc>
        <w:tc>
          <w:tcPr>
            <w:tcW w:w="5386" w:type="dxa"/>
            <w:vAlign w:val="center"/>
          </w:tcPr>
          <w:p>
            <w:pPr>
              <w:pStyle w:val="12"/>
            </w:pPr>
            <w:r>
              <w:t>推动工作开展</w:t>
            </w:r>
          </w:p>
        </w:tc>
        <w:tc>
          <w:tcPr>
            <w:tcW w:w="2268" w:type="dxa"/>
            <w:vAlign w:val="center"/>
          </w:tcPr>
          <w:p>
            <w:pPr>
              <w:pStyle w:val="12"/>
            </w:pPr>
            <w:r>
              <w:t>≥9596</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≥9598</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≥9595</w:t>
            </w:r>
          </w:p>
        </w:tc>
        <w:tc>
          <w:tcPr>
            <w:tcW w:w="1276" w:type="dxa"/>
            <w:vAlign w:val="center"/>
          </w:tcPr>
          <w:p>
            <w:pPr>
              <w:pStyle w:val="12"/>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≥9599</w:t>
            </w:r>
          </w:p>
        </w:tc>
        <w:tc>
          <w:tcPr>
            <w:tcW w:w="1276" w:type="dxa"/>
            <w:vAlign w:val="center"/>
          </w:tcPr>
          <w:p>
            <w:pPr>
              <w:pStyle w:val="12"/>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4、提前下达2025年中央支持地方公共文化服务体系建设补助资金（农家书屋）绩效目标表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13013025P00000210066K</w:t>
            </w:r>
          </w:p>
        </w:tc>
        <w:tc>
          <w:tcPr>
            <w:tcW w:w="2835" w:type="dxa"/>
            <w:vAlign w:val="center"/>
          </w:tcPr>
          <w:p>
            <w:pPr>
              <w:pStyle w:val="10"/>
            </w:pPr>
            <w:r>
              <w:t>项目名称</w:t>
            </w:r>
          </w:p>
        </w:tc>
        <w:tc>
          <w:tcPr>
            <w:tcW w:w="6095" w:type="dxa"/>
            <w:gridSpan w:val="3"/>
            <w:vAlign w:val="center"/>
          </w:tcPr>
          <w:p>
            <w:pPr>
              <w:pStyle w:val="12"/>
            </w:pPr>
            <w:r>
              <w:t>提前下达2025年中央支持地方公共文化服务体系建设补助资金（农家书屋）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21.30</w:t>
            </w:r>
          </w:p>
        </w:tc>
        <w:tc>
          <w:tcPr>
            <w:tcW w:w="2835" w:type="dxa"/>
            <w:vAlign w:val="center"/>
          </w:tcPr>
          <w:p>
            <w:pPr>
              <w:pStyle w:val="10"/>
            </w:pPr>
            <w:r>
              <w:t>其中：财政    资金</w:t>
            </w:r>
          </w:p>
        </w:tc>
        <w:tc>
          <w:tcPr>
            <w:tcW w:w="2551" w:type="dxa"/>
            <w:vAlign w:val="center"/>
          </w:tcPr>
          <w:p>
            <w:pPr>
              <w:pStyle w:val="12"/>
            </w:pPr>
            <w:r>
              <w:t>21.30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提前下达2025年中央支持地方公共文化服务体系建设补助资金（农家书屋）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5.33</w:t>
            </w:r>
          </w:p>
        </w:tc>
        <w:tc>
          <w:tcPr>
            <w:tcW w:w="2835" w:type="dxa"/>
            <w:vAlign w:val="center"/>
          </w:tcPr>
          <w:p>
            <w:pPr>
              <w:pStyle w:val="13"/>
            </w:pPr>
            <w:r>
              <w:t>10.65</w:t>
            </w:r>
          </w:p>
        </w:tc>
        <w:tc>
          <w:tcPr>
            <w:tcW w:w="2551" w:type="dxa"/>
            <w:vAlign w:val="center"/>
          </w:tcPr>
          <w:p>
            <w:pPr>
              <w:pStyle w:val="13"/>
            </w:pPr>
            <w:r>
              <w:t>15.98</w:t>
            </w:r>
          </w:p>
        </w:tc>
        <w:tc>
          <w:tcPr>
            <w:tcW w:w="3544" w:type="dxa"/>
            <w:gridSpan w:val="2"/>
            <w:vAlign w:val="center"/>
          </w:tcPr>
          <w:p>
            <w:pPr>
              <w:pStyle w:val="13"/>
            </w:pPr>
            <w:r>
              <w:t>21.30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1.提前下达2025年中央支持地方公共文化服务体系建设补助资金（农家书屋）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数量指标</w:t>
            </w:r>
          </w:p>
        </w:tc>
        <w:tc>
          <w:tcPr>
            <w:tcW w:w="5386" w:type="dxa"/>
            <w:vAlign w:val="center"/>
          </w:tcPr>
          <w:p>
            <w:pPr>
              <w:pStyle w:val="12"/>
            </w:pPr>
            <w:r>
              <w:t>购买本书</w:t>
            </w:r>
          </w:p>
        </w:tc>
        <w:tc>
          <w:tcPr>
            <w:tcW w:w="2268" w:type="dxa"/>
            <w:vAlign w:val="center"/>
          </w:tcPr>
          <w:p>
            <w:pPr>
              <w:pStyle w:val="12"/>
            </w:pPr>
            <w:r>
              <w:t>≥96百分比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合格率</w:t>
            </w:r>
          </w:p>
        </w:tc>
        <w:tc>
          <w:tcPr>
            <w:tcW w:w="5386" w:type="dxa"/>
            <w:vAlign w:val="center"/>
          </w:tcPr>
          <w:p>
            <w:pPr>
              <w:pStyle w:val="12"/>
            </w:pPr>
            <w:r>
              <w:t>合格率</w:t>
            </w:r>
          </w:p>
        </w:tc>
        <w:tc>
          <w:tcPr>
            <w:tcW w:w="2268" w:type="dxa"/>
            <w:vAlign w:val="center"/>
          </w:tcPr>
          <w:p>
            <w:pPr>
              <w:pStyle w:val="12"/>
            </w:pPr>
            <w:r>
              <w:t>≥96百分比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时效指标</w:t>
            </w:r>
          </w:p>
        </w:tc>
        <w:tc>
          <w:tcPr>
            <w:tcW w:w="5386" w:type="dxa"/>
            <w:vAlign w:val="center"/>
          </w:tcPr>
          <w:p>
            <w:pPr>
              <w:pStyle w:val="12"/>
            </w:pPr>
            <w:r>
              <w:t>及时拨付</w:t>
            </w:r>
          </w:p>
        </w:tc>
        <w:tc>
          <w:tcPr>
            <w:tcW w:w="2268" w:type="dxa"/>
            <w:vAlign w:val="center"/>
          </w:tcPr>
          <w:p>
            <w:pPr>
              <w:pStyle w:val="12"/>
            </w:pPr>
            <w:r>
              <w:t>≥96百分比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总成本控制数</w:t>
            </w:r>
          </w:p>
        </w:tc>
        <w:tc>
          <w:tcPr>
            <w:tcW w:w="5386" w:type="dxa"/>
            <w:vAlign w:val="center"/>
          </w:tcPr>
          <w:p>
            <w:pPr>
              <w:pStyle w:val="12"/>
            </w:pPr>
            <w:r>
              <w:t>预算内</w:t>
            </w:r>
          </w:p>
        </w:tc>
        <w:tc>
          <w:tcPr>
            <w:tcW w:w="2268" w:type="dxa"/>
            <w:vAlign w:val="center"/>
          </w:tcPr>
          <w:p>
            <w:pPr>
              <w:pStyle w:val="12"/>
            </w:pPr>
            <w:r>
              <w:t>≥96百分比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提高居民文化素养</w:t>
            </w:r>
          </w:p>
        </w:tc>
        <w:tc>
          <w:tcPr>
            <w:tcW w:w="2268" w:type="dxa"/>
            <w:vAlign w:val="center"/>
          </w:tcPr>
          <w:p>
            <w:pPr>
              <w:pStyle w:val="12"/>
            </w:pPr>
            <w:r>
              <w:t>≥96百分比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社会影响度</w:t>
            </w:r>
          </w:p>
        </w:tc>
        <w:tc>
          <w:tcPr>
            <w:tcW w:w="5386" w:type="dxa"/>
            <w:vAlign w:val="center"/>
          </w:tcPr>
          <w:p>
            <w:pPr>
              <w:pStyle w:val="12"/>
            </w:pPr>
            <w:r>
              <w:t>提高居民文化素养</w:t>
            </w:r>
          </w:p>
        </w:tc>
        <w:tc>
          <w:tcPr>
            <w:tcW w:w="2268" w:type="dxa"/>
            <w:vAlign w:val="center"/>
          </w:tcPr>
          <w:p>
            <w:pPr>
              <w:pStyle w:val="12"/>
            </w:pPr>
            <w:r>
              <w:t>≥96百分比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≥96百分比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w:t>
            </w:r>
          </w:p>
        </w:tc>
        <w:tc>
          <w:tcPr>
            <w:tcW w:w="5386" w:type="dxa"/>
            <w:vAlign w:val="center"/>
          </w:tcPr>
          <w:p>
            <w:pPr>
              <w:pStyle w:val="12"/>
            </w:pPr>
            <w:r>
              <w:t>可持续性</w:t>
            </w:r>
          </w:p>
        </w:tc>
        <w:tc>
          <w:tcPr>
            <w:tcW w:w="2268" w:type="dxa"/>
            <w:vAlign w:val="center"/>
          </w:tcPr>
          <w:p>
            <w:pPr>
              <w:pStyle w:val="12"/>
            </w:pPr>
            <w:r>
              <w:t>≥96百分比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≥96百分比</w:t>
            </w:r>
          </w:p>
        </w:tc>
        <w:tc>
          <w:tcPr>
            <w:tcW w:w="1276"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中国共产党无极县委员会宣传部本级小计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0.30</w:t>
            </w:r>
          </w:p>
        </w:tc>
        <w:tc>
          <w:tcPr>
            <w:tcW w:w="964" w:type="dxa"/>
            <w:vAlign w:val="center"/>
          </w:tcPr>
          <w:p>
            <w:pPr>
              <w:pStyle w:val="15"/>
            </w:pPr>
            <w:r>
              <w:t>0.30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10.41</w:t>
            </w:r>
          </w:p>
        </w:tc>
        <w:tc>
          <w:tcPr>
            <w:tcW w:w="1134" w:type="dxa"/>
            <w:vAlign w:val="center"/>
          </w:tcPr>
          <w:p>
            <w:pPr>
              <w:pStyle w:val="12"/>
            </w:pPr>
            <w:r>
              <w:t>纸制品</w:t>
            </w:r>
          </w:p>
        </w:tc>
        <w:tc>
          <w:tcPr>
            <w:tcW w:w="1134" w:type="dxa"/>
            <w:vAlign w:val="center"/>
          </w:tcPr>
          <w:p>
            <w:pPr>
              <w:pStyle w:val="12"/>
            </w:pPr>
            <w:r>
              <w:t>A07100300</w:t>
            </w:r>
          </w:p>
        </w:tc>
        <w:tc>
          <w:tcPr>
            <w:tcW w:w="709" w:type="dxa"/>
            <w:vAlign w:val="center"/>
          </w:tcPr>
          <w:p>
            <w:pPr>
              <w:pStyle w:val="13"/>
            </w:pPr>
            <w:r>
              <w:t>批</w:t>
            </w:r>
          </w:p>
        </w:tc>
        <w:tc>
          <w:tcPr>
            <w:tcW w:w="850" w:type="dxa"/>
            <w:vAlign w:val="center"/>
          </w:tcPr>
          <w:p>
            <w:pPr>
              <w:pStyle w:val="11"/>
            </w:pPr>
            <w:r>
              <w:t>3</w:t>
            </w:r>
          </w:p>
        </w:tc>
        <w:tc>
          <w:tcPr>
            <w:tcW w:w="850" w:type="dxa"/>
            <w:vAlign w:val="center"/>
          </w:tcPr>
          <w:p>
            <w:pPr>
              <w:pStyle w:val="11"/>
            </w:pPr>
            <w:r>
              <w:t>0.10</w:t>
            </w:r>
          </w:p>
        </w:tc>
        <w:tc>
          <w:tcPr>
            <w:tcW w:w="964" w:type="dxa"/>
            <w:vAlign w:val="center"/>
          </w:tcPr>
          <w:p>
            <w:pPr>
              <w:pStyle w:val="11"/>
            </w:pPr>
            <w:r>
              <w:t>0.30</w:t>
            </w:r>
          </w:p>
        </w:tc>
        <w:tc>
          <w:tcPr>
            <w:tcW w:w="964" w:type="dxa"/>
            <w:vAlign w:val="center"/>
          </w:tcPr>
          <w:p>
            <w:pPr>
              <w:pStyle w:val="11"/>
            </w:pPr>
            <w:r>
              <w:t>0.30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0.30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中国共产党无极县委员会宣传部本级上年末固定资产金额为53.38万元（详见下表）。本年度拟购置固定资产总额为0.00万元，已按要求列入政府采购预算，详见政府采购预算表。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211001中国共产党无极县委员会宣传部本级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53.38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130</w:t>
            </w:r>
          </w:p>
        </w:tc>
        <w:tc>
          <w:tcPr>
            <w:tcW w:w="2835" w:type="dxa"/>
            <w:vAlign w:val="center"/>
          </w:tcPr>
          <w:p>
            <w:pPr>
              <w:pStyle w:val="11"/>
            </w:pPr>
            <w:r>
              <w:t>53.28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581A1ABA"/>
    <w:rsid w:val="6C6D349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TotalTime>0</TotalTime>
  <ScaleCrop>false</ScaleCrop>
  <LinksUpToDate>false</LinksUpToDate>
  <Application>WPS Office_11.8.2.12080_F1E327BC-269C-435d-A152-05C5408002CA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2026-01-29T16:49:00Z</dcterms:created>
  <dc:creator>Administrator</dc:creator>
  <cp:lastModifiedBy>李润泽</cp:lastModifiedBy>
  <dcterms:modified xsi:type="dcterms:W3CDTF">2026-03-02T06:06:42Z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13C443C759D844EEB64FE03CC3DAD1ED</vt:lpwstr>
  </property>
</Properties>
</file>