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一、中国共产党无极县委员会政法委本级收支预算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一、中国共产党无极县委员会政法委本级收支预算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333.56</w:t>
            </w:r>
          </w:p>
        </w:tc>
        <w:tc>
          <w:tcPr>
            <w:tcW w:w="4535" w:type="dxa"/>
            <w:vAlign w:val="center"/>
          </w:tcPr>
          <w:p>
            <w:pPr>
              <w:pStyle w:val="12"/>
            </w:pPr>
            <w:r>
              <w:t>一、一般公共服务支出</w:t>
            </w:r>
          </w:p>
        </w:tc>
        <w:tc>
          <w:tcPr>
            <w:tcW w:w="2126" w:type="dxa"/>
            <w:vAlign w:val="center"/>
          </w:tcPr>
          <w:p>
            <w:pPr>
              <w:pStyle w:val="11"/>
            </w:pPr>
            <w:r>
              <w:t>266.86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333.56</w:t>
            </w:r>
          </w:p>
        </w:tc>
        <w:tc>
          <w:tcPr>
            <w:tcW w:w="4535" w:type="dxa"/>
            <w:vAlign w:val="center"/>
          </w:tcPr>
          <w:p>
            <w:pPr>
              <w:pStyle w:val="14"/>
            </w:pPr>
            <w:r>
              <w:t>本年支出合计</w:t>
            </w:r>
          </w:p>
        </w:tc>
        <w:tc>
          <w:tcPr>
            <w:tcW w:w="2126" w:type="dxa"/>
            <w:vAlign w:val="center"/>
          </w:tcPr>
          <w:p>
            <w:pPr>
              <w:pStyle w:val="15"/>
            </w:pPr>
            <w:r>
              <w:t>333.56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333.56</w:t>
            </w:r>
          </w:p>
        </w:tc>
        <w:tc>
          <w:tcPr>
            <w:tcW w:w="4535" w:type="dxa"/>
            <w:vAlign w:val="center"/>
          </w:tcPr>
          <w:p>
            <w:pPr>
              <w:pStyle w:val="14"/>
            </w:pPr>
            <w:r>
              <w:t>支出总计</w:t>
            </w:r>
          </w:p>
        </w:tc>
        <w:tc>
          <w:tcPr>
            <w:tcW w:w="2126" w:type="dxa"/>
            <w:vAlign w:val="center"/>
          </w:tcPr>
          <w:p>
            <w:pPr>
              <w:pStyle w:val="15"/>
            </w:pPr>
            <w:r>
              <w:t>333.56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333.56</w:t>
            </w:r>
          </w:p>
        </w:tc>
        <w:tc>
          <w:tcPr>
            <w:tcW w:w="1134" w:type="dxa"/>
            <w:vAlign w:val="center"/>
          </w:tcPr>
          <w:p>
            <w:pPr>
              <w:pStyle w:val="15"/>
            </w:pPr>
            <w:r>
              <w:t>333.56</w:t>
            </w:r>
          </w:p>
        </w:tc>
        <w:tc>
          <w:tcPr>
            <w:tcW w:w="1134" w:type="dxa"/>
            <w:vAlign w:val="center"/>
          </w:tcPr>
          <w:p>
            <w:pPr>
              <w:pStyle w:val="15"/>
            </w:pPr>
            <w:r>
              <w:t>333.56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266.86</w:t>
            </w:r>
          </w:p>
        </w:tc>
        <w:tc>
          <w:tcPr>
            <w:tcW w:w="1134" w:type="dxa"/>
            <w:vAlign w:val="center"/>
          </w:tcPr>
          <w:p>
            <w:pPr>
              <w:pStyle w:val="11"/>
            </w:pPr>
            <w:r>
              <w:t>266.86</w:t>
            </w:r>
          </w:p>
        </w:tc>
        <w:tc>
          <w:tcPr>
            <w:tcW w:w="1134" w:type="dxa"/>
            <w:vAlign w:val="center"/>
          </w:tcPr>
          <w:p>
            <w:pPr>
              <w:pStyle w:val="11"/>
            </w:pPr>
            <w:r>
              <w:t>266.86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27.30</w:t>
            </w:r>
          </w:p>
        </w:tc>
        <w:tc>
          <w:tcPr>
            <w:tcW w:w="1134" w:type="dxa"/>
            <w:vAlign w:val="center"/>
          </w:tcPr>
          <w:p>
            <w:pPr>
              <w:pStyle w:val="11"/>
            </w:pPr>
            <w:r>
              <w:t>27.30</w:t>
            </w:r>
          </w:p>
        </w:tc>
        <w:tc>
          <w:tcPr>
            <w:tcW w:w="1134" w:type="dxa"/>
            <w:vAlign w:val="center"/>
          </w:tcPr>
          <w:p>
            <w:pPr>
              <w:pStyle w:val="11"/>
            </w:pPr>
            <w:r>
              <w:t>27.30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2013105</w:t>
            </w:r>
          </w:p>
        </w:tc>
        <w:tc>
          <w:tcPr>
            <w:tcW w:w="1559" w:type="dxa"/>
            <w:vAlign w:val="center"/>
          </w:tcPr>
          <w:p>
            <w:pPr>
              <w:pStyle w:val="12"/>
            </w:pPr>
            <w:r>
              <w:t>专项业务</w:t>
            </w:r>
          </w:p>
        </w:tc>
        <w:tc>
          <w:tcPr>
            <w:tcW w:w="1134" w:type="dxa"/>
            <w:vAlign w:val="center"/>
          </w:tcPr>
          <w:p>
            <w:pPr>
              <w:pStyle w:val="11"/>
            </w:pPr>
            <w:r>
              <w:t>27.30</w:t>
            </w:r>
          </w:p>
        </w:tc>
        <w:tc>
          <w:tcPr>
            <w:tcW w:w="1134" w:type="dxa"/>
            <w:vAlign w:val="center"/>
          </w:tcPr>
          <w:p>
            <w:pPr>
              <w:pStyle w:val="11"/>
            </w:pPr>
            <w:r>
              <w:t>27.30</w:t>
            </w:r>
          </w:p>
        </w:tc>
        <w:tc>
          <w:tcPr>
            <w:tcW w:w="1134" w:type="dxa"/>
            <w:vAlign w:val="center"/>
          </w:tcPr>
          <w:p>
            <w:pPr>
              <w:pStyle w:val="11"/>
            </w:pPr>
            <w:r>
              <w:t>27.30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20136</w:t>
            </w:r>
          </w:p>
        </w:tc>
        <w:tc>
          <w:tcPr>
            <w:tcW w:w="1559" w:type="dxa"/>
            <w:vAlign w:val="center"/>
          </w:tcPr>
          <w:p>
            <w:pPr>
              <w:pStyle w:val="12"/>
            </w:pPr>
            <w:r>
              <w:t>其他共产党事务支出</w:t>
            </w:r>
          </w:p>
        </w:tc>
        <w:tc>
          <w:tcPr>
            <w:tcW w:w="1134" w:type="dxa"/>
            <w:vAlign w:val="center"/>
          </w:tcPr>
          <w:p>
            <w:pPr>
              <w:pStyle w:val="11"/>
            </w:pPr>
            <w:r>
              <w:t>239.56</w:t>
            </w:r>
          </w:p>
        </w:tc>
        <w:tc>
          <w:tcPr>
            <w:tcW w:w="1134" w:type="dxa"/>
            <w:vAlign w:val="center"/>
          </w:tcPr>
          <w:p>
            <w:pPr>
              <w:pStyle w:val="11"/>
            </w:pPr>
            <w:r>
              <w:t>239.56</w:t>
            </w:r>
          </w:p>
        </w:tc>
        <w:tc>
          <w:tcPr>
            <w:tcW w:w="1134" w:type="dxa"/>
            <w:vAlign w:val="center"/>
          </w:tcPr>
          <w:p>
            <w:pPr>
              <w:pStyle w:val="11"/>
            </w:pPr>
            <w:r>
              <w:t>239.56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2013601</w:t>
            </w:r>
          </w:p>
        </w:tc>
        <w:tc>
          <w:tcPr>
            <w:tcW w:w="1559" w:type="dxa"/>
            <w:vAlign w:val="center"/>
          </w:tcPr>
          <w:p>
            <w:pPr>
              <w:pStyle w:val="12"/>
            </w:pPr>
            <w:r>
              <w:t>行政运行</w:t>
            </w:r>
          </w:p>
        </w:tc>
        <w:tc>
          <w:tcPr>
            <w:tcW w:w="1134" w:type="dxa"/>
            <w:vAlign w:val="center"/>
          </w:tcPr>
          <w:p>
            <w:pPr>
              <w:pStyle w:val="11"/>
            </w:pPr>
            <w:r>
              <w:t>239.56</w:t>
            </w:r>
          </w:p>
        </w:tc>
        <w:tc>
          <w:tcPr>
            <w:tcW w:w="1134" w:type="dxa"/>
            <w:vAlign w:val="center"/>
          </w:tcPr>
          <w:p>
            <w:pPr>
              <w:pStyle w:val="11"/>
            </w:pPr>
            <w:r>
              <w:t>239.56</w:t>
            </w:r>
          </w:p>
        </w:tc>
        <w:tc>
          <w:tcPr>
            <w:tcW w:w="1134" w:type="dxa"/>
            <w:vAlign w:val="center"/>
          </w:tcPr>
          <w:p>
            <w:pPr>
              <w:pStyle w:val="11"/>
            </w:pPr>
            <w:r>
              <w:t>239.56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20499</w:t>
            </w:r>
          </w:p>
        </w:tc>
        <w:tc>
          <w:tcPr>
            <w:tcW w:w="1559" w:type="dxa"/>
            <w:vAlign w:val="center"/>
          </w:tcPr>
          <w:p>
            <w:pPr>
              <w:pStyle w:val="12"/>
            </w:pPr>
            <w:r>
              <w:t>其他公共安全支出</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2049999</w:t>
            </w:r>
          </w:p>
        </w:tc>
        <w:tc>
          <w:tcPr>
            <w:tcW w:w="1559" w:type="dxa"/>
            <w:vAlign w:val="center"/>
          </w:tcPr>
          <w:p>
            <w:pPr>
              <w:pStyle w:val="12"/>
            </w:pPr>
            <w:r>
              <w:t>其他公共安全支出</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r>
              <w:t>26.00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r>
              <w:t>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333.56</w:t>
            </w:r>
          </w:p>
        </w:tc>
        <w:tc>
          <w:tcPr>
            <w:tcW w:w="1361" w:type="dxa"/>
            <w:vAlign w:val="center"/>
          </w:tcPr>
          <w:p>
            <w:pPr>
              <w:pStyle w:val="15"/>
            </w:pPr>
            <w:r>
              <w:t>275.26</w:t>
            </w:r>
          </w:p>
        </w:tc>
        <w:tc>
          <w:tcPr>
            <w:tcW w:w="1361" w:type="dxa"/>
            <w:vAlign w:val="center"/>
          </w:tcPr>
          <w:p>
            <w:pPr>
              <w:pStyle w:val="15"/>
            </w:pPr>
            <w:r>
              <w:t>58.30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266.86</w:t>
            </w:r>
          </w:p>
        </w:tc>
        <w:tc>
          <w:tcPr>
            <w:tcW w:w="1361" w:type="dxa"/>
            <w:vAlign w:val="center"/>
          </w:tcPr>
          <w:p>
            <w:pPr>
              <w:pStyle w:val="11"/>
            </w:pPr>
            <w:r>
              <w:t>239.56</w:t>
            </w:r>
          </w:p>
        </w:tc>
        <w:tc>
          <w:tcPr>
            <w:tcW w:w="1361" w:type="dxa"/>
            <w:vAlign w:val="center"/>
          </w:tcPr>
          <w:p>
            <w:pPr>
              <w:pStyle w:val="11"/>
            </w:pPr>
            <w:r>
              <w:t>27.30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27.30</w:t>
            </w:r>
          </w:p>
        </w:tc>
        <w:tc>
          <w:tcPr>
            <w:tcW w:w="1361" w:type="dxa"/>
            <w:vAlign w:val="center"/>
          </w:tcPr>
          <w:p>
            <w:pPr>
              <w:pStyle w:val="11"/>
            </w:pPr>
          </w:p>
        </w:tc>
        <w:tc>
          <w:tcPr>
            <w:tcW w:w="1361" w:type="dxa"/>
            <w:vAlign w:val="center"/>
          </w:tcPr>
          <w:p>
            <w:pPr>
              <w:pStyle w:val="11"/>
            </w:pPr>
            <w:r>
              <w:t>27.30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2013105</w:t>
            </w:r>
          </w:p>
        </w:tc>
        <w:tc>
          <w:tcPr>
            <w:tcW w:w="4535" w:type="dxa"/>
            <w:vAlign w:val="center"/>
          </w:tcPr>
          <w:p>
            <w:pPr>
              <w:pStyle w:val="12"/>
            </w:pPr>
            <w:r>
              <w:t>专项业务</w:t>
            </w:r>
          </w:p>
        </w:tc>
        <w:tc>
          <w:tcPr>
            <w:tcW w:w="1361" w:type="dxa"/>
            <w:vAlign w:val="center"/>
          </w:tcPr>
          <w:p>
            <w:pPr>
              <w:pStyle w:val="11"/>
            </w:pPr>
            <w:r>
              <w:t>27.30</w:t>
            </w:r>
          </w:p>
        </w:tc>
        <w:tc>
          <w:tcPr>
            <w:tcW w:w="1361" w:type="dxa"/>
            <w:vAlign w:val="center"/>
          </w:tcPr>
          <w:p>
            <w:pPr>
              <w:pStyle w:val="11"/>
            </w:pPr>
          </w:p>
        </w:tc>
        <w:tc>
          <w:tcPr>
            <w:tcW w:w="1361" w:type="dxa"/>
            <w:vAlign w:val="center"/>
          </w:tcPr>
          <w:p>
            <w:pPr>
              <w:pStyle w:val="11"/>
            </w:pPr>
            <w:r>
              <w:t>27.30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20136</w:t>
            </w:r>
          </w:p>
        </w:tc>
        <w:tc>
          <w:tcPr>
            <w:tcW w:w="4535" w:type="dxa"/>
            <w:vAlign w:val="center"/>
          </w:tcPr>
          <w:p>
            <w:pPr>
              <w:pStyle w:val="12"/>
            </w:pPr>
            <w:r>
              <w:t>其他共产党事务支出</w:t>
            </w:r>
          </w:p>
        </w:tc>
        <w:tc>
          <w:tcPr>
            <w:tcW w:w="1361" w:type="dxa"/>
            <w:vAlign w:val="center"/>
          </w:tcPr>
          <w:p>
            <w:pPr>
              <w:pStyle w:val="11"/>
            </w:pPr>
            <w:r>
              <w:t>239.56</w:t>
            </w:r>
          </w:p>
        </w:tc>
        <w:tc>
          <w:tcPr>
            <w:tcW w:w="1361" w:type="dxa"/>
            <w:vAlign w:val="center"/>
          </w:tcPr>
          <w:p>
            <w:pPr>
              <w:pStyle w:val="11"/>
            </w:pPr>
            <w:r>
              <w:t>239.56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2013601</w:t>
            </w:r>
          </w:p>
        </w:tc>
        <w:tc>
          <w:tcPr>
            <w:tcW w:w="4535" w:type="dxa"/>
            <w:vAlign w:val="center"/>
          </w:tcPr>
          <w:p>
            <w:pPr>
              <w:pStyle w:val="12"/>
            </w:pPr>
            <w:r>
              <w:t>行政运行</w:t>
            </w:r>
          </w:p>
        </w:tc>
        <w:tc>
          <w:tcPr>
            <w:tcW w:w="1361" w:type="dxa"/>
            <w:vAlign w:val="center"/>
          </w:tcPr>
          <w:p>
            <w:pPr>
              <w:pStyle w:val="11"/>
            </w:pPr>
            <w:r>
              <w:t>239.56</w:t>
            </w:r>
          </w:p>
        </w:tc>
        <w:tc>
          <w:tcPr>
            <w:tcW w:w="1361" w:type="dxa"/>
            <w:vAlign w:val="center"/>
          </w:tcPr>
          <w:p>
            <w:pPr>
              <w:pStyle w:val="11"/>
            </w:pPr>
            <w:r>
              <w:t>239.56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20499</w:t>
            </w:r>
          </w:p>
        </w:tc>
        <w:tc>
          <w:tcPr>
            <w:tcW w:w="4535" w:type="dxa"/>
            <w:vAlign w:val="center"/>
          </w:tcPr>
          <w:p>
            <w:pPr>
              <w:pStyle w:val="12"/>
            </w:pPr>
            <w:r>
              <w:t>其他公共安全支出</w:t>
            </w: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2049999</w:t>
            </w:r>
          </w:p>
        </w:tc>
        <w:tc>
          <w:tcPr>
            <w:tcW w:w="4535" w:type="dxa"/>
            <w:vAlign w:val="center"/>
          </w:tcPr>
          <w:p>
            <w:pPr>
              <w:pStyle w:val="12"/>
            </w:pPr>
            <w:r>
              <w:t>其他公共安全支出</w:t>
            </w: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26.00</w:t>
            </w:r>
          </w:p>
        </w:tc>
        <w:tc>
          <w:tcPr>
            <w:tcW w:w="1361" w:type="dxa"/>
            <w:vAlign w:val="center"/>
          </w:tcPr>
          <w:p>
            <w:pPr>
              <w:pStyle w:val="11"/>
            </w:pPr>
            <w:r>
              <w:t>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26.00</w:t>
            </w:r>
          </w:p>
        </w:tc>
        <w:tc>
          <w:tcPr>
            <w:tcW w:w="1361" w:type="dxa"/>
            <w:vAlign w:val="center"/>
          </w:tcPr>
          <w:p>
            <w:pPr>
              <w:pStyle w:val="11"/>
            </w:pPr>
            <w:r>
              <w:t>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26.00</w:t>
            </w:r>
          </w:p>
        </w:tc>
        <w:tc>
          <w:tcPr>
            <w:tcW w:w="1361" w:type="dxa"/>
            <w:vAlign w:val="center"/>
          </w:tcPr>
          <w:p>
            <w:pPr>
              <w:pStyle w:val="11"/>
            </w:pPr>
            <w:r>
              <w:t>26.00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9.70</w:t>
            </w:r>
          </w:p>
        </w:tc>
        <w:tc>
          <w:tcPr>
            <w:tcW w:w="1361" w:type="dxa"/>
            <w:vAlign w:val="center"/>
          </w:tcPr>
          <w:p>
            <w:pPr>
              <w:pStyle w:val="11"/>
            </w:pPr>
            <w:r>
              <w:t>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9.70</w:t>
            </w:r>
          </w:p>
        </w:tc>
        <w:tc>
          <w:tcPr>
            <w:tcW w:w="1361" w:type="dxa"/>
            <w:vAlign w:val="center"/>
          </w:tcPr>
          <w:p>
            <w:pPr>
              <w:pStyle w:val="11"/>
            </w:pPr>
            <w:r>
              <w:t>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9.70</w:t>
            </w:r>
          </w:p>
        </w:tc>
        <w:tc>
          <w:tcPr>
            <w:tcW w:w="1361" w:type="dxa"/>
            <w:vAlign w:val="center"/>
          </w:tcPr>
          <w:p>
            <w:pPr>
              <w:pStyle w:val="11"/>
            </w:pPr>
            <w:r>
              <w:t>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333.56</w:t>
            </w:r>
          </w:p>
        </w:tc>
        <w:tc>
          <w:tcPr>
            <w:tcW w:w="3402" w:type="dxa"/>
            <w:vAlign w:val="center"/>
          </w:tcPr>
          <w:p>
            <w:pPr>
              <w:pStyle w:val="12"/>
            </w:pPr>
            <w:r>
              <w:t>一、一般公共服务支出</w:t>
            </w:r>
          </w:p>
        </w:tc>
        <w:tc>
          <w:tcPr>
            <w:tcW w:w="1474" w:type="dxa"/>
            <w:vAlign w:val="center"/>
          </w:tcPr>
          <w:p>
            <w:pPr>
              <w:pStyle w:val="11"/>
            </w:pPr>
            <w:r>
              <w:t>266.86</w:t>
            </w:r>
          </w:p>
        </w:tc>
        <w:tc>
          <w:tcPr>
            <w:tcW w:w="1474" w:type="dxa"/>
            <w:vAlign w:val="center"/>
          </w:tcPr>
          <w:p>
            <w:pPr>
              <w:pStyle w:val="11"/>
            </w:pPr>
            <w:r>
              <w:t>266.86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31.00</w:t>
            </w:r>
          </w:p>
        </w:tc>
        <w:tc>
          <w:tcPr>
            <w:tcW w:w="1474" w:type="dxa"/>
            <w:vAlign w:val="center"/>
          </w:tcPr>
          <w:p>
            <w:pPr>
              <w:pStyle w:val="11"/>
            </w:pPr>
            <w:r>
              <w:t>31.00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26.00</w:t>
            </w:r>
          </w:p>
        </w:tc>
        <w:tc>
          <w:tcPr>
            <w:tcW w:w="1474" w:type="dxa"/>
            <w:vAlign w:val="center"/>
          </w:tcPr>
          <w:p>
            <w:pPr>
              <w:pStyle w:val="11"/>
            </w:pPr>
            <w:r>
              <w:t>26.00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9.70</w:t>
            </w:r>
          </w:p>
        </w:tc>
        <w:tc>
          <w:tcPr>
            <w:tcW w:w="1474" w:type="dxa"/>
            <w:vAlign w:val="center"/>
          </w:tcPr>
          <w:p>
            <w:pPr>
              <w:pStyle w:val="11"/>
            </w:pPr>
            <w:r>
              <w:t>9.70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333.56</w:t>
            </w:r>
          </w:p>
        </w:tc>
        <w:tc>
          <w:tcPr>
            <w:tcW w:w="3402" w:type="dxa"/>
            <w:vAlign w:val="center"/>
          </w:tcPr>
          <w:p>
            <w:pPr>
              <w:pStyle w:val="14"/>
            </w:pPr>
            <w:r>
              <w:t>本年支出合计</w:t>
            </w:r>
          </w:p>
        </w:tc>
        <w:tc>
          <w:tcPr>
            <w:tcW w:w="1474" w:type="dxa"/>
            <w:vAlign w:val="center"/>
          </w:tcPr>
          <w:p>
            <w:pPr>
              <w:pStyle w:val="15"/>
            </w:pPr>
            <w:r>
              <w:t>333.56</w:t>
            </w:r>
          </w:p>
        </w:tc>
        <w:tc>
          <w:tcPr>
            <w:tcW w:w="1474" w:type="dxa"/>
            <w:vAlign w:val="center"/>
          </w:tcPr>
          <w:p>
            <w:pPr>
              <w:pStyle w:val="15"/>
            </w:pPr>
            <w:r>
              <w:t>333.56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333.56</w:t>
            </w:r>
          </w:p>
        </w:tc>
        <w:tc>
          <w:tcPr>
            <w:tcW w:w="3402" w:type="dxa"/>
            <w:vAlign w:val="center"/>
          </w:tcPr>
          <w:p>
            <w:pPr>
              <w:pStyle w:val="14"/>
            </w:pPr>
            <w:r>
              <w:t>支出总计</w:t>
            </w:r>
          </w:p>
        </w:tc>
        <w:tc>
          <w:tcPr>
            <w:tcW w:w="1474" w:type="dxa"/>
            <w:vAlign w:val="center"/>
          </w:tcPr>
          <w:p>
            <w:pPr>
              <w:pStyle w:val="15"/>
            </w:pPr>
            <w:r>
              <w:t>333.56</w:t>
            </w:r>
          </w:p>
        </w:tc>
        <w:tc>
          <w:tcPr>
            <w:tcW w:w="1474" w:type="dxa"/>
            <w:vAlign w:val="center"/>
          </w:tcPr>
          <w:p>
            <w:pPr>
              <w:pStyle w:val="15"/>
            </w:pPr>
            <w:r>
              <w:t>333.56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333.56</w:t>
            </w:r>
          </w:p>
        </w:tc>
        <w:tc>
          <w:tcPr>
            <w:tcW w:w="2551" w:type="dxa"/>
            <w:vAlign w:val="center"/>
          </w:tcPr>
          <w:p>
            <w:pPr>
              <w:pStyle w:val="15"/>
            </w:pPr>
            <w:r>
              <w:t>275.26</w:t>
            </w:r>
          </w:p>
        </w:tc>
        <w:tc>
          <w:tcPr>
            <w:tcW w:w="2551" w:type="dxa"/>
            <w:vAlign w:val="center"/>
          </w:tcPr>
          <w:p>
            <w:pPr>
              <w:pStyle w:val="15"/>
            </w:pPr>
            <w:r>
              <w:t>58.30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266.86</w:t>
            </w:r>
          </w:p>
        </w:tc>
        <w:tc>
          <w:tcPr>
            <w:tcW w:w="2551" w:type="dxa"/>
            <w:vAlign w:val="center"/>
          </w:tcPr>
          <w:p>
            <w:pPr>
              <w:pStyle w:val="11"/>
            </w:pPr>
            <w:r>
              <w:t>239.56</w:t>
            </w:r>
          </w:p>
        </w:tc>
        <w:tc>
          <w:tcPr>
            <w:tcW w:w="2551" w:type="dxa"/>
            <w:vAlign w:val="center"/>
          </w:tcPr>
          <w:p>
            <w:pPr>
              <w:pStyle w:val="11"/>
            </w:pPr>
            <w:r>
              <w:t>27.30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27.30</w:t>
            </w:r>
          </w:p>
        </w:tc>
        <w:tc>
          <w:tcPr>
            <w:tcW w:w="2551" w:type="dxa"/>
            <w:vAlign w:val="center"/>
          </w:tcPr>
          <w:p>
            <w:pPr>
              <w:pStyle w:val="11"/>
            </w:pPr>
          </w:p>
        </w:tc>
        <w:tc>
          <w:tcPr>
            <w:tcW w:w="2551" w:type="dxa"/>
            <w:vAlign w:val="center"/>
          </w:tcPr>
          <w:p>
            <w:pPr>
              <w:pStyle w:val="11"/>
            </w:pPr>
            <w:r>
              <w:t>27.30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2013105</w:t>
            </w:r>
          </w:p>
        </w:tc>
        <w:tc>
          <w:tcPr>
            <w:tcW w:w="4535" w:type="dxa"/>
            <w:vAlign w:val="center"/>
          </w:tcPr>
          <w:p>
            <w:pPr>
              <w:pStyle w:val="12"/>
            </w:pPr>
            <w:r>
              <w:t>专项业务</w:t>
            </w:r>
          </w:p>
        </w:tc>
        <w:tc>
          <w:tcPr>
            <w:tcW w:w="2551" w:type="dxa"/>
            <w:vAlign w:val="center"/>
          </w:tcPr>
          <w:p>
            <w:pPr>
              <w:pStyle w:val="11"/>
            </w:pPr>
            <w:r>
              <w:t>27.30</w:t>
            </w:r>
          </w:p>
        </w:tc>
        <w:tc>
          <w:tcPr>
            <w:tcW w:w="2551" w:type="dxa"/>
            <w:vAlign w:val="center"/>
          </w:tcPr>
          <w:p>
            <w:pPr>
              <w:pStyle w:val="11"/>
            </w:pPr>
          </w:p>
        </w:tc>
        <w:tc>
          <w:tcPr>
            <w:tcW w:w="2551" w:type="dxa"/>
            <w:vAlign w:val="center"/>
          </w:tcPr>
          <w:p>
            <w:pPr>
              <w:pStyle w:val="11"/>
            </w:pPr>
            <w:r>
              <w:t>27.30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20136</w:t>
            </w:r>
          </w:p>
        </w:tc>
        <w:tc>
          <w:tcPr>
            <w:tcW w:w="4535" w:type="dxa"/>
            <w:vAlign w:val="center"/>
          </w:tcPr>
          <w:p>
            <w:pPr>
              <w:pStyle w:val="12"/>
            </w:pPr>
            <w:r>
              <w:t>其他共产党事务支出</w:t>
            </w:r>
          </w:p>
        </w:tc>
        <w:tc>
          <w:tcPr>
            <w:tcW w:w="2551" w:type="dxa"/>
            <w:vAlign w:val="center"/>
          </w:tcPr>
          <w:p>
            <w:pPr>
              <w:pStyle w:val="11"/>
            </w:pPr>
            <w:r>
              <w:t>239.56</w:t>
            </w:r>
          </w:p>
        </w:tc>
        <w:tc>
          <w:tcPr>
            <w:tcW w:w="2551" w:type="dxa"/>
            <w:vAlign w:val="center"/>
          </w:tcPr>
          <w:p>
            <w:pPr>
              <w:pStyle w:val="11"/>
            </w:pPr>
            <w:r>
              <w:t>239.56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2013601</w:t>
            </w:r>
          </w:p>
        </w:tc>
        <w:tc>
          <w:tcPr>
            <w:tcW w:w="4535" w:type="dxa"/>
            <w:vAlign w:val="center"/>
          </w:tcPr>
          <w:p>
            <w:pPr>
              <w:pStyle w:val="12"/>
            </w:pPr>
            <w:r>
              <w:t>行政运行</w:t>
            </w:r>
          </w:p>
        </w:tc>
        <w:tc>
          <w:tcPr>
            <w:tcW w:w="2551" w:type="dxa"/>
            <w:vAlign w:val="center"/>
          </w:tcPr>
          <w:p>
            <w:pPr>
              <w:pStyle w:val="11"/>
            </w:pPr>
            <w:r>
              <w:t>239.56</w:t>
            </w:r>
          </w:p>
        </w:tc>
        <w:tc>
          <w:tcPr>
            <w:tcW w:w="2551" w:type="dxa"/>
            <w:vAlign w:val="center"/>
          </w:tcPr>
          <w:p>
            <w:pPr>
              <w:pStyle w:val="11"/>
            </w:pPr>
            <w:r>
              <w:t>239.56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31.00</w:t>
            </w:r>
          </w:p>
        </w:tc>
        <w:tc>
          <w:tcPr>
            <w:tcW w:w="2551" w:type="dxa"/>
            <w:vAlign w:val="center"/>
          </w:tcPr>
          <w:p>
            <w:pPr>
              <w:pStyle w:val="11"/>
            </w:pPr>
          </w:p>
        </w:tc>
        <w:tc>
          <w:tcPr>
            <w:tcW w:w="2551" w:type="dxa"/>
            <w:vAlign w:val="center"/>
          </w:tcPr>
          <w:p>
            <w:pPr>
              <w:pStyle w:val="11"/>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20499</w:t>
            </w:r>
          </w:p>
        </w:tc>
        <w:tc>
          <w:tcPr>
            <w:tcW w:w="4535" w:type="dxa"/>
            <w:vAlign w:val="center"/>
          </w:tcPr>
          <w:p>
            <w:pPr>
              <w:pStyle w:val="12"/>
            </w:pPr>
            <w:r>
              <w:t>其他公共安全支出</w:t>
            </w:r>
          </w:p>
        </w:tc>
        <w:tc>
          <w:tcPr>
            <w:tcW w:w="2551" w:type="dxa"/>
            <w:vAlign w:val="center"/>
          </w:tcPr>
          <w:p>
            <w:pPr>
              <w:pStyle w:val="11"/>
            </w:pPr>
            <w:r>
              <w:t>31.00</w:t>
            </w:r>
          </w:p>
        </w:tc>
        <w:tc>
          <w:tcPr>
            <w:tcW w:w="2551" w:type="dxa"/>
            <w:vAlign w:val="center"/>
          </w:tcPr>
          <w:p>
            <w:pPr>
              <w:pStyle w:val="11"/>
            </w:pPr>
          </w:p>
        </w:tc>
        <w:tc>
          <w:tcPr>
            <w:tcW w:w="2551" w:type="dxa"/>
            <w:vAlign w:val="center"/>
          </w:tcPr>
          <w:p>
            <w:pPr>
              <w:pStyle w:val="11"/>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2049999</w:t>
            </w:r>
          </w:p>
        </w:tc>
        <w:tc>
          <w:tcPr>
            <w:tcW w:w="4535" w:type="dxa"/>
            <w:vAlign w:val="center"/>
          </w:tcPr>
          <w:p>
            <w:pPr>
              <w:pStyle w:val="12"/>
            </w:pPr>
            <w:r>
              <w:t>其他公共安全支出</w:t>
            </w:r>
          </w:p>
        </w:tc>
        <w:tc>
          <w:tcPr>
            <w:tcW w:w="2551" w:type="dxa"/>
            <w:vAlign w:val="center"/>
          </w:tcPr>
          <w:p>
            <w:pPr>
              <w:pStyle w:val="11"/>
            </w:pPr>
            <w:r>
              <w:t>31.00</w:t>
            </w:r>
          </w:p>
        </w:tc>
        <w:tc>
          <w:tcPr>
            <w:tcW w:w="2551" w:type="dxa"/>
            <w:vAlign w:val="center"/>
          </w:tcPr>
          <w:p>
            <w:pPr>
              <w:pStyle w:val="11"/>
            </w:pPr>
          </w:p>
        </w:tc>
        <w:tc>
          <w:tcPr>
            <w:tcW w:w="2551" w:type="dxa"/>
            <w:vAlign w:val="center"/>
          </w:tcPr>
          <w:p>
            <w:pPr>
              <w:pStyle w:val="11"/>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9.70</w:t>
            </w:r>
          </w:p>
        </w:tc>
        <w:tc>
          <w:tcPr>
            <w:tcW w:w="2551" w:type="dxa"/>
            <w:vAlign w:val="center"/>
          </w:tcPr>
          <w:p>
            <w:pPr>
              <w:pStyle w:val="11"/>
            </w:pPr>
            <w:r>
              <w:t>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9.70</w:t>
            </w:r>
          </w:p>
        </w:tc>
        <w:tc>
          <w:tcPr>
            <w:tcW w:w="2551" w:type="dxa"/>
            <w:vAlign w:val="center"/>
          </w:tcPr>
          <w:p>
            <w:pPr>
              <w:pStyle w:val="11"/>
            </w:pPr>
            <w:r>
              <w:t>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9.70</w:t>
            </w:r>
          </w:p>
        </w:tc>
        <w:tc>
          <w:tcPr>
            <w:tcW w:w="2551" w:type="dxa"/>
            <w:vAlign w:val="center"/>
          </w:tcPr>
          <w:p>
            <w:pPr>
              <w:pStyle w:val="11"/>
            </w:pPr>
            <w:r>
              <w:t>9.70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275.26</w:t>
            </w:r>
          </w:p>
        </w:tc>
        <w:tc>
          <w:tcPr>
            <w:tcW w:w="2551" w:type="dxa"/>
            <w:vAlign w:val="center"/>
          </w:tcPr>
          <w:p>
            <w:pPr>
              <w:pStyle w:val="15"/>
            </w:pPr>
            <w:r>
              <w:t>249.96</w:t>
            </w:r>
          </w:p>
        </w:tc>
        <w:tc>
          <w:tcPr>
            <w:tcW w:w="2551" w:type="dxa"/>
            <w:vAlign w:val="center"/>
          </w:tcPr>
          <w:p>
            <w:pPr>
              <w:pStyle w:val="15"/>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229.56</w:t>
            </w:r>
          </w:p>
        </w:tc>
        <w:tc>
          <w:tcPr>
            <w:tcW w:w="2551" w:type="dxa"/>
            <w:vAlign w:val="center"/>
          </w:tcPr>
          <w:p>
            <w:pPr>
              <w:pStyle w:val="11"/>
            </w:pPr>
            <w:r>
              <w:t>229.56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93.00</w:t>
            </w:r>
          </w:p>
        </w:tc>
        <w:tc>
          <w:tcPr>
            <w:tcW w:w="2551" w:type="dxa"/>
            <w:vAlign w:val="center"/>
          </w:tcPr>
          <w:p>
            <w:pPr>
              <w:pStyle w:val="11"/>
            </w:pPr>
            <w:r>
              <w:t>93.00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52.60</w:t>
            </w:r>
          </w:p>
        </w:tc>
        <w:tc>
          <w:tcPr>
            <w:tcW w:w="2551" w:type="dxa"/>
            <w:vAlign w:val="center"/>
          </w:tcPr>
          <w:p>
            <w:pPr>
              <w:pStyle w:val="11"/>
            </w:pPr>
            <w:r>
              <w:t>52.60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29.20</w:t>
            </w:r>
          </w:p>
        </w:tc>
        <w:tc>
          <w:tcPr>
            <w:tcW w:w="2551" w:type="dxa"/>
            <w:vAlign w:val="center"/>
          </w:tcPr>
          <w:p>
            <w:pPr>
              <w:pStyle w:val="11"/>
            </w:pPr>
            <w:r>
              <w:t>29.20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18.20</w:t>
            </w:r>
          </w:p>
        </w:tc>
        <w:tc>
          <w:tcPr>
            <w:tcW w:w="2551" w:type="dxa"/>
            <w:vAlign w:val="center"/>
          </w:tcPr>
          <w:p>
            <w:pPr>
              <w:pStyle w:val="11"/>
            </w:pPr>
            <w:r>
              <w:t>18.20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9.70</w:t>
            </w:r>
          </w:p>
        </w:tc>
        <w:tc>
          <w:tcPr>
            <w:tcW w:w="2551" w:type="dxa"/>
            <w:vAlign w:val="center"/>
          </w:tcPr>
          <w:p>
            <w:pPr>
              <w:pStyle w:val="11"/>
            </w:pPr>
            <w:r>
              <w:t>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0.86</w:t>
            </w:r>
          </w:p>
        </w:tc>
        <w:tc>
          <w:tcPr>
            <w:tcW w:w="2551" w:type="dxa"/>
            <w:vAlign w:val="center"/>
          </w:tcPr>
          <w:p>
            <w:pPr>
              <w:pStyle w:val="11"/>
            </w:pPr>
            <w:r>
              <w:t>0.86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25.30</w:t>
            </w:r>
          </w:p>
        </w:tc>
        <w:tc>
          <w:tcPr>
            <w:tcW w:w="2551" w:type="dxa"/>
            <w:vAlign w:val="center"/>
          </w:tcPr>
          <w:p>
            <w:pPr>
              <w:pStyle w:val="11"/>
            </w:pPr>
          </w:p>
        </w:tc>
        <w:tc>
          <w:tcPr>
            <w:tcW w:w="2551" w:type="dxa"/>
            <w:vAlign w:val="center"/>
          </w:tcPr>
          <w:p>
            <w:pPr>
              <w:pStyle w:val="11"/>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6.50</w:t>
            </w:r>
          </w:p>
        </w:tc>
        <w:tc>
          <w:tcPr>
            <w:tcW w:w="2551" w:type="dxa"/>
            <w:vAlign w:val="center"/>
          </w:tcPr>
          <w:p>
            <w:pPr>
              <w:pStyle w:val="11"/>
            </w:pPr>
          </w:p>
        </w:tc>
        <w:tc>
          <w:tcPr>
            <w:tcW w:w="2551" w:type="dxa"/>
            <w:vAlign w:val="center"/>
          </w:tcPr>
          <w:p>
            <w:pPr>
              <w:pStyle w:val="11"/>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9.80</w:t>
            </w:r>
          </w:p>
        </w:tc>
        <w:tc>
          <w:tcPr>
            <w:tcW w:w="2551" w:type="dxa"/>
            <w:vAlign w:val="center"/>
          </w:tcPr>
          <w:p>
            <w:pPr>
              <w:pStyle w:val="11"/>
            </w:pPr>
          </w:p>
        </w:tc>
        <w:tc>
          <w:tcPr>
            <w:tcW w:w="2551" w:type="dxa"/>
            <w:vAlign w:val="center"/>
          </w:tcPr>
          <w:p>
            <w:pPr>
              <w:pStyle w:val="11"/>
            </w:pPr>
            <w:r>
              <w:t>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20.40</w:t>
            </w:r>
          </w:p>
        </w:tc>
        <w:tc>
          <w:tcPr>
            <w:tcW w:w="2551" w:type="dxa"/>
            <w:vAlign w:val="center"/>
          </w:tcPr>
          <w:p>
            <w:pPr>
              <w:pStyle w:val="11"/>
            </w:pPr>
            <w:r>
              <w:t>20.40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20.40</w:t>
            </w:r>
          </w:p>
        </w:tc>
        <w:tc>
          <w:tcPr>
            <w:tcW w:w="2551" w:type="dxa"/>
            <w:vAlign w:val="center"/>
          </w:tcPr>
          <w:p>
            <w:pPr>
              <w:pStyle w:val="11"/>
            </w:pPr>
            <w:r>
              <w:t>20.40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中国共产党无极县委员会政法委本级2026年单位预算信息公开情况说明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按照《中华人民共和国预算法》、《地方预决算公开操作规程》和《关于进一步推进预算公开工作的实施意见》规定，现将中国共产党无极县委员会政法委本级2026年单位预算公开如下：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单位职责：</w:t>
      </w:r>
    </w:p>
    <w:p>
      <w:pPr>
        <w:pStyle w:val="17"/>
      </w:pPr>
      <w:r>
        <w:t>1、深入贯彻习近平新时代中国特色社会主义思想，坚持党对政法工作的绝对领导，坚决维护习近平总书记在党中央的核心、全党的核心地位，坚决维护党中央权威和集中统一领导，深入贯彻党的路线方针政策，统一全县政法单位和行动，确保政法单位坚定的政治方向。</w:t>
      </w:r>
    </w:p>
    <w:p>
      <w:pPr>
        <w:pStyle w:val="17"/>
      </w:pPr>
      <w:r>
        <w:t>2、对全县政法工作研究提出全局性部署，推动平安无极、法治无极建设，加强过硬队伍建设，深化智能化建设，坚决维护国家政治安全、确保社会大局稳定、促进社会公平正义、保障人民安居乐业。</w:t>
      </w:r>
    </w:p>
    <w:p>
      <w:pPr>
        <w:pStyle w:val="17"/>
      </w:pPr>
      <w:r>
        <w:t>3、了解掌握和分析研判政法工作情况动态，分析社会稳定形势，创新完善多单位参与的综治维稳工作机制，协调推动预防、化解影响稳定的社会矛盾和风险，协调应对和处置重大突发事件。</w:t>
      </w:r>
    </w:p>
    <w:p>
      <w:pPr>
        <w:pStyle w:val="17"/>
      </w:pPr>
      <w:r>
        <w:t>4、加强对政法工作的督查，统筹协调社会治安综合治理、维护社会稳定、反邪教有关法律法规政策的实施工作。</w:t>
      </w:r>
    </w:p>
    <w:p>
      <w:pPr>
        <w:pStyle w:val="17"/>
      </w:pPr>
      <w:r>
        <w:t>5、组织开展政法领域的调查研究，研究拟订政法工作的重大措施，及时向县委提出建议。</w:t>
      </w:r>
    </w:p>
    <w:p>
      <w:pPr>
        <w:pStyle w:val="17"/>
      </w:pPr>
      <w:r>
        <w:t>6、掌握分析政法舆情动态，指导协调政法单位媒体网络宣传工作，指导政法单位做好涉及政法工作的重大宣传工作。</w:t>
      </w:r>
    </w:p>
    <w:p>
      <w:pPr>
        <w:pStyle w:val="17"/>
      </w:pPr>
      <w:r>
        <w:t>7、监督和支持政法单位依法行使职权，指导和协调政法单位密切配合，研究和协调重大、疑难案件，指导政法单位涉法涉诉信访工作，推进严格执法、公正司法。</w:t>
      </w:r>
    </w:p>
    <w:p>
      <w:pPr>
        <w:pStyle w:val="17"/>
      </w:pPr>
      <w:r>
        <w:t>8、组织研究政法改革中带有方向性、倾向性和普遍性的重大问题，深化政法改革，联系县委全面依法治县委员会办公室。</w:t>
      </w:r>
    </w:p>
    <w:p>
      <w:pPr>
        <w:pStyle w:val="17"/>
      </w:pPr>
      <w:r>
        <w:t>9、指导推动政法系统党的建设和政法队伍建设，协调和指导全县见义勇为工作，代管县法学会。</w:t>
      </w:r>
    </w:p>
    <w:p>
      <w:pPr>
        <w:pStyle w:val="17"/>
      </w:pPr>
      <w:r>
        <w:t>10、统筹推动全县政法系统信息化工作，指导政法智能化建设。</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中国共产党无极县委员会政法委本级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333.56万元，其中：一般公共预算收入333.56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无极县委员会政法委本级年度单位预算中支出预算的总体情况。2026年支出预算333.56万元，其中基本支出275.26万元，包括人员经费249.96万元和日常公用经费25.30万元；项目支出58.30万元，主要为社会治安综合治理专项经费1.5万、维护稳定专项经费2.5万、扫黑除恶专项经费5万、县政法委机房电费3万、“雪亮工程”网络维护经费12万、严重精神障碍患者监护人以奖代补资金10万、严重精神障碍患者责任险26万、网格员话费27.3万、政法四级网维保经费40万、综治视联网线路租赁费2.4</w:t>
      </w:r>
      <w:r>
        <w:rPr>
          <w:rFonts w:hint="eastAsia"/>
          <w:lang w:val="en-US" w:eastAsia="zh-CN"/>
        </w:rPr>
        <w:t>万</w:t>
      </w:r>
      <w:r>
        <w:t>；预计下年使用的单位资金结余0.00万元。委托业务费共计安排0.00万元，主要用于因技术原因确需对外委托的辅助性工作和确有必要对外委托开展咨询、评审、规划等工作。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333.56万元，较2025年预算减少52.20万元，其中：基本支出减少37.00万元，主要为人员减少导致基本支出减少。项目支出减少15.20万元，主要为社会治安综合治理专项经费减少1.5万，维护稳定专项经费减少2.5万、扫黑除恶专项经费减少5万、县政法委机房电费减少2万、“雪亮工程”网络维护经费减少4.2万</w:t>
      </w:r>
      <w:bookmarkStart w:id="1" w:name="_GoBack"/>
      <w:bookmarkEnd w:id="1"/>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2026年，我单位机关运行经费共计安排25.30万元，主要用于日常维修、办公用房水电费、办公用房取暖费、办公用房物业管理费等日常运行支出。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严格按照相关制度执行，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1、提前下达2026年中央政法纪检监察转移支付资金（扫黑除恶）绩效目标表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13013026P00006910001U</w:t>
            </w:r>
          </w:p>
        </w:tc>
        <w:tc>
          <w:tcPr>
            <w:tcW w:w="2835" w:type="dxa"/>
            <w:vAlign w:val="center"/>
          </w:tcPr>
          <w:p>
            <w:pPr>
              <w:pStyle w:val="10"/>
            </w:pPr>
            <w:r>
              <w:t>项目名称</w:t>
            </w:r>
          </w:p>
        </w:tc>
        <w:tc>
          <w:tcPr>
            <w:tcW w:w="6095" w:type="dxa"/>
            <w:gridSpan w:val="3"/>
            <w:vAlign w:val="center"/>
          </w:tcPr>
          <w:p>
            <w:pPr>
              <w:pStyle w:val="12"/>
            </w:pPr>
            <w:r>
              <w:t>提前下达2026年中央政法纪检监察转移支付资金（扫黑除恶）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w:t>
            </w:r>
          </w:p>
        </w:tc>
        <w:tc>
          <w:tcPr>
            <w:tcW w:w="2835" w:type="dxa"/>
            <w:vAlign w:val="center"/>
          </w:tcPr>
          <w:p>
            <w:pPr>
              <w:pStyle w:val="10"/>
            </w:pPr>
            <w:r>
              <w:t>其中：财政    资金</w:t>
            </w:r>
          </w:p>
        </w:tc>
        <w:tc>
          <w:tcPr>
            <w:tcW w:w="2551" w:type="dxa"/>
            <w:vAlign w:val="center"/>
          </w:tcPr>
          <w:p>
            <w:pPr>
              <w:pStyle w:val="12"/>
            </w:pPr>
            <w:r>
              <w:t>21.00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提前下达2026年中央政法纪检监察转移支付资金（扫黑除恶）</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4" w:type="dxa"/>
            <w:gridSpan w:val="2"/>
            <w:vAlign w:val="center"/>
          </w:tcPr>
          <w:p>
            <w:pPr>
              <w:pStyle w:val="13"/>
            </w:pPr>
            <w:r>
              <w:t>21.00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1.提前下达2026年中央政法纪检监察转移支付资金（扫黑除恶）</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项目完成情况</w:t>
            </w:r>
          </w:p>
        </w:tc>
        <w:tc>
          <w:tcPr>
            <w:tcW w:w="5386" w:type="dxa"/>
            <w:vAlign w:val="center"/>
          </w:tcPr>
          <w:p>
            <w:pPr>
              <w:pStyle w:val="12"/>
            </w:pPr>
            <w:r>
              <w:t>项目完成情况</w:t>
            </w:r>
          </w:p>
        </w:tc>
        <w:tc>
          <w:tcPr>
            <w:tcW w:w="2268" w:type="dxa"/>
            <w:vAlign w:val="center"/>
          </w:tcPr>
          <w:p>
            <w:pPr>
              <w:pStyle w:val="12"/>
            </w:pPr>
            <w:r>
              <w:t>≥95是否完成年度计划</w:t>
            </w:r>
          </w:p>
        </w:tc>
        <w:tc>
          <w:tcPr>
            <w:tcW w:w="1276" w:type="dxa"/>
            <w:vAlign w:val="center"/>
          </w:tcPr>
          <w:p>
            <w:pPr>
              <w:pStyle w:val="12"/>
            </w:pPr>
            <w:r>
              <w:t>年度总结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提交成果报告质量</w:t>
            </w:r>
          </w:p>
        </w:tc>
        <w:tc>
          <w:tcPr>
            <w:tcW w:w="5386" w:type="dxa"/>
            <w:vAlign w:val="center"/>
          </w:tcPr>
          <w:p>
            <w:pPr>
              <w:pStyle w:val="12"/>
            </w:pPr>
            <w:r>
              <w:t>提交成果报告质量</w:t>
            </w:r>
          </w:p>
        </w:tc>
        <w:tc>
          <w:tcPr>
            <w:tcW w:w="2268" w:type="dxa"/>
            <w:vAlign w:val="center"/>
          </w:tcPr>
          <w:p>
            <w:pPr>
              <w:pStyle w:val="12"/>
            </w:pPr>
            <w:r>
              <w:t>≥93是否达到项目要求</w:t>
            </w:r>
          </w:p>
          <w:p>
            <w:pPr>
              <w:pStyle w:val="12"/>
            </w:pPr>
          </w:p>
        </w:tc>
        <w:tc>
          <w:tcPr>
            <w:tcW w:w="1276" w:type="dxa"/>
            <w:vAlign w:val="center"/>
          </w:tcPr>
          <w:p>
            <w:pPr>
              <w:pStyle w:val="12"/>
            </w:pPr>
            <w:r>
              <w:t>按要求提供报告</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≥94按计划时间节点</w:t>
            </w:r>
          </w:p>
          <w:p>
            <w:pPr>
              <w:pStyle w:val="12"/>
            </w:pPr>
          </w:p>
        </w:tc>
        <w:tc>
          <w:tcPr>
            <w:tcW w:w="1276" w:type="dxa"/>
            <w:vAlign w:val="center"/>
          </w:tcPr>
          <w:p>
            <w:pPr>
              <w:pStyle w:val="12"/>
            </w:pPr>
            <w:r>
              <w:t>按年度计划要求的时间</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5386" w:type="dxa"/>
            <w:vAlign w:val="center"/>
          </w:tcPr>
          <w:p>
            <w:pPr>
              <w:pStyle w:val="12"/>
            </w:pPr>
            <w:r>
              <w:t>按总成本控制</w:t>
            </w:r>
          </w:p>
        </w:tc>
        <w:tc>
          <w:tcPr>
            <w:tcW w:w="2268" w:type="dxa"/>
            <w:vAlign w:val="center"/>
          </w:tcPr>
          <w:p>
            <w:pPr>
              <w:pStyle w:val="12"/>
            </w:pPr>
            <w:r>
              <w:t>≥94决算数额</w:t>
            </w:r>
          </w:p>
          <w:p>
            <w:pPr>
              <w:pStyle w:val="12"/>
            </w:pPr>
          </w:p>
        </w:tc>
        <w:tc>
          <w:tcPr>
            <w:tcW w:w="1276" w:type="dxa"/>
            <w:vAlign w:val="center"/>
          </w:tcPr>
          <w:p>
            <w:pPr>
              <w:pStyle w:val="12"/>
            </w:pPr>
            <w:r>
              <w:t>是否严格按照决算数额</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办公经费节省数（万元）</w:t>
            </w:r>
          </w:p>
        </w:tc>
        <w:tc>
          <w:tcPr>
            <w:tcW w:w="5386" w:type="dxa"/>
            <w:vAlign w:val="center"/>
          </w:tcPr>
          <w:p>
            <w:pPr>
              <w:pStyle w:val="12"/>
            </w:pPr>
            <w:r>
              <w:t>办公经费节省数（万元）</w:t>
            </w:r>
          </w:p>
        </w:tc>
        <w:tc>
          <w:tcPr>
            <w:tcW w:w="2268" w:type="dxa"/>
            <w:vAlign w:val="center"/>
          </w:tcPr>
          <w:p>
            <w:pPr>
              <w:pStyle w:val="12"/>
            </w:pPr>
            <w:r>
              <w:t>≥93维护国家财政经济秩序</w:t>
            </w:r>
          </w:p>
          <w:p>
            <w:pPr>
              <w:pStyle w:val="12"/>
            </w:pPr>
          </w:p>
        </w:tc>
        <w:tc>
          <w:tcPr>
            <w:tcW w:w="1276" w:type="dxa"/>
            <w:vAlign w:val="center"/>
          </w:tcPr>
          <w:p>
            <w:pPr>
              <w:pStyle w:val="12"/>
            </w:pPr>
            <w:r>
              <w:t>按质保量完成审计任务</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业务保障能力</w:t>
            </w:r>
          </w:p>
        </w:tc>
        <w:tc>
          <w:tcPr>
            <w:tcW w:w="2268" w:type="dxa"/>
            <w:vAlign w:val="center"/>
          </w:tcPr>
          <w:p>
            <w:pPr>
              <w:pStyle w:val="12"/>
            </w:pPr>
            <w:r>
              <w:t>≥95提升财会工作人员水平</w:t>
            </w:r>
          </w:p>
          <w:p>
            <w:pPr>
              <w:pStyle w:val="12"/>
            </w:pPr>
          </w:p>
        </w:tc>
        <w:tc>
          <w:tcPr>
            <w:tcW w:w="1276" w:type="dxa"/>
            <w:vAlign w:val="center"/>
          </w:tcPr>
          <w:p>
            <w:pPr>
              <w:pStyle w:val="12"/>
            </w:pPr>
            <w:r>
              <w:t>是否提出整改意见</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挽回经济损失金额</w:t>
            </w:r>
          </w:p>
        </w:tc>
        <w:tc>
          <w:tcPr>
            <w:tcW w:w="5386" w:type="dxa"/>
            <w:vAlign w:val="center"/>
          </w:tcPr>
          <w:p>
            <w:pPr>
              <w:pStyle w:val="12"/>
            </w:pPr>
            <w:r>
              <w:t>反映查处案件所挽回的经济损失金额情况。</w:t>
            </w:r>
          </w:p>
        </w:tc>
        <w:tc>
          <w:tcPr>
            <w:tcW w:w="2268" w:type="dxa"/>
            <w:vAlign w:val="center"/>
          </w:tcPr>
          <w:p>
            <w:pPr>
              <w:pStyle w:val="12"/>
            </w:pPr>
            <w:r>
              <w:t>≥93按照时间要求完成</w:t>
            </w:r>
          </w:p>
          <w:p>
            <w:pPr>
              <w:pStyle w:val="12"/>
            </w:pPr>
          </w:p>
        </w:tc>
        <w:tc>
          <w:tcPr>
            <w:tcW w:w="1276" w:type="dxa"/>
            <w:vAlign w:val="center"/>
          </w:tcPr>
          <w:p>
            <w:pPr>
              <w:pStyle w:val="12"/>
            </w:pPr>
            <w:r>
              <w:t>是否按时完成</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≥95</w:t>
            </w:r>
          </w:p>
        </w:tc>
        <w:tc>
          <w:tcPr>
            <w:tcW w:w="1276" w:type="dxa"/>
            <w:vAlign w:val="center"/>
          </w:tcPr>
          <w:p>
            <w:pPr>
              <w:pStyle w:val="12"/>
            </w:pPr>
            <w:r>
              <w:t>出具整改报告率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≥95</w:t>
            </w:r>
          </w:p>
        </w:tc>
        <w:tc>
          <w:tcPr>
            <w:tcW w:w="1276" w:type="dxa"/>
            <w:vAlign w:val="center"/>
          </w:tcPr>
          <w:p>
            <w:pPr>
              <w:pStyle w:val="12"/>
            </w:pPr>
            <w:r>
              <w:t>积极配合完成审计</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2、提前下达2026年中央政法纪检监察转移支付资金（司法救助）绩效目标表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13013026P00007010002K</w:t>
            </w:r>
          </w:p>
        </w:tc>
        <w:tc>
          <w:tcPr>
            <w:tcW w:w="2835" w:type="dxa"/>
            <w:vAlign w:val="center"/>
          </w:tcPr>
          <w:p>
            <w:pPr>
              <w:pStyle w:val="10"/>
            </w:pPr>
            <w:r>
              <w:t>项目名称</w:t>
            </w:r>
          </w:p>
        </w:tc>
        <w:tc>
          <w:tcPr>
            <w:tcW w:w="6095" w:type="dxa"/>
            <w:gridSpan w:val="3"/>
            <w:vAlign w:val="center"/>
          </w:tcPr>
          <w:p>
            <w:pPr>
              <w:pStyle w:val="12"/>
            </w:pPr>
            <w:r>
              <w:t>提前下达2026年中央政法纪检监察转移支付资金（司法救助）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提前下达中央政法纪检监察转移支付资金（司法救助）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8.00</w:t>
            </w:r>
          </w:p>
        </w:tc>
        <w:tc>
          <w:tcPr>
            <w:tcW w:w="3544"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1.提前下达2026年中央政法纪检监察转移支付资金（司法救助）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项目完成情况</w:t>
            </w:r>
          </w:p>
        </w:tc>
        <w:tc>
          <w:tcPr>
            <w:tcW w:w="5386" w:type="dxa"/>
            <w:vAlign w:val="center"/>
          </w:tcPr>
          <w:p>
            <w:pPr>
              <w:pStyle w:val="12"/>
            </w:pPr>
            <w:r>
              <w:t>项目完成情况</w:t>
            </w:r>
          </w:p>
        </w:tc>
        <w:tc>
          <w:tcPr>
            <w:tcW w:w="2268" w:type="dxa"/>
            <w:vAlign w:val="center"/>
          </w:tcPr>
          <w:p>
            <w:pPr>
              <w:pStyle w:val="12"/>
            </w:pPr>
            <w:r>
              <w:t>≥93是否完成年度计划</w:t>
            </w:r>
          </w:p>
        </w:tc>
        <w:tc>
          <w:tcPr>
            <w:tcW w:w="1276" w:type="dxa"/>
            <w:vAlign w:val="center"/>
          </w:tcPr>
          <w:p>
            <w:pPr>
              <w:pStyle w:val="12"/>
            </w:pPr>
            <w:r>
              <w:t>年度总结</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提交成果报告质量</w:t>
            </w:r>
          </w:p>
        </w:tc>
        <w:tc>
          <w:tcPr>
            <w:tcW w:w="5386" w:type="dxa"/>
            <w:vAlign w:val="center"/>
          </w:tcPr>
          <w:p>
            <w:pPr>
              <w:pStyle w:val="12"/>
            </w:pPr>
            <w:r>
              <w:t>提交成果报告质量</w:t>
            </w:r>
          </w:p>
        </w:tc>
        <w:tc>
          <w:tcPr>
            <w:tcW w:w="2268" w:type="dxa"/>
            <w:vAlign w:val="center"/>
          </w:tcPr>
          <w:p>
            <w:pPr>
              <w:pStyle w:val="12"/>
            </w:pPr>
            <w:r>
              <w:t>≥95是否达到项目要求</w:t>
            </w:r>
          </w:p>
        </w:tc>
        <w:tc>
          <w:tcPr>
            <w:tcW w:w="1276" w:type="dxa"/>
            <w:vAlign w:val="center"/>
          </w:tcPr>
          <w:p>
            <w:pPr>
              <w:pStyle w:val="12"/>
            </w:pPr>
            <w:r>
              <w:t>按要求提供报告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≥94按计划时间节点</w:t>
            </w:r>
          </w:p>
        </w:tc>
        <w:tc>
          <w:tcPr>
            <w:tcW w:w="1276" w:type="dxa"/>
            <w:vAlign w:val="center"/>
          </w:tcPr>
          <w:p>
            <w:pPr>
              <w:pStyle w:val="12"/>
            </w:pPr>
            <w:r>
              <w:t>按年度计划要求的时间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w:t>
            </w:r>
          </w:p>
        </w:tc>
        <w:tc>
          <w:tcPr>
            <w:tcW w:w="5386" w:type="dxa"/>
            <w:vAlign w:val="center"/>
          </w:tcPr>
          <w:p>
            <w:pPr>
              <w:pStyle w:val="12"/>
            </w:pPr>
            <w:r>
              <w:t>总成本控制</w:t>
            </w:r>
          </w:p>
        </w:tc>
        <w:tc>
          <w:tcPr>
            <w:tcW w:w="2268" w:type="dxa"/>
            <w:vAlign w:val="center"/>
          </w:tcPr>
          <w:p>
            <w:pPr>
              <w:pStyle w:val="12"/>
            </w:pPr>
            <w:r>
              <w:t>≥93决算数额</w:t>
            </w:r>
          </w:p>
        </w:tc>
        <w:tc>
          <w:tcPr>
            <w:tcW w:w="1276" w:type="dxa"/>
            <w:vAlign w:val="center"/>
          </w:tcPr>
          <w:p>
            <w:pPr>
              <w:pStyle w:val="12"/>
            </w:pPr>
            <w:r>
              <w:t>是否严格按照决算数额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办公经费、专用材料费</w:t>
            </w:r>
          </w:p>
        </w:tc>
        <w:tc>
          <w:tcPr>
            <w:tcW w:w="5386" w:type="dxa"/>
            <w:vAlign w:val="center"/>
          </w:tcPr>
          <w:p>
            <w:pPr>
              <w:pStyle w:val="12"/>
            </w:pPr>
            <w:r>
              <w:t>办公经费、专用材料费</w:t>
            </w:r>
          </w:p>
        </w:tc>
        <w:tc>
          <w:tcPr>
            <w:tcW w:w="2268" w:type="dxa"/>
            <w:vAlign w:val="center"/>
          </w:tcPr>
          <w:p>
            <w:pPr>
              <w:pStyle w:val="12"/>
            </w:pPr>
            <w:r>
              <w:t>≥95维护国家财政经济秩序</w:t>
            </w:r>
          </w:p>
        </w:tc>
        <w:tc>
          <w:tcPr>
            <w:tcW w:w="1276" w:type="dxa"/>
            <w:vAlign w:val="center"/>
          </w:tcPr>
          <w:p>
            <w:pPr>
              <w:pStyle w:val="12"/>
            </w:pPr>
            <w:r>
              <w:t>按质保量完成审计任务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业务保障能力提升情况</w:t>
            </w:r>
          </w:p>
        </w:tc>
        <w:tc>
          <w:tcPr>
            <w:tcW w:w="5386" w:type="dxa"/>
            <w:vAlign w:val="center"/>
          </w:tcPr>
          <w:p>
            <w:pPr>
              <w:pStyle w:val="12"/>
            </w:pPr>
            <w:r>
              <w:t>业务保障能力提升情况</w:t>
            </w:r>
          </w:p>
        </w:tc>
        <w:tc>
          <w:tcPr>
            <w:tcW w:w="2268" w:type="dxa"/>
            <w:vAlign w:val="center"/>
          </w:tcPr>
          <w:p>
            <w:pPr>
              <w:pStyle w:val="12"/>
            </w:pPr>
            <w:r>
              <w:t>≥95提升财会工作人员水平</w:t>
            </w:r>
          </w:p>
        </w:tc>
        <w:tc>
          <w:tcPr>
            <w:tcW w:w="1276" w:type="dxa"/>
            <w:vAlign w:val="center"/>
          </w:tcPr>
          <w:p>
            <w:pPr>
              <w:pStyle w:val="12"/>
            </w:pPr>
            <w:r>
              <w:t>是否提出整改意见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落实整改报告整改情况</w:t>
            </w:r>
          </w:p>
        </w:tc>
        <w:tc>
          <w:tcPr>
            <w:tcW w:w="5386" w:type="dxa"/>
            <w:vAlign w:val="center"/>
          </w:tcPr>
          <w:p>
            <w:pPr>
              <w:pStyle w:val="12"/>
            </w:pPr>
            <w:r>
              <w:t>落实整改报告整改情况</w:t>
            </w:r>
          </w:p>
        </w:tc>
        <w:tc>
          <w:tcPr>
            <w:tcW w:w="2268" w:type="dxa"/>
            <w:vAlign w:val="center"/>
          </w:tcPr>
          <w:p>
            <w:pPr>
              <w:pStyle w:val="12"/>
            </w:pPr>
            <w:r>
              <w:t>≥94按照时间要求完成</w:t>
            </w:r>
          </w:p>
        </w:tc>
        <w:tc>
          <w:tcPr>
            <w:tcW w:w="1276" w:type="dxa"/>
            <w:vAlign w:val="center"/>
          </w:tcPr>
          <w:p>
            <w:pPr>
              <w:pStyle w:val="12"/>
            </w:pPr>
            <w:r>
              <w:t>是否按时完成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指出从业人员业务盲点</w:t>
            </w:r>
          </w:p>
        </w:tc>
        <w:tc>
          <w:tcPr>
            <w:tcW w:w="5386" w:type="dxa"/>
            <w:vAlign w:val="center"/>
          </w:tcPr>
          <w:p>
            <w:pPr>
              <w:pStyle w:val="12"/>
            </w:pPr>
            <w:r>
              <w:t>指出从业人员业务盲点</w:t>
            </w:r>
          </w:p>
        </w:tc>
        <w:tc>
          <w:tcPr>
            <w:tcW w:w="2268" w:type="dxa"/>
            <w:vAlign w:val="center"/>
          </w:tcPr>
          <w:p>
            <w:pPr>
              <w:pStyle w:val="12"/>
            </w:pPr>
            <w:r>
              <w:t>≥93</w:t>
            </w:r>
          </w:p>
        </w:tc>
        <w:tc>
          <w:tcPr>
            <w:tcW w:w="1276" w:type="dxa"/>
            <w:vAlign w:val="center"/>
          </w:tcPr>
          <w:p>
            <w:pPr>
              <w:pStyle w:val="12"/>
            </w:pPr>
            <w:r>
              <w:t>出具整改报告率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积极配合完成审计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3、网格员经费绩效目标表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13013026P00006610042X</w:t>
            </w:r>
          </w:p>
        </w:tc>
        <w:tc>
          <w:tcPr>
            <w:tcW w:w="2835" w:type="dxa"/>
            <w:vAlign w:val="center"/>
          </w:tcPr>
          <w:p>
            <w:pPr>
              <w:pStyle w:val="10"/>
            </w:pPr>
            <w:r>
              <w:t>项目名称</w:t>
            </w:r>
          </w:p>
        </w:tc>
        <w:tc>
          <w:tcPr>
            <w:tcW w:w="6095" w:type="dxa"/>
            <w:gridSpan w:val="3"/>
            <w:vAlign w:val="center"/>
          </w:tcPr>
          <w:p>
            <w:pPr>
              <w:pStyle w:val="12"/>
            </w:pPr>
            <w:r>
              <w:t>网格员经费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27.30</w:t>
            </w:r>
          </w:p>
        </w:tc>
        <w:tc>
          <w:tcPr>
            <w:tcW w:w="2835" w:type="dxa"/>
            <w:vAlign w:val="center"/>
          </w:tcPr>
          <w:p>
            <w:pPr>
              <w:pStyle w:val="10"/>
            </w:pPr>
            <w:r>
              <w:t>其中：财政    资金</w:t>
            </w:r>
          </w:p>
        </w:tc>
        <w:tc>
          <w:tcPr>
            <w:tcW w:w="2551" w:type="dxa"/>
            <w:vAlign w:val="center"/>
          </w:tcPr>
          <w:p>
            <w:pPr>
              <w:pStyle w:val="12"/>
            </w:pPr>
            <w:r>
              <w:t>27.30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网格员经费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7.00</w:t>
            </w:r>
          </w:p>
        </w:tc>
        <w:tc>
          <w:tcPr>
            <w:tcW w:w="2835" w:type="dxa"/>
            <w:vAlign w:val="center"/>
          </w:tcPr>
          <w:p>
            <w:pPr>
              <w:pStyle w:val="13"/>
            </w:pPr>
            <w:r>
              <w:t>14.00</w:t>
            </w:r>
          </w:p>
        </w:tc>
        <w:tc>
          <w:tcPr>
            <w:tcW w:w="2551" w:type="dxa"/>
            <w:vAlign w:val="center"/>
          </w:tcPr>
          <w:p>
            <w:pPr>
              <w:pStyle w:val="13"/>
            </w:pPr>
            <w:r>
              <w:t>21.00</w:t>
            </w:r>
          </w:p>
        </w:tc>
        <w:tc>
          <w:tcPr>
            <w:tcW w:w="3544" w:type="dxa"/>
            <w:gridSpan w:val="2"/>
            <w:vAlign w:val="center"/>
          </w:tcPr>
          <w:p>
            <w:pPr>
              <w:pStyle w:val="13"/>
            </w:pPr>
            <w:r>
              <w:t>27.00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1.政法委2026年网格员经费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排查整治治安问题和安全隐患数量</w:t>
            </w:r>
          </w:p>
        </w:tc>
        <w:tc>
          <w:tcPr>
            <w:tcW w:w="5386" w:type="dxa"/>
            <w:vAlign w:val="center"/>
          </w:tcPr>
          <w:p>
            <w:pPr>
              <w:pStyle w:val="12"/>
            </w:pPr>
            <w:r>
              <w:t>排查整治治安问题和安全隐患数量</w:t>
            </w:r>
          </w:p>
        </w:tc>
        <w:tc>
          <w:tcPr>
            <w:tcW w:w="2268" w:type="dxa"/>
            <w:vAlign w:val="center"/>
          </w:tcPr>
          <w:p>
            <w:pPr>
              <w:pStyle w:val="12"/>
            </w:pPr>
            <w:r>
              <w:t>≥93是否完成年度计划</w:t>
            </w:r>
          </w:p>
          <w:p>
            <w:pPr>
              <w:pStyle w:val="12"/>
            </w:pPr>
          </w:p>
        </w:tc>
        <w:tc>
          <w:tcPr>
            <w:tcW w:w="1276" w:type="dxa"/>
            <w:vAlign w:val="center"/>
          </w:tcPr>
          <w:p>
            <w:pPr>
              <w:pStyle w:val="12"/>
            </w:pPr>
            <w:r>
              <w:t>年度总结</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突发事件处置及时率</w:t>
            </w:r>
          </w:p>
        </w:tc>
        <w:tc>
          <w:tcPr>
            <w:tcW w:w="5386" w:type="dxa"/>
            <w:vAlign w:val="center"/>
          </w:tcPr>
          <w:p>
            <w:pPr>
              <w:pStyle w:val="12"/>
            </w:pPr>
            <w:r>
              <w:t>突发事件处置及时率</w:t>
            </w:r>
          </w:p>
        </w:tc>
        <w:tc>
          <w:tcPr>
            <w:tcW w:w="2268" w:type="dxa"/>
            <w:vAlign w:val="center"/>
          </w:tcPr>
          <w:p>
            <w:pPr>
              <w:pStyle w:val="12"/>
            </w:pPr>
            <w:r>
              <w:t>≥95是否达到项目要求</w:t>
            </w:r>
          </w:p>
        </w:tc>
        <w:tc>
          <w:tcPr>
            <w:tcW w:w="1276" w:type="dxa"/>
            <w:vAlign w:val="center"/>
          </w:tcPr>
          <w:p>
            <w:pPr>
              <w:pStyle w:val="12"/>
            </w:pPr>
            <w:r>
              <w:t>按要求提供报告</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p>
            <w:pPr>
              <w:pStyle w:val="12"/>
            </w:pPr>
          </w:p>
        </w:tc>
        <w:tc>
          <w:tcPr>
            <w:tcW w:w="5386" w:type="dxa"/>
            <w:vAlign w:val="center"/>
          </w:tcPr>
          <w:p>
            <w:pPr>
              <w:pStyle w:val="12"/>
            </w:pPr>
            <w:r>
              <w:t>项目完成时间</w:t>
            </w:r>
          </w:p>
          <w:p>
            <w:pPr>
              <w:pStyle w:val="12"/>
            </w:pPr>
          </w:p>
        </w:tc>
        <w:tc>
          <w:tcPr>
            <w:tcW w:w="2268" w:type="dxa"/>
            <w:vAlign w:val="center"/>
          </w:tcPr>
          <w:p>
            <w:pPr>
              <w:pStyle w:val="12"/>
            </w:pPr>
            <w:r>
              <w:t>&gt;93按计划时间节点</w:t>
            </w:r>
          </w:p>
        </w:tc>
        <w:tc>
          <w:tcPr>
            <w:tcW w:w="1276" w:type="dxa"/>
            <w:vAlign w:val="center"/>
          </w:tcPr>
          <w:p>
            <w:pPr>
              <w:pStyle w:val="12"/>
            </w:pPr>
            <w:r>
              <w:t>是否达到项目要求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2268" w:type="dxa"/>
            <w:vAlign w:val="center"/>
          </w:tcPr>
          <w:p>
            <w:pPr>
              <w:pStyle w:val="12"/>
            </w:pPr>
            <w:r>
              <w:t>≥95决算数额</w:t>
            </w:r>
          </w:p>
          <w:p>
            <w:pPr>
              <w:pStyle w:val="12"/>
            </w:pPr>
          </w:p>
        </w:tc>
        <w:tc>
          <w:tcPr>
            <w:tcW w:w="1276" w:type="dxa"/>
            <w:vAlign w:val="center"/>
          </w:tcPr>
          <w:p>
            <w:pPr>
              <w:pStyle w:val="12"/>
            </w:pPr>
            <w:r>
              <w:t>是否严格按照决算数额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≥95维护国家财政经济秩序</w:t>
            </w:r>
          </w:p>
          <w:p>
            <w:pPr>
              <w:pStyle w:val="12"/>
            </w:pPr>
          </w:p>
        </w:tc>
        <w:tc>
          <w:tcPr>
            <w:tcW w:w="1276" w:type="dxa"/>
            <w:vAlign w:val="center"/>
          </w:tcPr>
          <w:p>
            <w:pPr>
              <w:pStyle w:val="12"/>
            </w:pPr>
            <w:r>
              <w:t>按质保量完成审计任务</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受益总人数</w:t>
            </w:r>
          </w:p>
        </w:tc>
        <w:tc>
          <w:tcPr>
            <w:tcW w:w="5386" w:type="dxa"/>
            <w:vAlign w:val="center"/>
          </w:tcPr>
          <w:p>
            <w:pPr>
              <w:pStyle w:val="12"/>
            </w:pPr>
            <w:r>
              <w:t>受益总人数</w:t>
            </w:r>
          </w:p>
        </w:tc>
        <w:tc>
          <w:tcPr>
            <w:tcW w:w="2268" w:type="dxa"/>
            <w:vAlign w:val="center"/>
          </w:tcPr>
          <w:p>
            <w:pPr>
              <w:pStyle w:val="12"/>
            </w:pPr>
            <w:r>
              <w:t>≥94提升财会工作人员水平</w:t>
            </w:r>
          </w:p>
          <w:p>
            <w:pPr>
              <w:pStyle w:val="12"/>
            </w:pPr>
          </w:p>
        </w:tc>
        <w:tc>
          <w:tcPr>
            <w:tcW w:w="1276" w:type="dxa"/>
            <w:vAlign w:val="center"/>
          </w:tcPr>
          <w:p>
            <w:pPr>
              <w:pStyle w:val="12"/>
            </w:pPr>
            <w:r>
              <w:t>是否提出整改意见</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项目实施对环境的影响</w:t>
            </w:r>
          </w:p>
        </w:tc>
        <w:tc>
          <w:tcPr>
            <w:tcW w:w="5386" w:type="dxa"/>
            <w:vAlign w:val="center"/>
          </w:tcPr>
          <w:p>
            <w:pPr>
              <w:pStyle w:val="12"/>
            </w:pPr>
            <w:r>
              <w:t>项目实施对环境的影响</w:t>
            </w:r>
          </w:p>
        </w:tc>
        <w:tc>
          <w:tcPr>
            <w:tcW w:w="2268" w:type="dxa"/>
            <w:vAlign w:val="center"/>
          </w:tcPr>
          <w:p>
            <w:pPr>
              <w:pStyle w:val="12"/>
            </w:pPr>
            <w:r>
              <w:t>≥93按照时间要求完成</w:t>
            </w:r>
          </w:p>
          <w:p>
            <w:pPr>
              <w:pStyle w:val="12"/>
            </w:pPr>
          </w:p>
        </w:tc>
        <w:tc>
          <w:tcPr>
            <w:tcW w:w="1276" w:type="dxa"/>
            <w:vAlign w:val="center"/>
          </w:tcPr>
          <w:p>
            <w:pPr>
              <w:pStyle w:val="12"/>
            </w:pPr>
            <w:r>
              <w:t>是否按时完成</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各项工作任务按时完成率</w:t>
            </w:r>
          </w:p>
        </w:tc>
        <w:tc>
          <w:tcPr>
            <w:tcW w:w="5386" w:type="dxa"/>
            <w:vAlign w:val="center"/>
          </w:tcPr>
          <w:p>
            <w:pPr>
              <w:pStyle w:val="12"/>
            </w:pPr>
            <w:r>
              <w:t>各项工作任务按时完成率</w:t>
            </w:r>
          </w:p>
        </w:tc>
        <w:tc>
          <w:tcPr>
            <w:tcW w:w="2268" w:type="dxa"/>
            <w:vAlign w:val="center"/>
          </w:tcPr>
          <w:p>
            <w:pPr>
              <w:pStyle w:val="12"/>
            </w:pPr>
            <w:r>
              <w:t>≥92</w:t>
            </w:r>
          </w:p>
        </w:tc>
        <w:tc>
          <w:tcPr>
            <w:tcW w:w="1276" w:type="dxa"/>
            <w:vAlign w:val="center"/>
          </w:tcPr>
          <w:p>
            <w:pPr>
              <w:pStyle w:val="12"/>
            </w:pPr>
            <w:r>
              <w:t>出具整改报告率</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≥95</w:t>
            </w:r>
          </w:p>
        </w:tc>
        <w:tc>
          <w:tcPr>
            <w:tcW w:w="1276" w:type="dxa"/>
            <w:vAlign w:val="center"/>
          </w:tcPr>
          <w:p>
            <w:pPr>
              <w:pStyle w:val="12"/>
            </w:pPr>
            <w:r>
              <w:t>积极配合完成审计</w:t>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中国共产党无极县委员会政法委本级上年末固定资产金额为0.00万元（详见下表）。本年度拟购置固定资产总额为0.00万元，已按要求列入政府采购预算，详见政府采购预算表。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216001中国共产党无极县委员会政法委本级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3D343E"/>
    <w:rsid w:val="771375F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2026-02-25T16:02:00Z</dcterms:created>
  <dc:creator>Administrator</dc:creator>
  <cp:lastModifiedBy>李润泽</cp:lastModifiedBy>
  <dcterms:modified xsi:type="dcterms:W3CDTF">2026-03-02T06:12:33Z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E9D22D4D37BA4A9390C228AB44D263E8</vt:lpwstr>
  </property>
</Properties>
</file>