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333.56</w:t>
            </w:r>
          </w:p>
        </w:tc>
        <w:tc>
          <w:tcPr>
            <w:tcW w:w="4535" w:type="dxa"/>
            <w:vAlign w:val="center"/>
          </w:tcPr>
          <w:p>
            <w:pPr>
              <w:pStyle w:val="13"/>
            </w:pPr>
            <w:r>
              <w:t>一、一般公共服务支出</w:t>
            </w:r>
          </w:p>
        </w:tc>
        <w:tc>
          <w:tcPr>
            <w:tcW w:w="2126" w:type="dxa"/>
            <w:vAlign w:val="center"/>
          </w:tcPr>
          <w:p>
            <w:pPr>
              <w:pStyle w:val="12"/>
            </w:pPr>
            <w:r>
              <w:t>266.86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333.56</w:t>
            </w:r>
          </w:p>
        </w:tc>
        <w:tc>
          <w:tcPr>
            <w:tcW w:w="4535" w:type="dxa"/>
            <w:vAlign w:val="center"/>
          </w:tcPr>
          <w:p>
            <w:pPr>
              <w:pStyle w:val="15"/>
            </w:pPr>
            <w:r>
              <w:t>本年支出合计</w:t>
            </w:r>
          </w:p>
        </w:tc>
        <w:tc>
          <w:tcPr>
            <w:tcW w:w="2126" w:type="dxa"/>
            <w:vAlign w:val="center"/>
          </w:tcPr>
          <w:p>
            <w:pPr>
              <w:pStyle w:val="16"/>
            </w:pPr>
            <w:r>
              <w:t>333.56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333.56</w:t>
            </w:r>
          </w:p>
        </w:tc>
        <w:tc>
          <w:tcPr>
            <w:tcW w:w="4535" w:type="dxa"/>
            <w:vAlign w:val="center"/>
          </w:tcPr>
          <w:p>
            <w:pPr>
              <w:pStyle w:val="15"/>
            </w:pPr>
            <w:r>
              <w:t>支出总计</w:t>
            </w:r>
          </w:p>
        </w:tc>
        <w:tc>
          <w:tcPr>
            <w:tcW w:w="2126" w:type="dxa"/>
            <w:vAlign w:val="center"/>
          </w:tcPr>
          <w:p>
            <w:pPr>
              <w:pStyle w:val="16"/>
            </w:pPr>
            <w:r>
              <w:t>333.56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333.56</w:t>
            </w:r>
          </w:p>
        </w:tc>
        <w:tc>
          <w:tcPr>
            <w:tcW w:w="1134" w:type="dxa"/>
            <w:vAlign w:val="center"/>
          </w:tcPr>
          <w:p>
            <w:pPr>
              <w:pStyle w:val="16"/>
            </w:pPr>
            <w:r>
              <w:t>333.56</w:t>
            </w:r>
          </w:p>
        </w:tc>
        <w:tc>
          <w:tcPr>
            <w:tcW w:w="1134" w:type="dxa"/>
            <w:vAlign w:val="center"/>
          </w:tcPr>
          <w:p>
            <w:pPr>
              <w:pStyle w:val="16"/>
            </w:pPr>
            <w:r>
              <w:t>333.56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266.86</w:t>
            </w:r>
          </w:p>
        </w:tc>
        <w:tc>
          <w:tcPr>
            <w:tcW w:w="1134" w:type="dxa"/>
            <w:vAlign w:val="center"/>
          </w:tcPr>
          <w:p>
            <w:pPr>
              <w:pStyle w:val="12"/>
            </w:pPr>
            <w:r>
              <w:t>266.86</w:t>
            </w:r>
          </w:p>
        </w:tc>
        <w:tc>
          <w:tcPr>
            <w:tcW w:w="1134" w:type="dxa"/>
            <w:vAlign w:val="center"/>
          </w:tcPr>
          <w:p>
            <w:pPr>
              <w:pStyle w:val="12"/>
            </w:pPr>
            <w:r>
              <w:t>266.86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27.30</w:t>
            </w:r>
          </w:p>
        </w:tc>
        <w:tc>
          <w:tcPr>
            <w:tcW w:w="1134" w:type="dxa"/>
            <w:vAlign w:val="center"/>
          </w:tcPr>
          <w:p>
            <w:pPr>
              <w:pStyle w:val="12"/>
            </w:pPr>
            <w:r>
              <w:t>27.30</w:t>
            </w:r>
          </w:p>
        </w:tc>
        <w:tc>
          <w:tcPr>
            <w:tcW w:w="1134" w:type="dxa"/>
            <w:vAlign w:val="center"/>
          </w:tcPr>
          <w:p>
            <w:pPr>
              <w:pStyle w:val="12"/>
            </w:pPr>
            <w:r>
              <w:t>27.30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27.30</w:t>
            </w:r>
          </w:p>
        </w:tc>
        <w:tc>
          <w:tcPr>
            <w:tcW w:w="1134" w:type="dxa"/>
            <w:vAlign w:val="center"/>
          </w:tcPr>
          <w:p>
            <w:pPr>
              <w:pStyle w:val="12"/>
            </w:pPr>
            <w:r>
              <w:t>27.30</w:t>
            </w:r>
          </w:p>
        </w:tc>
        <w:tc>
          <w:tcPr>
            <w:tcW w:w="1134" w:type="dxa"/>
            <w:vAlign w:val="center"/>
          </w:tcPr>
          <w:p>
            <w:pPr>
              <w:pStyle w:val="12"/>
            </w:pPr>
            <w:r>
              <w:t>27.30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239.56</w:t>
            </w:r>
          </w:p>
        </w:tc>
        <w:tc>
          <w:tcPr>
            <w:tcW w:w="1134" w:type="dxa"/>
            <w:vAlign w:val="center"/>
          </w:tcPr>
          <w:p>
            <w:pPr>
              <w:pStyle w:val="12"/>
            </w:pPr>
            <w:r>
              <w:t>239.56</w:t>
            </w:r>
          </w:p>
        </w:tc>
        <w:tc>
          <w:tcPr>
            <w:tcW w:w="1134" w:type="dxa"/>
            <w:vAlign w:val="center"/>
          </w:tcPr>
          <w:p>
            <w:pPr>
              <w:pStyle w:val="12"/>
            </w:pPr>
            <w:r>
              <w:t>239.56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239.56</w:t>
            </w:r>
          </w:p>
        </w:tc>
        <w:tc>
          <w:tcPr>
            <w:tcW w:w="1134" w:type="dxa"/>
            <w:vAlign w:val="center"/>
          </w:tcPr>
          <w:p>
            <w:pPr>
              <w:pStyle w:val="12"/>
            </w:pPr>
            <w:r>
              <w:t>239.56</w:t>
            </w:r>
          </w:p>
        </w:tc>
        <w:tc>
          <w:tcPr>
            <w:tcW w:w="1134" w:type="dxa"/>
            <w:vAlign w:val="center"/>
          </w:tcPr>
          <w:p>
            <w:pPr>
              <w:pStyle w:val="12"/>
            </w:pPr>
            <w:r>
              <w:t>239.56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20499</w:t>
            </w:r>
          </w:p>
        </w:tc>
        <w:tc>
          <w:tcPr>
            <w:tcW w:w="1559" w:type="dxa"/>
            <w:vAlign w:val="center"/>
          </w:tcPr>
          <w:p>
            <w:pPr>
              <w:pStyle w:val="13"/>
            </w:pPr>
            <w:r>
              <w:t>其他公共安全支出</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2049999</w:t>
            </w:r>
          </w:p>
        </w:tc>
        <w:tc>
          <w:tcPr>
            <w:tcW w:w="1559" w:type="dxa"/>
            <w:vAlign w:val="center"/>
          </w:tcPr>
          <w:p>
            <w:pPr>
              <w:pStyle w:val="13"/>
            </w:pPr>
            <w:r>
              <w:t>其他公共安全支出</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9.70</w:t>
            </w:r>
          </w:p>
        </w:tc>
        <w:tc>
          <w:tcPr>
            <w:tcW w:w="1134" w:type="dxa"/>
            <w:vAlign w:val="center"/>
          </w:tcPr>
          <w:p>
            <w:pPr>
              <w:pStyle w:val="12"/>
            </w:pPr>
            <w:r>
              <w:t>9.70</w:t>
            </w:r>
          </w:p>
        </w:tc>
        <w:tc>
          <w:tcPr>
            <w:tcW w:w="1134" w:type="dxa"/>
            <w:vAlign w:val="center"/>
          </w:tcPr>
          <w:p>
            <w:pPr>
              <w:pStyle w:val="12"/>
            </w:pPr>
            <w:r>
              <w:t>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9.70</w:t>
            </w:r>
          </w:p>
        </w:tc>
        <w:tc>
          <w:tcPr>
            <w:tcW w:w="1134" w:type="dxa"/>
            <w:vAlign w:val="center"/>
          </w:tcPr>
          <w:p>
            <w:pPr>
              <w:pStyle w:val="12"/>
            </w:pPr>
            <w:r>
              <w:t>9.70</w:t>
            </w:r>
          </w:p>
        </w:tc>
        <w:tc>
          <w:tcPr>
            <w:tcW w:w="1134" w:type="dxa"/>
            <w:vAlign w:val="center"/>
          </w:tcPr>
          <w:p>
            <w:pPr>
              <w:pStyle w:val="12"/>
            </w:pPr>
            <w:r>
              <w:t>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9.70</w:t>
            </w:r>
          </w:p>
        </w:tc>
        <w:tc>
          <w:tcPr>
            <w:tcW w:w="1134" w:type="dxa"/>
            <w:vAlign w:val="center"/>
          </w:tcPr>
          <w:p>
            <w:pPr>
              <w:pStyle w:val="12"/>
            </w:pPr>
            <w:r>
              <w:t>9.70</w:t>
            </w:r>
          </w:p>
        </w:tc>
        <w:tc>
          <w:tcPr>
            <w:tcW w:w="1134" w:type="dxa"/>
            <w:vAlign w:val="center"/>
          </w:tcPr>
          <w:p>
            <w:pPr>
              <w:pStyle w:val="12"/>
            </w:pPr>
            <w:r>
              <w:t>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333.56</w:t>
            </w:r>
          </w:p>
        </w:tc>
        <w:tc>
          <w:tcPr>
            <w:tcW w:w="1361" w:type="dxa"/>
            <w:vAlign w:val="center"/>
          </w:tcPr>
          <w:p>
            <w:pPr>
              <w:pStyle w:val="16"/>
            </w:pPr>
            <w:r>
              <w:t>275.26</w:t>
            </w:r>
          </w:p>
        </w:tc>
        <w:tc>
          <w:tcPr>
            <w:tcW w:w="1361" w:type="dxa"/>
            <w:vAlign w:val="center"/>
          </w:tcPr>
          <w:p>
            <w:pPr>
              <w:pStyle w:val="16"/>
            </w:pPr>
            <w:r>
              <w:t>58.30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266.86</w:t>
            </w:r>
          </w:p>
        </w:tc>
        <w:tc>
          <w:tcPr>
            <w:tcW w:w="1361" w:type="dxa"/>
            <w:vAlign w:val="center"/>
          </w:tcPr>
          <w:p>
            <w:pPr>
              <w:pStyle w:val="12"/>
            </w:pPr>
            <w:r>
              <w:t>239.56</w:t>
            </w:r>
          </w:p>
        </w:tc>
        <w:tc>
          <w:tcPr>
            <w:tcW w:w="1361" w:type="dxa"/>
            <w:vAlign w:val="center"/>
          </w:tcPr>
          <w:p>
            <w:pPr>
              <w:pStyle w:val="12"/>
            </w:pPr>
            <w:r>
              <w:t>27.30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27.30</w:t>
            </w:r>
          </w:p>
        </w:tc>
        <w:tc>
          <w:tcPr>
            <w:tcW w:w="1361" w:type="dxa"/>
            <w:vAlign w:val="center"/>
          </w:tcPr>
          <w:p>
            <w:pPr>
              <w:pStyle w:val="12"/>
            </w:pPr>
          </w:p>
        </w:tc>
        <w:tc>
          <w:tcPr>
            <w:tcW w:w="1361" w:type="dxa"/>
            <w:vAlign w:val="center"/>
          </w:tcPr>
          <w:p>
            <w:pPr>
              <w:pStyle w:val="12"/>
            </w:pPr>
            <w:r>
              <w:t>27.30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27.30</w:t>
            </w:r>
          </w:p>
        </w:tc>
        <w:tc>
          <w:tcPr>
            <w:tcW w:w="1361" w:type="dxa"/>
            <w:vAlign w:val="center"/>
          </w:tcPr>
          <w:p>
            <w:pPr>
              <w:pStyle w:val="12"/>
            </w:pPr>
          </w:p>
        </w:tc>
        <w:tc>
          <w:tcPr>
            <w:tcW w:w="1361" w:type="dxa"/>
            <w:vAlign w:val="center"/>
          </w:tcPr>
          <w:p>
            <w:pPr>
              <w:pStyle w:val="12"/>
            </w:pPr>
            <w:r>
              <w:t>27.30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239.56</w:t>
            </w:r>
          </w:p>
        </w:tc>
        <w:tc>
          <w:tcPr>
            <w:tcW w:w="1361" w:type="dxa"/>
            <w:vAlign w:val="center"/>
          </w:tcPr>
          <w:p>
            <w:pPr>
              <w:pStyle w:val="12"/>
            </w:pPr>
            <w:r>
              <w:t>239.56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239.56</w:t>
            </w:r>
          </w:p>
        </w:tc>
        <w:tc>
          <w:tcPr>
            <w:tcW w:w="1361" w:type="dxa"/>
            <w:vAlign w:val="center"/>
          </w:tcPr>
          <w:p>
            <w:pPr>
              <w:pStyle w:val="12"/>
            </w:pPr>
            <w:r>
              <w:t>239.56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20499</w:t>
            </w:r>
          </w:p>
        </w:tc>
        <w:tc>
          <w:tcPr>
            <w:tcW w:w="4535" w:type="dxa"/>
            <w:vAlign w:val="center"/>
          </w:tcPr>
          <w:p>
            <w:pPr>
              <w:pStyle w:val="13"/>
            </w:pPr>
            <w:r>
              <w:t>其他公共安全支出</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2049999</w:t>
            </w:r>
          </w:p>
        </w:tc>
        <w:tc>
          <w:tcPr>
            <w:tcW w:w="4535" w:type="dxa"/>
            <w:vAlign w:val="center"/>
          </w:tcPr>
          <w:p>
            <w:pPr>
              <w:pStyle w:val="13"/>
            </w:pPr>
            <w:r>
              <w:t>其他公共安全支出</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9.70</w:t>
            </w:r>
          </w:p>
        </w:tc>
        <w:tc>
          <w:tcPr>
            <w:tcW w:w="1361" w:type="dxa"/>
            <w:vAlign w:val="center"/>
          </w:tcPr>
          <w:p>
            <w:pPr>
              <w:pStyle w:val="12"/>
            </w:pPr>
            <w:r>
              <w:t>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9.70</w:t>
            </w:r>
          </w:p>
        </w:tc>
        <w:tc>
          <w:tcPr>
            <w:tcW w:w="1361" w:type="dxa"/>
            <w:vAlign w:val="center"/>
          </w:tcPr>
          <w:p>
            <w:pPr>
              <w:pStyle w:val="12"/>
            </w:pPr>
            <w:r>
              <w:t>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9.70</w:t>
            </w:r>
          </w:p>
        </w:tc>
        <w:tc>
          <w:tcPr>
            <w:tcW w:w="1361" w:type="dxa"/>
            <w:vAlign w:val="center"/>
          </w:tcPr>
          <w:p>
            <w:pPr>
              <w:pStyle w:val="12"/>
            </w:pPr>
            <w:r>
              <w:t>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333.56</w:t>
            </w:r>
          </w:p>
        </w:tc>
        <w:tc>
          <w:tcPr>
            <w:tcW w:w="3402" w:type="dxa"/>
            <w:vAlign w:val="center"/>
          </w:tcPr>
          <w:p>
            <w:pPr>
              <w:pStyle w:val="13"/>
            </w:pPr>
            <w:r>
              <w:t>一、一般公共服务支出</w:t>
            </w:r>
          </w:p>
        </w:tc>
        <w:tc>
          <w:tcPr>
            <w:tcW w:w="1474" w:type="dxa"/>
            <w:vAlign w:val="center"/>
          </w:tcPr>
          <w:p>
            <w:pPr>
              <w:pStyle w:val="12"/>
            </w:pPr>
            <w:r>
              <w:t>266.86</w:t>
            </w:r>
          </w:p>
        </w:tc>
        <w:tc>
          <w:tcPr>
            <w:tcW w:w="1474" w:type="dxa"/>
            <w:vAlign w:val="center"/>
          </w:tcPr>
          <w:p>
            <w:pPr>
              <w:pStyle w:val="12"/>
            </w:pPr>
            <w:r>
              <w:t>266.86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31.00</w:t>
            </w:r>
          </w:p>
        </w:tc>
        <w:tc>
          <w:tcPr>
            <w:tcW w:w="1474" w:type="dxa"/>
            <w:vAlign w:val="center"/>
          </w:tcPr>
          <w:p>
            <w:pPr>
              <w:pStyle w:val="12"/>
            </w:pPr>
            <w:r>
              <w:t>31.00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26.00</w:t>
            </w:r>
          </w:p>
        </w:tc>
        <w:tc>
          <w:tcPr>
            <w:tcW w:w="1474" w:type="dxa"/>
            <w:vAlign w:val="center"/>
          </w:tcPr>
          <w:p>
            <w:pPr>
              <w:pStyle w:val="12"/>
            </w:pPr>
            <w:r>
              <w:t>26.00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9.70</w:t>
            </w:r>
          </w:p>
        </w:tc>
        <w:tc>
          <w:tcPr>
            <w:tcW w:w="1474" w:type="dxa"/>
            <w:vAlign w:val="center"/>
          </w:tcPr>
          <w:p>
            <w:pPr>
              <w:pStyle w:val="12"/>
            </w:pPr>
            <w:r>
              <w:t>9.70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333.56</w:t>
            </w:r>
          </w:p>
        </w:tc>
        <w:tc>
          <w:tcPr>
            <w:tcW w:w="3402" w:type="dxa"/>
            <w:vAlign w:val="center"/>
          </w:tcPr>
          <w:p>
            <w:pPr>
              <w:pStyle w:val="15"/>
            </w:pPr>
            <w:r>
              <w:t>本年支出合计</w:t>
            </w:r>
          </w:p>
        </w:tc>
        <w:tc>
          <w:tcPr>
            <w:tcW w:w="1474" w:type="dxa"/>
            <w:vAlign w:val="center"/>
          </w:tcPr>
          <w:p>
            <w:pPr>
              <w:pStyle w:val="16"/>
            </w:pPr>
            <w:r>
              <w:t>333.56</w:t>
            </w:r>
          </w:p>
        </w:tc>
        <w:tc>
          <w:tcPr>
            <w:tcW w:w="1474" w:type="dxa"/>
            <w:vAlign w:val="center"/>
          </w:tcPr>
          <w:p>
            <w:pPr>
              <w:pStyle w:val="16"/>
            </w:pPr>
            <w:r>
              <w:t>333.56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333.56</w:t>
            </w:r>
          </w:p>
        </w:tc>
        <w:tc>
          <w:tcPr>
            <w:tcW w:w="3402" w:type="dxa"/>
            <w:vAlign w:val="center"/>
          </w:tcPr>
          <w:p>
            <w:pPr>
              <w:pStyle w:val="15"/>
            </w:pPr>
            <w:r>
              <w:t>支出总计</w:t>
            </w:r>
          </w:p>
        </w:tc>
        <w:tc>
          <w:tcPr>
            <w:tcW w:w="1474" w:type="dxa"/>
            <w:vAlign w:val="center"/>
          </w:tcPr>
          <w:p>
            <w:pPr>
              <w:pStyle w:val="16"/>
            </w:pPr>
            <w:r>
              <w:t>333.56</w:t>
            </w:r>
          </w:p>
        </w:tc>
        <w:tc>
          <w:tcPr>
            <w:tcW w:w="1474" w:type="dxa"/>
            <w:vAlign w:val="center"/>
          </w:tcPr>
          <w:p>
            <w:pPr>
              <w:pStyle w:val="16"/>
            </w:pPr>
            <w:r>
              <w:t>333.56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333.56</w:t>
            </w:r>
          </w:p>
        </w:tc>
        <w:tc>
          <w:tcPr>
            <w:tcW w:w="2551" w:type="dxa"/>
            <w:vAlign w:val="center"/>
          </w:tcPr>
          <w:p>
            <w:pPr>
              <w:pStyle w:val="16"/>
            </w:pPr>
            <w:r>
              <w:t>275.26</w:t>
            </w:r>
          </w:p>
        </w:tc>
        <w:tc>
          <w:tcPr>
            <w:tcW w:w="2551" w:type="dxa"/>
            <w:vAlign w:val="center"/>
          </w:tcPr>
          <w:p>
            <w:pPr>
              <w:pStyle w:val="16"/>
            </w:pPr>
            <w:r>
              <w:t>58.30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266.86</w:t>
            </w:r>
          </w:p>
        </w:tc>
        <w:tc>
          <w:tcPr>
            <w:tcW w:w="2551" w:type="dxa"/>
            <w:vAlign w:val="center"/>
          </w:tcPr>
          <w:p>
            <w:pPr>
              <w:pStyle w:val="12"/>
            </w:pPr>
            <w:r>
              <w:t>239.56</w:t>
            </w:r>
          </w:p>
        </w:tc>
        <w:tc>
          <w:tcPr>
            <w:tcW w:w="2551" w:type="dxa"/>
            <w:vAlign w:val="center"/>
          </w:tcPr>
          <w:p>
            <w:pPr>
              <w:pStyle w:val="12"/>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27.30</w:t>
            </w:r>
          </w:p>
        </w:tc>
        <w:tc>
          <w:tcPr>
            <w:tcW w:w="2551" w:type="dxa"/>
            <w:vAlign w:val="center"/>
          </w:tcPr>
          <w:p>
            <w:pPr>
              <w:pStyle w:val="12"/>
            </w:pPr>
          </w:p>
        </w:tc>
        <w:tc>
          <w:tcPr>
            <w:tcW w:w="2551" w:type="dxa"/>
            <w:vAlign w:val="center"/>
          </w:tcPr>
          <w:p>
            <w:pPr>
              <w:pStyle w:val="12"/>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27.30</w:t>
            </w:r>
          </w:p>
        </w:tc>
        <w:tc>
          <w:tcPr>
            <w:tcW w:w="2551" w:type="dxa"/>
            <w:vAlign w:val="center"/>
          </w:tcPr>
          <w:p>
            <w:pPr>
              <w:pStyle w:val="12"/>
            </w:pPr>
          </w:p>
        </w:tc>
        <w:tc>
          <w:tcPr>
            <w:tcW w:w="2551" w:type="dxa"/>
            <w:vAlign w:val="center"/>
          </w:tcPr>
          <w:p>
            <w:pPr>
              <w:pStyle w:val="12"/>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239.56</w:t>
            </w:r>
          </w:p>
        </w:tc>
        <w:tc>
          <w:tcPr>
            <w:tcW w:w="2551" w:type="dxa"/>
            <w:vAlign w:val="center"/>
          </w:tcPr>
          <w:p>
            <w:pPr>
              <w:pStyle w:val="12"/>
            </w:pPr>
            <w:r>
              <w:t>239.56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239.56</w:t>
            </w:r>
          </w:p>
        </w:tc>
        <w:tc>
          <w:tcPr>
            <w:tcW w:w="2551" w:type="dxa"/>
            <w:vAlign w:val="center"/>
          </w:tcPr>
          <w:p>
            <w:pPr>
              <w:pStyle w:val="12"/>
            </w:pPr>
            <w:r>
              <w:t>239.56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31.00</w:t>
            </w:r>
          </w:p>
        </w:tc>
        <w:tc>
          <w:tcPr>
            <w:tcW w:w="2551" w:type="dxa"/>
            <w:vAlign w:val="center"/>
          </w:tcPr>
          <w:p>
            <w:pPr>
              <w:pStyle w:val="12"/>
            </w:pPr>
          </w:p>
        </w:tc>
        <w:tc>
          <w:tcPr>
            <w:tcW w:w="2551"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20499</w:t>
            </w:r>
          </w:p>
        </w:tc>
        <w:tc>
          <w:tcPr>
            <w:tcW w:w="4535" w:type="dxa"/>
            <w:vAlign w:val="center"/>
          </w:tcPr>
          <w:p>
            <w:pPr>
              <w:pStyle w:val="13"/>
            </w:pPr>
            <w:r>
              <w:t>其他公共安全支出</w:t>
            </w:r>
          </w:p>
        </w:tc>
        <w:tc>
          <w:tcPr>
            <w:tcW w:w="2551" w:type="dxa"/>
            <w:vAlign w:val="center"/>
          </w:tcPr>
          <w:p>
            <w:pPr>
              <w:pStyle w:val="12"/>
            </w:pPr>
            <w:r>
              <w:t>31.00</w:t>
            </w:r>
          </w:p>
        </w:tc>
        <w:tc>
          <w:tcPr>
            <w:tcW w:w="2551" w:type="dxa"/>
            <w:vAlign w:val="center"/>
          </w:tcPr>
          <w:p>
            <w:pPr>
              <w:pStyle w:val="12"/>
            </w:pPr>
          </w:p>
        </w:tc>
        <w:tc>
          <w:tcPr>
            <w:tcW w:w="2551"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2049999</w:t>
            </w:r>
          </w:p>
        </w:tc>
        <w:tc>
          <w:tcPr>
            <w:tcW w:w="4535" w:type="dxa"/>
            <w:vAlign w:val="center"/>
          </w:tcPr>
          <w:p>
            <w:pPr>
              <w:pStyle w:val="13"/>
            </w:pPr>
            <w:r>
              <w:t>其他公共安全支出</w:t>
            </w:r>
          </w:p>
        </w:tc>
        <w:tc>
          <w:tcPr>
            <w:tcW w:w="2551" w:type="dxa"/>
            <w:vAlign w:val="center"/>
          </w:tcPr>
          <w:p>
            <w:pPr>
              <w:pStyle w:val="12"/>
            </w:pPr>
            <w:r>
              <w:t>31.00</w:t>
            </w:r>
          </w:p>
        </w:tc>
        <w:tc>
          <w:tcPr>
            <w:tcW w:w="2551" w:type="dxa"/>
            <w:vAlign w:val="center"/>
          </w:tcPr>
          <w:p>
            <w:pPr>
              <w:pStyle w:val="12"/>
            </w:pPr>
          </w:p>
        </w:tc>
        <w:tc>
          <w:tcPr>
            <w:tcW w:w="2551"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9.70</w:t>
            </w:r>
          </w:p>
        </w:tc>
        <w:tc>
          <w:tcPr>
            <w:tcW w:w="2551" w:type="dxa"/>
            <w:vAlign w:val="center"/>
          </w:tcPr>
          <w:p>
            <w:pPr>
              <w:pStyle w:val="12"/>
            </w:pPr>
            <w:r>
              <w:t>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9.70</w:t>
            </w:r>
          </w:p>
        </w:tc>
        <w:tc>
          <w:tcPr>
            <w:tcW w:w="2551" w:type="dxa"/>
            <w:vAlign w:val="center"/>
          </w:tcPr>
          <w:p>
            <w:pPr>
              <w:pStyle w:val="12"/>
            </w:pPr>
            <w:r>
              <w:t>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9.70</w:t>
            </w:r>
          </w:p>
        </w:tc>
        <w:tc>
          <w:tcPr>
            <w:tcW w:w="2551" w:type="dxa"/>
            <w:vAlign w:val="center"/>
          </w:tcPr>
          <w:p>
            <w:pPr>
              <w:pStyle w:val="12"/>
            </w:pPr>
            <w:r>
              <w:t>9.70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275.26</w:t>
            </w:r>
          </w:p>
        </w:tc>
        <w:tc>
          <w:tcPr>
            <w:tcW w:w="2551" w:type="dxa"/>
            <w:vAlign w:val="center"/>
          </w:tcPr>
          <w:p>
            <w:pPr>
              <w:pStyle w:val="16"/>
            </w:pPr>
            <w:r>
              <w:t>249.96</w:t>
            </w:r>
          </w:p>
        </w:tc>
        <w:tc>
          <w:tcPr>
            <w:tcW w:w="2551" w:type="dxa"/>
            <w:vAlign w:val="center"/>
          </w:tcPr>
          <w:p>
            <w:pPr>
              <w:pStyle w:val="16"/>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229.56</w:t>
            </w:r>
          </w:p>
        </w:tc>
        <w:tc>
          <w:tcPr>
            <w:tcW w:w="2551" w:type="dxa"/>
            <w:vAlign w:val="center"/>
          </w:tcPr>
          <w:p>
            <w:pPr>
              <w:pStyle w:val="12"/>
            </w:pPr>
            <w:r>
              <w:t>229.56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52.60</w:t>
            </w:r>
          </w:p>
        </w:tc>
        <w:tc>
          <w:tcPr>
            <w:tcW w:w="2551" w:type="dxa"/>
            <w:vAlign w:val="center"/>
          </w:tcPr>
          <w:p>
            <w:pPr>
              <w:pStyle w:val="12"/>
            </w:pPr>
            <w:r>
              <w:t>52.60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29.20</w:t>
            </w:r>
          </w:p>
        </w:tc>
        <w:tc>
          <w:tcPr>
            <w:tcW w:w="2551" w:type="dxa"/>
            <w:vAlign w:val="center"/>
          </w:tcPr>
          <w:p>
            <w:pPr>
              <w:pStyle w:val="12"/>
            </w:pPr>
            <w:r>
              <w:t>29.20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18.20</w:t>
            </w:r>
          </w:p>
        </w:tc>
        <w:tc>
          <w:tcPr>
            <w:tcW w:w="2551" w:type="dxa"/>
            <w:vAlign w:val="center"/>
          </w:tcPr>
          <w:p>
            <w:pPr>
              <w:pStyle w:val="12"/>
            </w:pPr>
            <w:r>
              <w:t>18.20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9.70</w:t>
            </w:r>
          </w:p>
        </w:tc>
        <w:tc>
          <w:tcPr>
            <w:tcW w:w="2551" w:type="dxa"/>
            <w:vAlign w:val="center"/>
          </w:tcPr>
          <w:p>
            <w:pPr>
              <w:pStyle w:val="12"/>
            </w:pPr>
            <w:r>
              <w:t>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0.86</w:t>
            </w:r>
          </w:p>
        </w:tc>
        <w:tc>
          <w:tcPr>
            <w:tcW w:w="2551" w:type="dxa"/>
            <w:vAlign w:val="center"/>
          </w:tcPr>
          <w:p>
            <w:pPr>
              <w:pStyle w:val="12"/>
            </w:pPr>
            <w:r>
              <w:t>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25.30</w:t>
            </w:r>
          </w:p>
        </w:tc>
        <w:tc>
          <w:tcPr>
            <w:tcW w:w="2551" w:type="dxa"/>
            <w:vAlign w:val="center"/>
          </w:tcPr>
          <w:p>
            <w:pPr>
              <w:pStyle w:val="12"/>
            </w:pPr>
          </w:p>
        </w:tc>
        <w:tc>
          <w:tcPr>
            <w:tcW w:w="2551" w:type="dxa"/>
            <w:vAlign w:val="center"/>
          </w:tcPr>
          <w:p>
            <w:pPr>
              <w:pStyle w:val="12"/>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9.80</w:t>
            </w:r>
          </w:p>
        </w:tc>
        <w:tc>
          <w:tcPr>
            <w:tcW w:w="2551" w:type="dxa"/>
            <w:vAlign w:val="center"/>
          </w:tcPr>
          <w:p>
            <w:pPr>
              <w:pStyle w:val="12"/>
            </w:pPr>
          </w:p>
        </w:tc>
        <w:tc>
          <w:tcPr>
            <w:tcW w:w="2551" w:type="dxa"/>
            <w:vAlign w:val="center"/>
          </w:tcPr>
          <w:p>
            <w:pPr>
              <w:pStyle w:val="12"/>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20.40</w:t>
            </w:r>
          </w:p>
        </w:tc>
        <w:tc>
          <w:tcPr>
            <w:tcW w:w="2551" w:type="dxa"/>
            <w:vAlign w:val="center"/>
          </w:tcPr>
          <w:p>
            <w:pPr>
              <w:pStyle w:val="12"/>
            </w:pPr>
            <w:r>
              <w:t>20.40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20.40</w:t>
            </w:r>
          </w:p>
        </w:tc>
        <w:tc>
          <w:tcPr>
            <w:tcW w:w="2551" w:type="dxa"/>
            <w:vAlign w:val="center"/>
          </w:tcPr>
          <w:p>
            <w:pPr>
              <w:pStyle w:val="12"/>
            </w:pPr>
            <w:r>
              <w:t>20.40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中国共产党无极县委员会政法委2026年部门预算信息公开情况说明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中国共产党无极县委员会政法委2026年部门预算信息公开情况说明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按照《中华人民共和国预算法》、《地方预决算公开操作规程》和《关于进一步推进预算公开工作的实施意见》规定，现将中国共产党无极县委员会政法委2026年部门预算公开如下：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深入贯彻习近平新时代中国特色社会主义思想，坚持党对政法工作的绝对领导，坚决维护习近平总书记在党中央的核心、全党的核心地位，坚决维护党中央权威和集中统一领导，深入贯彻党的路线方针政策，统一全县政法单位和行动，确保政法单位坚定的政治方向。</w:t>
      </w:r>
    </w:p>
    <w:p>
      <w:pPr>
        <w:pStyle w:val="18"/>
      </w:pPr>
      <w:r>
        <w:t>2、对全县政法工作研究提出全局性部署，推动平安无极、法治无极建设，加强过硬队伍建设，深化智能化建设，坚决维护国家政治安全、确保社会大局稳定、促进社会公平正义、保障人民安居乐业。</w:t>
      </w:r>
    </w:p>
    <w:p>
      <w:pPr>
        <w:pStyle w:val="18"/>
      </w:pPr>
      <w:r>
        <w:t>3、了解掌握和分析研判政法工作情况动态，分析社会稳定形势，创新完善多部门参与的综治维稳工作机制，协调推动预防、化解影响稳定的社会矛盾和风险，协调应对和处置重大突发事件。</w:t>
      </w:r>
    </w:p>
    <w:p>
      <w:pPr>
        <w:pStyle w:val="18"/>
      </w:pPr>
      <w:r>
        <w:t>4、加强对政法工作的督查，统筹协调社会治安综合治理、维护社会稳定、反邪教有关法律法规政策的实施工作。</w:t>
      </w:r>
    </w:p>
    <w:p>
      <w:pPr>
        <w:pStyle w:val="18"/>
      </w:pPr>
      <w:r>
        <w:t>5、组织开展政法领域的调查研究，研究拟订政法工作的重大措施，及时向县委提出建议。</w:t>
      </w:r>
    </w:p>
    <w:p>
      <w:pPr>
        <w:pStyle w:val="18"/>
      </w:pPr>
      <w:r>
        <w:t>6、掌握分析政法舆情动态，指导协调政法单位媒体网络宣传工作，指导政法单位做好涉及政法工作的重大宣传工作。</w:t>
      </w:r>
    </w:p>
    <w:p>
      <w:pPr>
        <w:pStyle w:val="18"/>
      </w:pPr>
      <w:r>
        <w:t>7、监督和支持政法单位依法行使职权，指导和协调政法单位密切配合，研究和协调重大、疑难案件，指导政法单位涉法涉诉信访工作，推进严格执法、公正司法。</w:t>
      </w:r>
    </w:p>
    <w:p>
      <w:pPr>
        <w:pStyle w:val="18"/>
      </w:pPr>
      <w:r>
        <w:t>8、组织研究政法改革中带有方向性、倾向性和普遍性的重大问题，深化政法改革，联系县委全面依法治县委员会办公室。</w:t>
      </w:r>
    </w:p>
    <w:p>
      <w:pPr>
        <w:pStyle w:val="18"/>
      </w:pPr>
      <w:r>
        <w:t>9、指导推动政法系统党的建设和政法队伍建设，协调和指导全县见义勇为工作，代管县法学会。</w:t>
      </w:r>
    </w:p>
    <w:p>
      <w:pPr>
        <w:pStyle w:val="18"/>
      </w:pPr>
      <w:r>
        <w:t>10、统筹推动全县政法系统信息化工作，指导政法智能化建设。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中国共产党无极县委员会政法委本级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按照预算管理有关规定，目前部门预算的编制实行综合预算管理，即全部收入和支出都反映在预算中。中国共产党无极县委员会政法委机关及所属事业单位的收支包含在部门预算中。</w:t>
      </w:r>
    </w:p>
    <w:p>
      <w:pPr>
        <w:pStyle w:val="19"/>
      </w:pPr>
      <w:r>
        <w:t>1、收入说明</w:t>
      </w:r>
    </w:p>
    <w:p>
      <w:pPr>
        <w:pStyle w:val="19"/>
      </w:pPr>
      <w:r>
        <w:t>反映本部门当年全部收入。2026年预算收入333.56万元，其中：一般公共预算收入333.56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政法委年度部门预算中支出预算的总体情况。2026年支出预算333.56万元，其中基本支出275.26万元，包括人员经费249.96万元和日常公用经费25.30万元；项目支出58.30万元，主要为社会治安综合治理专项经费1.5万、维护稳定专项经费2.5万、扫黑除恶专项经费5万、县政法委机房电费3万、“雪亮工程”网络维护经费12万、严重精神障碍患者监护人以奖代补资金10万、严重精神障碍患者责任险26万、网格员话费27.3万、政法四级网维保经费40万、综治视联网线路租赁费2.4万</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333.56万元，较2025年预算减少52.20万元，其中：基本支出减少37.00万元，主要为人员减少导致基本支出减少。项目支出减少15.20万元，主要为社会治安综合治理专项经费减少1.5万，维护稳定专项经费减少2.5万、扫黑除恶专项经费减少5万、县政法委机房电费减少2万、“雪亮工程”网络维护经费减少4.2万。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2026年，我部门机关运行经费共计安排25.30万元，主要用于日常维修、办公用房水电费、办公用房取暖费、办公用房物业管理费等日常运行支出。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严格按照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平安无极县委、法治无极县委和过硬队伍，全力保安全、护稳定、促和谐，为全县决战脱贫攻坚、决胜同步小康创造安全的政治环境、稳定的社会环境、公正的法治环境、优质的服务环境，不断提升人民群众获得感、幸福感、安全感，为新时代政法事业发展进步提供有力保障。</w:t>
      </w:r>
    </w:p>
    <w:p>
      <w:pPr>
        <w:pStyle w:val="22"/>
      </w:pPr>
      <w:r>
        <w:t>主要发展规划目标：</w:t>
      </w:r>
    </w:p>
    <w:p>
      <w:pPr>
        <w:pStyle w:val="22"/>
      </w:pPr>
      <w:r>
        <w:t>1、深入贯彻习近平新时代中国特色社会主义思想，坚持党对政法工作的绝对领导，坚决维护习近平总书记在党中央的核心、全党的核心地位，坚决维护党中央权威和集中统一领导，深入贯彻党的路线方针政策和中央、省委、石家庄市委、无极县委、县政府的决策部署，统一全县政法单位和行动，确保政法单位坚定的政治方向。</w:t>
      </w:r>
    </w:p>
    <w:p>
      <w:pPr>
        <w:pStyle w:val="22"/>
      </w:pPr>
      <w:r>
        <w:t>2、对全县政法工作研究提出全局性部署，推动平安无极、法治无极建设，加强过硬队伍建设，深化智能化建设，坚决维护国家政治安全、确保社会大局稳定、促进社会公平正义、保障人民安居乐业。</w:t>
      </w:r>
    </w:p>
    <w:p>
      <w:pPr>
        <w:pStyle w:val="22"/>
      </w:pPr>
      <w:r>
        <w:t>3、了解掌握和分析研判政法工作情况动态，分析社会稳定形势，创新完善多部门参与的综治维稳工作机制，协调推动预防、化解影响稳定的社会矛盾和风险，协调应对和处置重大突发事件。</w:t>
      </w:r>
    </w:p>
    <w:p>
      <w:pPr>
        <w:pStyle w:val="22"/>
      </w:pPr>
      <w:r>
        <w:t>4、加强对政法工作的督查，统筹协调社会治安综合治理、维护社会稳定、反邪教有关法律法规政策的实施工作。</w:t>
      </w:r>
    </w:p>
    <w:p>
      <w:pPr>
        <w:pStyle w:val="22"/>
      </w:pPr>
      <w:r>
        <w:t>5、组织开展政法领域的调查研究，研究拟订政法工作的重大措施，及时向县委提出建议。</w:t>
      </w:r>
    </w:p>
    <w:p>
      <w:pPr>
        <w:pStyle w:val="22"/>
      </w:pPr>
      <w:r>
        <w:t>6、掌握分析政法舆情动态，指导协调政法单位媒体网络宣传工作，指导政法单位做好涉及政法工作的重大宣传工作。</w:t>
      </w:r>
    </w:p>
    <w:p>
      <w:pPr>
        <w:pStyle w:val="22"/>
      </w:pPr>
      <w:r>
        <w:t>7、监督和支持政法单位依法行使职权，指导和协调政法单位密切配合，研究和协调重大、疑难案件，指导政法单位涉法涉诉信访工作，推进严格执法、公正司法。</w:t>
      </w:r>
    </w:p>
    <w:p>
      <w:pPr>
        <w:pStyle w:val="22"/>
      </w:pPr>
      <w:r>
        <w:t>8、组织研究政法改革中带有方向性、倾向性和普遍性的重大问题，深化政法改革，联系县委全面依法治县委员会办公室。</w:t>
      </w:r>
    </w:p>
    <w:p>
      <w:pPr>
        <w:pStyle w:val="22"/>
      </w:pPr>
      <w:r>
        <w:t>9、指导推动政法系统党的建设和政法队伍建设，协调和指导全县见义勇为工作，代管县法学会。</w:t>
      </w:r>
    </w:p>
    <w:p>
      <w:pPr>
        <w:pStyle w:val="22"/>
      </w:pPr>
      <w:r>
        <w:t>10、统筹推动全县政法系统信息化工作，指导政法智能化建设。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（一）政法工作</w:t>
      </w:r>
    </w:p>
    <w:p>
      <w:pPr>
        <w:pStyle w:val="23"/>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3"/>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3"/>
      </w:pPr>
      <w:r>
        <w:t>绩效指标：收集、分析、上报舆情信息的数量≥5条。</w:t>
      </w:r>
    </w:p>
    <w:p>
      <w:pPr>
        <w:pStyle w:val="23"/>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3"/>
      </w:pPr>
      <w:r>
        <w:t>绩效目标：通过整合资源，协调各级以网格化管理为基础，以信息化为支撑，推动矛盾纠纷联调、社会治安联防、重点工作联动等，发挥组织协调作用，推动社会治安综合治理的工作平台。</w:t>
      </w:r>
    </w:p>
    <w:p>
      <w:pPr>
        <w:pStyle w:val="23"/>
      </w:pPr>
      <w:r>
        <w:t>绩效指标：调处矛盾纠纷数量占排查矛盾纠纷总数≥90%。</w:t>
      </w:r>
    </w:p>
    <w:p>
      <w:pPr>
        <w:pStyle w:val="23"/>
      </w:pPr>
      <w:r>
        <w:t>（二）社会管理综合治理工作</w:t>
      </w:r>
    </w:p>
    <w:p>
      <w:pPr>
        <w:pStyle w:val="23"/>
      </w:pPr>
      <w:r>
        <w:t>1、进一步健全社会矛盾排查化解机制，加大源头化解力度，将矛盾纠纷解决在萌芽状态。</w:t>
      </w:r>
    </w:p>
    <w:p>
      <w:pPr>
        <w:pStyle w:val="23"/>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3"/>
      </w:pPr>
      <w:r>
        <w:t>绩效指标：调处矛盾纠纷数量占排查矛盾纠纷总数≥90%。</w:t>
      </w:r>
    </w:p>
    <w:p>
      <w:pPr>
        <w:pStyle w:val="23"/>
      </w:pPr>
      <w:r>
        <w:t>2、治安巡防队伍人员力量充实，技防设施进一步完善，提升震慑犯罪、预防犯罪、打击犯罪的能力，有效维护社会治安秩序。</w:t>
      </w:r>
    </w:p>
    <w:p>
      <w:pPr>
        <w:pStyle w:val="23"/>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3"/>
      </w:pPr>
      <w:r>
        <w:t>绩效指标：完成工程量占计划完成工程量的比率≥90%；排除故障次数占故障发生次数≥90%。</w:t>
      </w:r>
    </w:p>
    <w:p>
      <w:pPr>
        <w:pStyle w:val="23"/>
      </w:pPr>
      <w:r>
        <w:t>3、对帮教对象落实管理措施，对流动人口做到“底数清、情况明、信息灵、管得住、控得严”，对高危人员适时分析研判、评估风险，依靠单位、社区和基层组织做好稳控工作。</w:t>
      </w:r>
    </w:p>
    <w:p>
      <w:pPr>
        <w:pStyle w:val="23"/>
      </w:pPr>
      <w:r>
        <w:t>绩效目标：提高了对严重精神障碍患者救治救助力度，从源头上防止肇事肇祸案事件的发生，减轻了患者家庭的经济负担。</w:t>
      </w:r>
    </w:p>
    <w:p>
      <w:pPr>
        <w:pStyle w:val="23"/>
      </w:pPr>
      <w:r>
        <w:t>绩效指标：严重精神障碍患者群体提供救助服务的人数占严重精神障碍患者总人数≥90%；为严重精神障碍患者群体提供救助服务人员占严重精神障碍患者总人数≥100%。</w:t>
      </w:r>
    </w:p>
    <w:p>
      <w:pPr>
        <w:pStyle w:val="23"/>
      </w:pPr>
      <w:r>
        <w:t>（三）维护社会稳定工作</w:t>
      </w:r>
    </w:p>
    <w:p>
      <w:pPr>
        <w:pStyle w:val="23"/>
      </w:pPr>
      <w:r>
        <w:t>完善应急处突机制，对重大社会安全事件及时妥善处置；对出台的重大政策和重点项目做好社会稳定风险评估工作，做到应评尽评，化解社会矛盾，消除社会隐患，防止群体性事件发生。</w:t>
      </w:r>
    </w:p>
    <w:p>
      <w:pPr>
        <w:pStyle w:val="23"/>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3"/>
      </w:pPr>
      <w:r>
        <w:t>绩效指标：处置的涉稳舆情数占涉稳网络舆情总数≥90%。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一是加强政法队伍建设和纪检监察工作。加强“禁令”、“铁规”的执行力度，规范干警行为，强化警车、警械的监管，落实从优待警措施，做好涉法涉诉信访接待及处理工作，加大政法纪检监察工作力度。</w:t>
      </w:r>
    </w:p>
    <w:p>
      <w:pPr>
        <w:pStyle w:val="24"/>
      </w:pPr>
      <w:r>
        <w:t>二是加强执法规范化建设。组织开展政法队伍教育培训，加强现代技术在执法过程中应用，健全执法档案和执法瑕疵档案建设，开展执法监督检查。</w:t>
      </w:r>
    </w:p>
    <w:p>
      <w:pPr>
        <w:pStyle w:val="24"/>
      </w:pPr>
      <w:r>
        <w:t>三是适时开展矛盾纠纷大排查，加大源头化解力度。进一步健全社会矛盾排查化解机制，对排查出的矛盾纠纷实行层级管理、就地化解、挂牌督办、专案攻坚的方式予以解决。</w:t>
      </w:r>
    </w:p>
    <w:p>
      <w:pPr>
        <w:pStyle w:val="24"/>
      </w:pPr>
      <w:r>
        <w:t>四是加强综治维稳组织建设，提升管理服务水平。进一步充实各级综治维稳组织人员力量，实现组织、人员、职责、待遇“四落实”，实现硬件建设规范化、日常制度规范化、工作台帐规范化。</w:t>
      </w:r>
    </w:p>
    <w:p>
      <w:pPr>
        <w:pStyle w:val="24"/>
      </w:pPr>
      <w:r>
        <w:t>五是加强治安巡控体系建设，维护社会治安秩序。进一步充实各级巡防队伍人员力量，加大技防投入，定期组织各乡镇、县直各部门集中开展治安混乱区域和部位大排查，对排查出的治安乱点进行集中整治。</w:t>
      </w:r>
    </w:p>
    <w:p>
      <w:pPr>
        <w:pStyle w:val="24"/>
      </w:pPr>
      <w:r>
        <w:t>六是强化特殊人群管理，消除不稳定因素。深化“三位一体”大帮扶体系建设，加强对矫正对象、流动人口管理，加强在逃人员、涉恐人员、涉稳人员、涉毒人员、重大刑事犯罪前科人员、上访重点人员、肇事造祸精神病人员等七类重点人员的常态化管控。</w:t>
      </w:r>
    </w:p>
    <w:p>
      <w:pPr>
        <w:pStyle w:val="24"/>
      </w:pPr>
      <w:r>
        <w:t>七是加强处突演练，完善应急机制。完善《重大社会安全事件应急处置预案》，细化应对措施，强化应急处突队伍的装备配备，适时组织应急处突队伍进行实战演练，确保做到及时妥善处置。</w:t>
      </w:r>
    </w:p>
    <w:p>
      <w:pPr>
        <w:pStyle w:val="24"/>
      </w:pPr>
      <w:r>
        <w:t>八是做好风险评估，健全评估机制。进一步健全社会稳定风险评估机制，完善评估流程，加强预警研判。</w:t>
      </w:r>
    </w:p>
    <w:p>
      <w:pPr>
        <w:pStyle w:val="24"/>
        <w:sectPr>
          <w:pgSz w:w="16840" w:h="11900" w:orient="landscape"/>
          <w:pgMar w:top="1361" w:right="1020" w:bottom="1361" w:left="1020" w:header="720" w:footer="720" w:gutter="0"/>
          <w:cols w:space="720" w:num="1"/>
        </w:sectPr>
      </w:pPr>
      <w:r>
        <w:t>九是做好社会稳定指数评价报告。收集、分析全县社会稳定工作情况，编制社会稳定指数评价报告。</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1、提前下达2026年中央政法纪检监察转移支付资金（扫黑除恶）绩效目标表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13013026P00006910001U</w:t>
            </w:r>
          </w:p>
        </w:tc>
        <w:tc>
          <w:tcPr>
            <w:tcW w:w="2835" w:type="dxa"/>
            <w:vAlign w:val="center"/>
          </w:tcPr>
          <w:p>
            <w:pPr>
              <w:pStyle w:val="11"/>
            </w:pPr>
            <w:r>
              <w:t>项目名称</w:t>
            </w:r>
          </w:p>
        </w:tc>
        <w:tc>
          <w:tcPr>
            <w:tcW w:w="6095" w:type="dxa"/>
            <w:gridSpan w:val="3"/>
            <w:vAlign w:val="center"/>
          </w:tcPr>
          <w:p>
            <w:pPr>
              <w:pStyle w:val="13"/>
            </w:pPr>
            <w:r>
              <w:t>提前下达2026年中央政法纪检监察转移支付资金（扫黑除恶）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提前下达2026年中央政法纪检监察转移支付资金（扫黑除恶）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1.提前下达2026年中央政法纪检监察转移支付资金（扫黑除恶）</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≥95是否完成年度计划</w:t>
            </w:r>
          </w:p>
        </w:tc>
        <w:tc>
          <w:tcPr>
            <w:tcW w:w="1276" w:type="dxa"/>
            <w:vAlign w:val="center"/>
          </w:tcPr>
          <w:p>
            <w:pPr>
              <w:pStyle w:val="13"/>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tc>
        <w:tc>
          <w:tcPr>
            <w:tcW w:w="5386" w:type="dxa"/>
            <w:vAlign w:val="center"/>
          </w:tcPr>
          <w:p>
            <w:pPr>
              <w:pStyle w:val="13"/>
            </w:pPr>
            <w:r>
              <w:t>提交成果报告质量</w:t>
            </w:r>
          </w:p>
        </w:tc>
        <w:tc>
          <w:tcPr>
            <w:tcW w:w="2268" w:type="dxa"/>
            <w:vAlign w:val="center"/>
          </w:tcPr>
          <w:p>
            <w:pPr>
              <w:pStyle w:val="13"/>
            </w:pPr>
            <w:r>
              <w:t>≥93是否达到项目要求</w:t>
            </w:r>
          </w:p>
          <w:p>
            <w:pPr>
              <w:pStyle w:val="13"/>
            </w:pPr>
          </w:p>
        </w:tc>
        <w:tc>
          <w:tcPr>
            <w:tcW w:w="1276" w:type="dxa"/>
            <w:vAlign w:val="center"/>
          </w:tcPr>
          <w:p>
            <w:pPr>
              <w:pStyle w:val="13"/>
            </w:pPr>
            <w:r>
              <w:t>按要求提供报告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≥94按计划时间节点</w:t>
            </w:r>
          </w:p>
          <w:p>
            <w:pPr>
              <w:pStyle w:val="13"/>
            </w:pPr>
          </w:p>
        </w:tc>
        <w:tc>
          <w:tcPr>
            <w:tcW w:w="1276" w:type="dxa"/>
            <w:vAlign w:val="center"/>
          </w:tcPr>
          <w:p>
            <w:pPr>
              <w:pStyle w:val="13"/>
            </w:pPr>
            <w:r>
              <w:t>按年度计划要求的时间</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≥94决算数额</w:t>
            </w:r>
          </w:p>
          <w:p>
            <w:pPr>
              <w:pStyle w:val="13"/>
            </w:pPr>
          </w:p>
        </w:tc>
        <w:tc>
          <w:tcPr>
            <w:tcW w:w="1276" w:type="dxa"/>
            <w:vAlign w:val="center"/>
          </w:tcPr>
          <w:p>
            <w:pPr>
              <w:pStyle w:val="13"/>
            </w:pPr>
            <w:r>
              <w:t>是否严格按照决算数额</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办公经费节省数（万元）</w:t>
            </w:r>
          </w:p>
        </w:tc>
        <w:tc>
          <w:tcPr>
            <w:tcW w:w="5386" w:type="dxa"/>
            <w:vAlign w:val="center"/>
          </w:tcPr>
          <w:p>
            <w:pPr>
              <w:pStyle w:val="13"/>
            </w:pPr>
            <w:r>
              <w:t>办公经费节省数（万元）</w:t>
            </w:r>
          </w:p>
        </w:tc>
        <w:tc>
          <w:tcPr>
            <w:tcW w:w="2268" w:type="dxa"/>
            <w:vAlign w:val="center"/>
          </w:tcPr>
          <w:p>
            <w:pPr>
              <w:pStyle w:val="13"/>
            </w:pPr>
            <w:r>
              <w:t>≥93维护国家财政经济秩序</w:t>
            </w:r>
          </w:p>
          <w:p>
            <w:pPr>
              <w:pStyle w:val="13"/>
            </w:pPr>
          </w:p>
        </w:tc>
        <w:tc>
          <w:tcPr>
            <w:tcW w:w="1276" w:type="dxa"/>
            <w:vAlign w:val="center"/>
          </w:tcPr>
          <w:p>
            <w:pPr>
              <w:pStyle w:val="13"/>
            </w:pPr>
            <w:r>
              <w:t>按质保量完成审计任务</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≥95提升财会工作人员水平</w:t>
            </w:r>
          </w:p>
          <w:p>
            <w:pPr>
              <w:pStyle w:val="13"/>
            </w:pPr>
          </w:p>
        </w:tc>
        <w:tc>
          <w:tcPr>
            <w:tcW w:w="1276" w:type="dxa"/>
            <w:vAlign w:val="center"/>
          </w:tcPr>
          <w:p>
            <w:pPr>
              <w:pStyle w:val="13"/>
            </w:pPr>
            <w:r>
              <w:t>是否提出整改意见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挽回经济损失金额</w:t>
            </w:r>
          </w:p>
        </w:tc>
        <w:tc>
          <w:tcPr>
            <w:tcW w:w="5386" w:type="dxa"/>
            <w:vAlign w:val="center"/>
          </w:tcPr>
          <w:p>
            <w:pPr>
              <w:pStyle w:val="13"/>
            </w:pPr>
            <w:r>
              <w:t>反映查处案件所挽回的经济损失金额情况。</w:t>
            </w:r>
          </w:p>
        </w:tc>
        <w:tc>
          <w:tcPr>
            <w:tcW w:w="2268" w:type="dxa"/>
            <w:vAlign w:val="center"/>
          </w:tcPr>
          <w:p>
            <w:pPr>
              <w:pStyle w:val="13"/>
            </w:pPr>
            <w:r>
              <w:t>≥93按照时间要求完成</w:t>
            </w:r>
          </w:p>
          <w:p>
            <w:pPr>
              <w:pStyle w:val="13"/>
            </w:pPr>
          </w:p>
        </w:tc>
        <w:tc>
          <w:tcPr>
            <w:tcW w:w="1276" w:type="dxa"/>
            <w:vAlign w:val="center"/>
          </w:tcPr>
          <w:p>
            <w:pPr>
              <w:pStyle w:val="13"/>
            </w:pPr>
            <w:r>
              <w:t>是否按时完成</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≥95</w:t>
            </w:r>
          </w:p>
        </w:tc>
        <w:tc>
          <w:tcPr>
            <w:tcW w:w="1276" w:type="dxa"/>
            <w:vAlign w:val="center"/>
          </w:tcPr>
          <w:p>
            <w:pPr>
              <w:pStyle w:val="13"/>
            </w:pPr>
            <w:r>
              <w:t>出具整改报告率</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积极配合完成审计</w:t>
            </w:r>
          </w:p>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2、提前下达2026年中央政法纪检监察转移支付资金（司法救助）绩效目标表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13013026P00007010002K</w:t>
            </w:r>
          </w:p>
        </w:tc>
        <w:tc>
          <w:tcPr>
            <w:tcW w:w="2835" w:type="dxa"/>
            <w:vAlign w:val="center"/>
          </w:tcPr>
          <w:p>
            <w:pPr>
              <w:pStyle w:val="11"/>
            </w:pPr>
            <w:r>
              <w:t>项目名称</w:t>
            </w:r>
          </w:p>
        </w:tc>
        <w:tc>
          <w:tcPr>
            <w:tcW w:w="6095" w:type="dxa"/>
            <w:gridSpan w:val="3"/>
            <w:vAlign w:val="center"/>
          </w:tcPr>
          <w:p>
            <w:pPr>
              <w:pStyle w:val="13"/>
            </w:pPr>
            <w:r>
              <w:t>提前下达2026年中央政法纪检监察转移支付资金（司法救助）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提前下达中央政法纪检监察转移支付资金（司法救助）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8.00</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1.提前下达2026年中央政法纪检监察转移支付资金（司法救助）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≥93是否完成年度计划</w:t>
            </w:r>
          </w:p>
        </w:tc>
        <w:tc>
          <w:tcPr>
            <w:tcW w:w="1276" w:type="dxa"/>
            <w:vAlign w:val="center"/>
          </w:tcPr>
          <w:p>
            <w:pPr>
              <w:pStyle w:val="13"/>
            </w:pPr>
            <w:r>
              <w:t>年度总结</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tc>
        <w:tc>
          <w:tcPr>
            <w:tcW w:w="5386" w:type="dxa"/>
            <w:vAlign w:val="center"/>
          </w:tcPr>
          <w:p>
            <w:pPr>
              <w:pStyle w:val="13"/>
            </w:pPr>
            <w:r>
              <w:t>提交成果报告质量</w:t>
            </w:r>
          </w:p>
        </w:tc>
        <w:tc>
          <w:tcPr>
            <w:tcW w:w="2268" w:type="dxa"/>
            <w:vAlign w:val="center"/>
          </w:tcPr>
          <w:p>
            <w:pPr>
              <w:pStyle w:val="13"/>
            </w:pPr>
            <w:r>
              <w:t>≥95是否达到项目要求</w:t>
            </w:r>
          </w:p>
        </w:tc>
        <w:tc>
          <w:tcPr>
            <w:tcW w:w="1276" w:type="dxa"/>
            <w:vAlign w:val="center"/>
          </w:tcPr>
          <w:p>
            <w:pPr>
              <w:pStyle w:val="13"/>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≥94按计划时间节点</w:t>
            </w:r>
          </w:p>
        </w:tc>
        <w:tc>
          <w:tcPr>
            <w:tcW w:w="1276" w:type="dxa"/>
            <w:vAlign w:val="center"/>
          </w:tcPr>
          <w:p>
            <w:pPr>
              <w:pStyle w:val="13"/>
            </w:pPr>
            <w:r>
              <w:t>按年度计划要求的时间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≥93决算数额</w:t>
            </w:r>
          </w:p>
        </w:tc>
        <w:tc>
          <w:tcPr>
            <w:tcW w:w="1276" w:type="dxa"/>
            <w:vAlign w:val="center"/>
          </w:tcPr>
          <w:p>
            <w:pPr>
              <w:pStyle w:val="13"/>
            </w:pPr>
            <w:r>
              <w:t>是否严格按照决算数额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办公经费、专用材料费</w:t>
            </w:r>
          </w:p>
        </w:tc>
        <w:tc>
          <w:tcPr>
            <w:tcW w:w="5386" w:type="dxa"/>
            <w:vAlign w:val="center"/>
          </w:tcPr>
          <w:p>
            <w:pPr>
              <w:pStyle w:val="13"/>
            </w:pPr>
            <w:r>
              <w:t>办公经费、专用材料费</w:t>
            </w:r>
          </w:p>
        </w:tc>
        <w:tc>
          <w:tcPr>
            <w:tcW w:w="2268" w:type="dxa"/>
            <w:vAlign w:val="center"/>
          </w:tcPr>
          <w:p>
            <w:pPr>
              <w:pStyle w:val="13"/>
            </w:pPr>
            <w:r>
              <w:t>≥95维护国家财政经济秩序</w:t>
            </w:r>
          </w:p>
        </w:tc>
        <w:tc>
          <w:tcPr>
            <w:tcW w:w="1276" w:type="dxa"/>
            <w:vAlign w:val="center"/>
          </w:tcPr>
          <w:p>
            <w:pPr>
              <w:pStyle w:val="13"/>
            </w:pPr>
            <w:r>
              <w:t>按质保量完成审计任务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≥95提升财会工作人员水平</w:t>
            </w:r>
          </w:p>
        </w:tc>
        <w:tc>
          <w:tcPr>
            <w:tcW w:w="1276" w:type="dxa"/>
            <w:vAlign w:val="center"/>
          </w:tcPr>
          <w:p>
            <w:pPr>
              <w:pStyle w:val="13"/>
            </w:pPr>
            <w:r>
              <w:t>是否提出整改意见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落实整改报告整改情况</w:t>
            </w:r>
          </w:p>
        </w:tc>
        <w:tc>
          <w:tcPr>
            <w:tcW w:w="5386" w:type="dxa"/>
            <w:vAlign w:val="center"/>
          </w:tcPr>
          <w:p>
            <w:pPr>
              <w:pStyle w:val="13"/>
            </w:pPr>
            <w:r>
              <w:t>落实整改报告整改情况</w:t>
            </w:r>
          </w:p>
        </w:tc>
        <w:tc>
          <w:tcPr>
            <w:tcW w:w="2268" w:type="dxa"/>
            <w:vAlign w:val="center"/>
          </w:tcPr>
          <w:p>
            <w:pPr>
              <w:pStyle w:val="13"/>
            </w:pPr>
            <w:r>
              <w:t>≥94按照时间要求完成</w:t>
            </w:r>
          </w:p>
        </w:tc>
        <w:tc>
          <w:tcPr>
            <w:tcW w:w="1276" w:type="dxa"/>
            <w:vAlign w:val="center"/>
          </w:tcPr>
          <w:p>
            <w:pPr>
              <w:pStyle w:val="13"/>
            </w:pPr>
            <w:r>
              <w:t>是否按时完成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指出从业人员业务盲点</w:t>
            </w:r>
          </w:p>
        </w:tc>
        <w:tc>
          <w:tcPr>
            <w:tcW w:w="5386" w:type="dxa"/>
            <w:vAlign w:val="center"/>
          </w:tcPr>
          <w:p>
            <w:pPr>
              <w:pStyle w:val="13"/>
            </w:pPr>
            <w:r>
              <w:t>指出从业人员业务盲点</w:t>
            </w:r>
          </w:p>
        </w:tc>
        <w:tc>
          <w:tcPr>
            <w:tcW w:w="2268" w:type="dxa"/>
            <w:vAlign w:val="center"/>
          </w:tcPr>
          <w:p>
            <w:pPr>
              <w:pStyle w:val="13"/>
            </w:pPr>
            <w:r>
              <w:t>≥93</w:t>
            </w:r>
          </w:p>
        </w:tc>
        <w:tc>
          <w:tcPr>
            <w:tcW w:w="1276" w:type="dxa"/>
            <w:vAlign w:val="center"/>
          </w:tcPr>
          <w:p>
            <w:pPr>
              <w:pStyle w:val="13"/>
            </w:pPr>
            <w:r>
              <w:t>出具整改报告率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积极配合完成审计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3、网格员经费绩效目标表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13013026P00006610042X</w:t>
            </w:r>
          </w:p>
        </w:tc>
        <w:tc>
          <w:tcPr>
            <w:tcW w:w="2835" w:type="dxa"/>
            <w:vAlign w:val="center"/>
          </w:tcPr>
          <w:p>
            <w:pPr>
              <w:pStyle w:val="11"/>
            </w:pPr>
            <w:r>
              <w:t>项目名称</w:t>
            </w:r>
          </w:p>
        </w:tc>
        <w:tc>
          <w:tcPr>
            <w:tcW w:w="6095" w:type="dxa"/>
            <w:gridSpan w:val="3"/>
            <w:vAlign w:val="center"/>
          </w:tcPr>
          <w:p>
            <w:pPr>
              <w:pStyle w:val="13"/>
            </w:pPr>
            <w:r>
              <w:t>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1.政法委2026年网格员经费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排查整治治安问题和安全隐患数量</w:t>
            </w:r>
          </w:p>
        </w:tc>
        <w:tc>
          <w:tcPr>
            <w:tcW w:w="5386" w:type="dxa"/>
            <w:vAlign w:val="center"/>
          </w:tcPr>
          <w:p>
            <w:pPr>
              <w:pStyle w:val="13"/>
            </w:pPr>
            <w:r>
              <w:t>排查整治治安问题和安全隐患数量</w:t>
            </w:r>
          </w:p>
        </w:tc>
        <w:tc>
          <w:tcPr>
            <w:tcW w:w="2268" w:type="dxa"/>
            <w:vAlign w:val="center"/>
          </w:tcPr>
          <w:p>
            <w:pPr>
              <w:pStyle w:val="13"/>
            </w:pPr>
            <w:r>
              <w:t>≥93是否完成年度计划</w:t>
            </w:r>
          </w:p>
          <w:p>
            <w:pPr>
              <w:pStyle w:val="13"/>
            </w:pPr>
          </w:p>
        </w:tc>
        <w:tc>
          <w:tcPr>
            <w:tcW w:w="1276" w:type="dxa"/>
            <w:vAlign w:val="center"/>
          </w:tcPr>
          <w:p>
            <w:pPr>
              <w:pStyle w:val="13"/>
            </w:pPr>
            <w:r>
              <w:t>年度总结</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突发事件处置及时率</w:t>
            </w:r>
          </w:p>
        </w:tc>
        <w:tc>
          <w:tcPr>
            <w:tcW w:w="5386" w:type="dxa"/>
            <w:vAlign w:val="center"/>
          </w:tcPr>
          <w:p>
            <w:pPr>
              <w:pStyle w:val="13"/>
            </w:pPr>
            <w:r>
              <w:t>突发事件处置及时率</w:t>
            </w:r>
          </w:p>
        </w:tc>
        <w:tc>
          <w:tcPr>
            <w:tcW w:w="2268" w:type="dxa"/>
            <w:vAlign w:val="center"/>
          </w:tcPr>
          <w:p>
            <w:pPr>
              <w:pStyle w:val="13"/>
            </w:pPr>
            <w:r>
              <w:t>≥95是否达到项目要求</w:t>
            </w:r>
          </w:p>
        </w:tc>
        <w:tc>
          <w:tcPr>
            <w:tcW w:w="1276" w:type="dxa"/>
            <w:vAlign w:val="center"/>
          </w:tcPr>
          <w:p>
            <w:pPr>
              <w:pStyle w:val="13"/>
            </w:pPr>
            <w:r>
              <w:t>按要求提供报告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&gt;93按计划时间节点</w:t>
            </w:r>
          </w:p>
        </w:tc>
        <w:tc>
          <w:tcPr>
            <w:tcW w:w="1276" w:type="dxa"/>
            <w:vAlign w:val="center"/>
          </w:tcPr>
          <w:p>
            <w:pPr>
              <w:pStyle w:val="13"/>
            </w:pPr>
            <w:r>
              <w:t>是否达到项目要求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≥95决算数额</w:t>
            </w:r>
          </w:p>
          <w:p>
            <w:pPr>
              <w:pStyle w:val="13"/>
            </w:pPr>
          </w:p>
        </w:tc>
        <w:tc>
          <w:tcPr>
            <w:tcW w:w="1276" w:type="dxa"/>
            <w:vAlign w:val="center"/>
          </w:tcPr>
          <w:p>
            <w:pPr>
              <w:pStyle w:val="13"/>
            </w:pPr>
            <w:r>
              <w:t>是否严格按照决算数额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≥95维护国家财政经济秩序</w:t>
            </w:r>
          </w:p>
          <w:p>
            <w:pPr>
              <w:pStyle w:val="13"/>
            </w:pPr>
          </w:p>
        </w:tc>
        <w:tc>
          <w:tcPr>
            <w:tcW w:w="1276" w:type="dxa"/>
            <w:vAlign w:val="center"/>
          </w:tcPr>
          <w:p>
            <w:pPr>
              <w:pStyle w:val="13"/>
            </w:pPr>
            <w:r>
              <w:t>按质保量完成审计任务</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≥94提升财会工作人员水平</w:t>
            </w:r>
          </w:p>
          <w:p>
            <w:pPr>
              <w:pStyle w:val="13"/>
            </w:pPr>
          </w:p>
        </w:tc>
        <w:tc>
          <w:tcPr>
            <w:tcW w:w="1276" w:type="dxa"/>
            <w:vAlign w:val="center"/>
          </w:tcPr>
          <w:p>
            <w:pPr>
              <w:pStyle w:val="13"/>
            </w:pPr>
            <w:r>
              <w:t>是否提出整改意见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≥93按照时间要求完成</w:t>
            </w:r>
          </w:p>
          <w:p>
            <w:pPr>
              <w:pStyle w:val="13"/>
            </w:pPr>
          </w:p>
        </w:tc>
        <w:tc>
          <w:tcPr>
            <w:tcW w:w="1276" w:type="dxa"/>
            <w:vAlign w:val="center"/>
          </w:tcPr>
          <w:p>
            <w:pPr>
              <w:pStyle w:val="13"/>
            </w:pPr>
            <w:r>
              <w:t>是否按时完成</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≥92</w:t>
            </w:r>
          </w:p>
        </w:tc>
        <w:tc>
          <w:tcPr>
            <w:tcW w:w="1276" w:type="dxa"/>
            <w:vAlign w:val="center"/>
          </w:tcPr>
          <w:p>
            <w:pPr>
              <w:pStyle w:val="13"/>
            </w:pPr>
            <w:r>
              <w:t>出具整改报告率</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积极配合完成审计</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671486"/>
    <w:rsid w:val="50E722C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2026-02-25T16:07:00Z</dcterms:created>
  <dc:creator>Administrator</dc:creator>
  <cp:lastModifiedBy>李润泽</cp:lastModifiedBy>
  <dcterms:modified xsi:type="dcterms:W3CDTF">2026-03-02T06:11:50Z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F0F12DCE880344BE87E5F98F83A2AF28</vt:lpwstr>
  </property>
</Properties>
</file>