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一、中国共产党无极县纪律检查委员会本级收支预算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一、中国共产党无极县纪律检查委员会本级收支预算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929.65</w:t>
            </w:r>
          </w:p>
        </w:tc>
        <w:tc>
          <w:tcPr>
            <w:tcW w:w="4535" w:type="dxa"/>
            <w:vAlign w:val="center"/>
          </w:tcPr>
          <w:p>
            <w:pPr>
              <w:pStyle w:val="12"/>
            </w:pPr>
            <w:r>
              <w:t>一、一般公共服务支出</w:t>
            </w:r>
          </w:p>
        </w:tc>
        <w:tc>
          <w:tcPr>
            <w:tcW w:w="2126" w:type="dxa"/>
            <w:vAlign w:val="center"/>
          </w:tcPr>
          <w:p>
            <w:pPr>
              <w:pStyle w:val="11"/>
            </w:pPr>
            <w:r>
              <w:t>823.65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929.65</w:t>
            </w:r>
          </w:p>
        </w:tc>
        <w:tc>
          <w:tcPr>
            <w:tcW w:w="4535" w:type="dxa"/>
            <w:vAlign w:val="center"/>
          </w:tcPr>
          <w:p>
            <w:pPr>
              <w:pStyle w:val="14"/>
            </w:pPr>
            <w:r>
              <w:t>本年支出合计</w:t>
            </w:r>
          </w:p>
        </w:tc>
        <w:tc>
          <w:tcPr>
            <w:tcW w:w="2126" w:type="dxa"/>
            <w:vAlign w:val="center"/>
          </w:tcPr>
          <w:p>
            <w:pPr>
              <w:pStyle w:val="15"/>
            </w:pPr>
            <w:r>
              <w:t>929.65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929.65</w:t>
            </w:r>
          </w:p>
        </w:tc>
        <w:tc>
          <w:tcPr>
            <w:tcW w:w="4535" w:type="dxa"/>
            <w:vAlign w:val="center"/>
          </w:tcPr>
          <w:p>
            <w:pPr>
              <w:pStyle w:val="14"/>
            </w:pPr>
            <w:r>
              <w:t>支出总计</w:t>
            </w:r>
          </w:p>
        </w:tc>
        <w:tc>
          <w:tcPr>
            <w:tcW w:w="2126" w:type="dxa"/>
            <w:vAlign w:val="center"/>
          </w:tcPr>
          <w:p>
            <w:pPr>
              <w:pStyle w:val="15"/>
            </w:pPr>
            <w:r>
              <w:t>929.65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929.65</w:t>
            </w:r>
          </w:p>
        </w:tc>
        <w:tc>
          <w:tcPr>
            <w:tcW w:w="1134" w:type="dxa"/>
            <w:vAlign w:val="center"/>
          </w:tcPr>
          <w:p>
            <w:pPr>
              <w:pStyle w:val="15"/>
            </w:pPr>
            <w:r>
              <w:t>929.65</w:t>
            </w:r>
          </w:p>
        </w:tc>
        <w:tc>
          <w:tcPr>
            <w:tcW w:w="1134" w:type="dxa"/>
            <w:vAlign w:val="center"/>
          </w:tcPr>
          <w:p>
            <w:pPr>
              <w:pStyle w:val="15"/>
            </w:pPr>
            <w:r>
              <w:t>929.65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823.65</w:t>
            </w:r>
          </w:p>
        </w:tc>
        <w:tc>
          <w:tcPr>
            <w:tcW w:w="1134" w:type="dxa"/>
            <w:vAlign w:val="center"/>
          </w:tcPr>
          <w:p>
            <w:pPr>
              <w:pStyle w:val="11"/>
            </w:pPr>
            <w:r>
              <w:t>823.65</w:t>
            </w:r>
          </w:p>
        </w:tc>
        <w:tc>
          <w:tcPr>
            <w:tcW w:w="1134" w:type="dxa"/>
            <w:vAlign w:val="center"/>
          </w:tcPr>
          <w:p>
            <w:pPr>
              <w:pStyle w:val="11"/>
            </w:pPr>
            <w:r>
              <w:t>823.65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823.65</w:t>
            </w:r>
          </w:p>
        </w:tc>
        <w:tc>
          <w:tcPr>
            <w:tcW w:w="1134" w:type="dxa"/>
            <w:vAlign w:val="center"/>
          </w:tcPr>
          <w:p>
            <w:pPr>
              <w:pStyle w:val="11"/>
            </w:pPr>
            <w:r>
              <w:t>823.65</w:t>
            </w:r>
          </w:p>
        </w:tc>
        <w:tc>
          <w:tcPr>
            <w:tcW w:w="1134" w:type="dxa"/>
            <w:vAlign w:val="center"/>
          </w:tcPr>
          <w:p>
            <w:pPr>
              <w:pStyle w:val="11"/>
            </w:pPr>
            <w:r>
              <w:t>823.65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813.45</w:t>
            </w:r>
          </w:p>
        </w:tc>
        <w:tc>
          <w:tcPr>
            <w:tcW w:w="1134" w:type="dxa"/>
            <w:vAlign w:val="center"/>
          </w:tcPr>
          <w:p>
            <w:pPr>
              <w:pStyle w:val="11"/>
            </w:pPr>
            <w:r>
              <w:t>813.45</w:t>
            </w:r>
          </w:p>
        </w:tc>
        <w:tc>
          <w:tcPr>
            <w:tcW w:w="1134" w:type="dxa"/>
            <w:vAlign w:val="center"/>
          </w:tcPr>
          <w:p>
            <w:pPr>
              <w:pStyle w:val="11"/>
            </w:pPr>
            <w:r>
              <w:t>813.45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2011199</w:t>
            </w:r>
          </w:p>
        </w:tc>
        <w:tc>
          <w:tcPr>
            <w:tcW w:w="1559" w:type="dxa"/>
            <w:vAlign w:val="center"/>
          </w:tcPr>
          <w:p>
            <w:pPr>
              <w:pStyle w:val="12"/>
            </w:pPr>
            <w:r>
              <w:t>其他纪检监察事务支出</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76.00</w:t>
            </w:r>
          </w:p>
        </w:tc>
        <w:tc>
          <w:tcPr>
            <w:tcW w:w="1134" w:type="dxa"/>
            <w:vAlign w:val="center"/>
          </w:tcPr>
          <w:p>
            <w:pPr>
              <w:pStyle w:val="11"/>
            </w:pPr>
            <w:r>
              <w:t>76.00</w:t>
            </w:r>
          </w:p>
        </w:tc>
        <w:tc>
          <w:tcPr>
            <w:tcW w:w="1134" w:type="dxa"/>
            <w:vAlign w:val="center"/>
          </w:tcPr>
          <w:p>
            <w:pPr>
              <w:pStyle w:val="11"/>
            </w:pPr>
            <w:r>
              <w:t>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76.00</w:t>
            </w:r>
          </w:p>
        </w:tc>
        <w:tc>
          <w:tcPr>
            <w:tcW w:w="1134" w:type="dxa"/>
            <w:vAlign w:val="center"/>
          </w:tcPr>
          <w:p>
            <w:pPr>
              <w:pStyle w:val="11"/>
            </w:pPr>
            <w:r>
              <w:t>76.00</w:t>
            </w:r>
          </w:p>
        </w:tc>
        <w:tc>
          <w:tcPr>
            <w:tcW w:w="1134" w:type="dxa"/>
            <w:vAlign w:val="center"/>
          </w:tcPr>
          <w:p>
            <w:pPr>
              <w:pStyle w:val="11"/>
            </w:pPr>
            <w:r>
              <w:t>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76.00</w:t>
            </w:r>
          </w:p>
        </w:tc>
        <w:tc>
          <w:tcPr>
            <w:tcW w:w="1134" w:type="dxa"/>
            <w:vAlign w:val="center"/>
          </w:tcPr>
          <w:p>
            <w:pPr>
              <w:pStyle w:val="11"/>
            </w:pPr>
            <w:r>
              <w:t>76.00</w:t>
            </w:r>
          </w:p>
        </w:tc>
        <w:tc>
          <w:tcPr>
            <w:tcW w:w="1134" w:type="dxa"/>
            <w:vAlign w:val="center"/>
          </w:tcPr>
          <w:p>
            <w:pPr>
              <w:pStyle w:val="11"/>
            </w:pPr>
            <w:r>
              <w:t>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929.65</w:t>
            </w:r>
          </w:p>
        </w:tc>
        <w:tc>
          <w:tcPr>
            <w:tcW w:w="1361" w:type="dxa"/>
            <w:vAlign w:val="center"/>
          </w:tcPr>
          <w:p>
            <w:pPr>
              <w:pStyle w:val="15"/>
            </w:pPr>
            <w:r>
              <w:t>919.45</w:t>
            </w:r>
          </w:p>
        </w:tc>
        <w:tc>
          <w:tcPr>
            <w:tcW w:w="1361" w:type="dxa"/>
            <w:vAlign w:val="center"/>
          </w:tcPr>
          <w:p>
            <w:pPr>
              <w:pStyle w:val="15"/>
            </w:pPr>
            <w:r>
              <w:t>10.20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823.65</w:t>
            </w:r>
          </w:p>
        </w:tc>
        <w:tc>
          <w:tcPr>
            <w:tcW w:w="1361" w:type="dxa"/>
            <w:vAlign w:val="center"/>
          </w:tcPr>
          <w:p>
            <w:pPr>
              <w:pStyle w:val="11"/>
            </w:pPr>
            <w:r>
              <w:t>813.45</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823.65</w:t>
            </w:r>
          </w:p>
        </w:tc>
        <w:tc>
          <w:tcPr>
            <w:tcW w:w="1361" w:type="dxa"/>
            <w:vAlign w:val="center"/>
          </w:tcPr>
          <w:p>
            <w:pPr>
              <w:pStyle w:val="11"/>
            </w:pPr>
            <w:r>
              <w:t>813.45</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813.45</w:t>
            </w:r>
          </w:p>
        </w:tc>
        <w:tc>
          <w:tcPr>
            <w:tcW w:w="1361" w:type="dxa"/>
            <w:vAlign w:val="center"/>
          </w:tcPr>
          <w:p>
            <w:pPr>
              <w:pStyle w:val="11"/>
            </w:pPr>
            <w:r>
              <w:t>813.45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2011199</w:t>
            </w:r>
          </w:p>
        </w:tc>
        <w:tc>
          <w:tcPr>
            <w:tcW w:w="4535" w:type="dxa"/>
            <w:vAlign w:val="center"/>
          </w:tcPr>
          <w:p>
            <w:pPr>
              <w:pStyle w:val="12"/>
            </w:pPr>
            <w:r>
              <w:t>其他纪检监察事务支出</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76.00</w:t>
            </w:r>
          </w:p>
        </w:tc>
        <w:tc>
          <w:tcPr>
            <w:tcW w:w="1361" w:type="dxa"/>
            <w:vAlign w:val="center"/>
          </w:tcPr>
          <w:p>
            <w:pPr>
              <w:pStyle w:val="11"/>
            </w:pPr>
            <w:r>
              <w:t>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76.00</w:t>
            </w:r>
          </w:p>
        </w:tc>
        <w:tc>
          <w:tcPr>
            <w:tcW w:w="1361" w:type="dxa"/>
            <w:vAlign w:val="center"/>
          </w:tcPr>
          <w:p>
            <w:pPr>
              <w:pStyle w:val="11"/>
            </w:pPr>
            <w:r>
              <w:t>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76.00</w:t>
            </w:r>
          </w:p>
        </w:tc>
        <w:tc>
          <w:tcPr>
            <w:tcW w:w="1361" w:type="dxa"/>
            <w:vAlign w:val="center"/>
          </w:tcPr>
          <w:p>
            <w:pPr>
              <w:pStyle w:val="11"/>
            </w:pPr>
            <w:r>
              <w:t>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929.65</w:t>
            </w:r>
          </w:p>
        </w:tc>
        <w:tc>
          <w:tcPr>
            <w:tcW w:w="3402" w:type="dxa"/>
            <w:vAlign w:val="center"/>
          </w:tcPr>
          <w:p>
            <w:pPr>
              <w:pStyle w:val="12"/>
            </w:pPr>
            <w:r>
              <w:t>一、一般公共服务支出</w:t>
            </w:r>
          </w:p>
        </w:tc>
        <w:tc>
          <w:tcPr>
            <w:tcW w:w="1474" w:type="dxa"/>
            <w:vAlign w:val="center"/>
          </w:tcPr>
          <w:p>
            <w:pPr>
              <w:pStyle w:val="11"/>
            </w:pPr>
            <w:r>
              <w:t>823.65</w:t>
            </w:r>
          </w:p>
        </w:tc>
        <w:tc>
          <w:tcPr>
            <w:tcW w:w="1474" w:type="dxa"/>
            <w:vAlign w:val="center"/>
          </w:tcPr>
          <w:p>
            <w:pPr>
              <w:pStyle w:val="11"/>
            </w:pPr>
            <w:r>
              <w:t>823.65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76.00</w:t>
            </w:r>
          </w:p>
        </w:tc>
        <w:tc>
          <w:tcPr>
            <w:tcW w:w="1474" w:type="dxa"/>
            <w:vAlign w:val="center"/>
          </w:tcPr>
          <w:p>
            <w:pPr>
              <w:pStyle w:val="11"/>
            </w:pPr>
            <w:r>
              <w:t>76.00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929.65</w:t>
            </w:r>
          </w:p>
        </w:tc>
        <w:tc>
          <w:tcPr>
            <w:tcW w:w="3402" w:type="dxa"/>
            <w:vAlign w:val="center"/>
          </w:tcPr>
          <w:p>
            <w:pPr>
              <w:pStyle w:val="14"/>
            </w:pPr>
            <w:r>
              <w:t>本年支出合计</w:t>
            </w:r>
          </w:p>
        </w:tc>
        <w:tc>
          <w:tcPr>
            <w:tcW w:w="1474" w:type="dxa"/>
            <w:vAlign w:val="center"/>
          </w:tcPr>
          <w:p>
            <w:pPr>
              <w:pStyle w:val="15"/>
            </w:pPr>
            <w:r>
              <w:t>929.65</w:t>
            </w:r>
          </w:p>
        </w:tc>
        <w:tc>
          <w:tcPr>
            <w:tcW w:w="1474" w:type="dxa"/>
            <w:vAlign w:val="center"/>
          </w:tcPr>
          <w:p>
            <w:pPr>
              <w:pStyle w:val="15"/>
            </w:pPr>
            <w:r>
              <w:t>929.65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929.65</w:t>
            </w:r>
          </w:p>
        </w:tc>
        <w:tc>
          <w:tcPr>
            <w:tcW w:w="3402" w:type="dxa"/>
            <w:vAlign w:val="center"/>
          </w:tcPr>
          <w:p>
            <w:pPr>
              <w:pStyle w:val="14"/>
            </w:pPr>
            <w:r>
              <w:t>支出总计</w:t>
            </w:r>
          </w:p>
        </w:tc>
        <w:tc>
          <w:tcPr>
            <w:tcW w:w="1474" w:type="dxa"/>
            <w:vAlign w:val="center"/>
          </w:tcPr>
          <w:p>
            <w:pPr>
              <w:pStyle w:val="15"/>
            </w:pPr>
            <w:r>
              <w:t>929.65</w:t>
            </w:r>
          </w:p>
        </w:tc>
        <w:tc>
          <w:tcPr>
            <w:tcW w:w="1474" w:type="dxa"/>
            <w:vAlign w:val="center"/>
          </w:tcPr>
          <w:p>
            <w:pPr>
              <w:pStyle w:val="15"/>
            </w:pPr>
            <w:r>
              <w:t>929.65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929.65</w:t>
            </w:r>
          </w:p>
        </w:tc>
        <w:tc>
          <w:tcPr>
            <w:tcW w:w="2551" w:type="dxa"/>
            <w:vAlign w:val="center"/>
          </w:tcPr>
          <w:p>
            <w:pPr>
              <w:pStyle w:val="15"/>
            </w:pPr>
            <w:r>
              <w:t>919.45</w:t>
            </w:r>
          </w:p>
        </w:tc>
        <w:tc>
          <w:tcPr>
            <w:tcW w:w="2551" w:type="dxa"/>
            <w:vAlign w:val="center"/>
          </w:tcPr>
          <w:p>
            <w:pPr>
              <w:pStyle w:val="15"/>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823.65</w:t>
            </w:r>
          </w:p>
        </w:tc>
        <w:tc>
          <w:tcPr>
            <w:tcW w:w="2551" w:type="dxa"/>
            <w:vAlign w:val="center"/>
          </w:tcPr>
          <w:p>
            <w:pPr>
              <w:pStyle w:val="11"/>
            </w:pPr>
            <w:r>
              <w:t>813.45</w:t>
            </w: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823.65</w:t>
            </w:r>
          </w:p>
        </w:tc>
        <w:tc>
          <w:tcPr>
            <w:tcW w:w="2551" w:type="dxa"/>
            <w:vAlign w:val="center"/>
          </w:tcPr>
          <w:p>
            <w:pPr>
              <w:pStyle w:val="11"/>
            </w:pPr>
            <w:r>
              <w:t>813.45</w:t>
            </w: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813.45</w:t>
            </w:r>
          </w:p>
        </w:tc>
        <w:tc>
          <w:tcPr>
            <w:tcW w:w="2551" w:type="dxa"/>
            <w:vAlign w:val="center"/>
          </w:tcPr>
          <w:p>
            <w:pPr>
              <w:pStyle w:val="11"/>
            </w:pPr>
            <w:r>
              <w:t>813.45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2011199</w:t>
            </w:r>
          </w:p>
        </w:tc>
        <w:tc>
          <w:tcPr>
            <w:tcW w:w="4535" w:type="dxa"/>
            <w:vAlign w:val="center"/>
          </w:tcPr>
          <w:p>
            <w:pPr>
              <w:pStyle w:val="12"/>
            </w:pPr>
            <w:r>
              <w:t>其他纪检监察事务支出</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919.45</w:t>
            </w:r>
          </w:p>
        </w:tc>
        <w:tc>
          <w:tcPr>
            <w:tcW w:w="2551" w:type="dxa"/>
            <w:vAlign w:val="center"/>
          </w:tcPr>
          <w:p>
            <w:pPr>
              <w:pStyle w:val="15"/>
            </w:pPr>
            <w:r>
              <w:t>758.45</w:t>
            </w:r>
          </w:p>
        </w:tc>
        <w:tc>
          <w:tcPr>
            <w:tcW w:w="2551" w:type="dxa"/>
            <w:vAlign w:val="center"/>
          </w:tcPr>
          <w:p>
            <w:pPr>
              <w:pStyle w:val="15"/>
            </w:pPr>
            <w:r>
              <w:t>161.00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689.65</w:t>
            </w:r>
          </w:p>
        </w:tc>
        <w:tc>
          <w:tcPr>
            <w:tcW w:w="2551" w:type="dxa"/>
            <w:vAlign w:val="center"/>
          </w:tcPr>
          <w:p>
            <w:pPr>
              <w:pStyle w:val="11"/>
            </w:pPr>
            <w:r>
              <w:t>689.65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290.00</w:t>
            </w:r>
          </w:p>
        </w:tc>
        <w:tc>
          <w:tcPr>
            <w:tcW w:w="2551" w:type="dxa"/>
            <w:vAlign w:val="center"/>
          </w:tcPr>
          <w:p>
            <w:pPr>
              <w:pStyle w:val="11"/>
            </w:pPr>
            <w:r>
              <w:t>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148.00</w:t>
            </w:r>
          </w:p>
        </w:tc>
        <w:tc>
          <w:tcPr>
            <w:tcW w:w="2551" w:type="dxa"/>
            <w:vAlign w:val="center"/>
          </w:tcPr>
          <w:p>
            <w:pPr>
              <w:pStyle w:val="11"/>
            </w:pPr>
            <w:r>
              <w:t>148.00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124.00</w:t>
            </w:r>
          </w:p>
        </w:tc>
        <w:tc>
          <w:tcPr>
            <w:tcW w:w="2551" w:type="dxa"/>
            <w:vAlign w:val="center"/>
          </w:tcPr>
          <w:p>
            <w:pPr>
              <w:pStyle w:val="11"/>
            </w:pPr>
            <w:r>
              <w:t>124.00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19.40</w:t>
            </w:r>
          </w:p>
        </w:tc>
        <w:tc>
          <w:tcPr>
            <w:tcW w:w="2551" w:type="dxa"/>
            <w:vAlign w:val="center"/>
          </w:tcPr>
          <w:p>
            <w:pPr>
              <w:pStyle w:val="11"/>
            </w:pPr>
            <w:r>
              <w:t>19.40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2.25</w:t>
            </w:r>
          </w:p>
        </w:tc>
        <w:tc>
          <w:tcPr>
            <w:tcW w:w="2551" w:type="dxa"/>
            <w:vAlign w:val="center"/>
          </w:tcPr>
          <w:p>
            <w:pPr>
              <w:pStyle w:val="11"/>
            </w:pPr>
            <w:r>
              <w:t>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161.00</w:t>
            </w:r>
          </w:p>
        </w:tc>
        <w:tc>
          <w:tcPr>
            <w:tcW w:w="2551" w:type="dxa"/>
            <w:vAlign w:val="center"/>
          </w:tcPr>
          <w:p>
            <w:pPr>
              <w:pStyle w:val="11"/>
            </w:pPr>
          </w:p>
        </w:tc>
        <w:tc>
          <w:tcPr>
            <w:tcW w:w="2551" w:type="dxa"/>
            <w:vAlign w:val="center"/>
          </w:tcPr>
          <w:p>
            <w:pPr>
              <w:pStyle w:val="11"/>
            </w:pPr>
            <w:r>
              <w:t>161.00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76.63</w:t>
            </w:r>
          </w:p>
        </w:tc>
        <w:tc>
          <w:tcPr>
            <w:tcW w:w="2551" w:type="dxa"/>
            <w:vAlign w:val="center"/>
          </w:tcPr>
          <w:p>
            <w:pPr>
              <w:pStyle w:val="11"/>
            </w:pPr>
          </w:p>
        </w:tc>
        <w:tc>
          <w:tcPr>
            <w:tcW w:w="2551" w:type="dxa"/>
            <w:vAlign w:val="center"/>
          </w:tcPr>
          <w:p>
            <w:pPr>
              <w:pStyle w:val="11"/>
            </w:pPr>
            <w:r>
              <w:t>76.63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27.00</w:t>
            </w:r>
          </w:p>
        </w:tc>
        <w:tc>
          <w:tcPr>
            <w:tcW w:w="2551" w:type="dxa"/>
            <w:vAlign w:val="center"/>
          </w:tcPr>
          <w:p>
            <w:pPr>
              <w:pStyle w:val="11"/>
            </w:pPr>
          </w:p>
        </w:tc>
        <w:tc>
          <w:tcPr>
            <w:tcW w:w="2551"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20.37</w:t>
            </w:r>
          </w:p>
        </w:tc>
        <w:tc>
          <w:tcPr>
            <w:tcW w:w="2551" w:type="dxa"/>
            <w:vAlign w:val="center"/>
          </w:tcPr>
          <w:p>
            <w:pPr>
              <w:pStyle w:val="11"/>
            </w:pPr>
          </w:p>
        </w:tc>
        <w:tc>
          <w:tcPr>
            <w:tcW w:w="2551" w:type="dxa"/>
            <w:vAlign w:val="center"/>
          </w:tcPr>
          <w:p>
            <w:pPr>
              <w:pStyle w:val="11"/>
            </w:pPr>
            <w:r>
              <w:t>20.37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37.00</w:t>
            </w:r>
          </w:p>
        </w:tc>
        <w:tc>
          <w:tcPr>
            <w:tcW w:w="2551" w:type="dxa"/>
            <w:vAlign w:val="center"/>
          </w:tcPr>
          <w:p>
            <w:pPr>
              <w:pStyle w:val="11"/>
            </w:pPr>
          </w:p>
        </w:tc>
        <w:tc>
          <w:tcPr>
            <w:tcW w:w="2551"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68.80</w:t>
            </w:r>
          </w:p>
        </w:tc>
        <w:tc>
          <w:tcPr>
            <w:tcW w:w="2551" w:type="dxa"/>
            <w:vAlign w:val="center"/>
          </w:tcPr>
          <w:p>
            <w:pPr>
              <w:pStyle w:val="11"/>
            </w:pPr>
            <w:r>
              <w:t>68.80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68.80</w:t>
            </w:r>
          </w:p>
        </w:tc>
        <w:tc>
          <w:tcPr>
            <w:tcW w:w="2551" w:type="dxa"/>
            <w:vAlign w:val="center"/>
          </w:tcPr>
          <w:p>
            <w:pPr>
              <w:pStyle w:val="11"/>
            </w:pPr>
            <w:r>
              <w:t>68.80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20.37</w:t>
            </w:r>
          </w:p>
        </w:tc>
        <w:tc>
          <w:tcPr>
            <w:tcW w:w="2381" w:type="dxa"/>
            <w:vAlign w:val="center"/>
          </w:tcPr>
          <w:p>
            <w:pPr>
              <w:pStyle w:val="15"/>
            </w:pPr>
            <w:r>
              <w:t>20.37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20.37</w:t>
            </w:r>
          </w:p>
        </w:tc>
        <w:tc>
          <w:tcPr>
            <w:tcW w:w="2381" w:type="dxa"/>
            <w:vAlign w:val="center"/>
          </w:tcPr>
          <w:p>
            <w:pPr>
              <w:pStyle w:val="11"/>
            </w:pPr>
            <w:r>
              <w:t>20.37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20.37</w:t>
            </w:r>
          </w:p>
        </w:tc>
        <w:tc>
          <w:tcPr>
            <w:tcW w:w="2381" w:type="dxa"/>
            <w:vAlign w:val="center"/>
          </w:tcPr>
          <w:p>
            <w:pPr>
              <w:pStyle w:val="11"/>
            </w:pPr>
            <w:r>
              <w:t>20.37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20.37</w:t>
            </w:r>
          </w:p>
        </w:tc>
        <w:tc>
          <w:tcPr>
            <w:tcW w:w="2381" w:type="dxa"/>
            <w:vAlign w:val="center"/>
          </w:tcPr>
          <w:p>
            <w:pPr>
              <w:pStyle w:val="11"/>
            </w:pPr>
            <w:r>
              <w:t>20.37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中国共产党无极县纪律检查委员会本级2026年单位预算信息公开情况说明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按照《中华人民共和国预算法》、《地方预决算公开操作规程》和《关于进一步推进预算公开工作的实施意见》规定，现将中国共产党无极县纪律检查委员会本级2026年单位预算公开如下：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县的纪律检查工作。依照党的章程和其他党内法规履行监督、执纪、问责职责。支持配合巡视、巡察工作。负责全县监察工作。依照法律规定履行监督、调查、处置职责。负责组织协调全面从严治党、党风廉政建设和反腐败宣传教育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中国共产党无极县纪律检查委员会本级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929.65万元，其中：一般公共预算收入929.65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纪律检查委员会本级年度单位预算中支出预算的总体情况。2026年支出预算929.65万元，其中基本支出919.45万元，包括人员经费758.45万元和日常公用经费161.00万元；项目支出10.20万元，主要为2026年中央政法纪检监察转移支付资金10.2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929.65万元，较2025年预算减少42.65万元，其中：基本支出减少52.85万元，主要为2026年度我部门节省经费开支，公用经费减少。项目支出增加10.20万元，主要为2026年中央政法纪检监察转移支付资金10.2万元，较上年增加10.2万元，原因新增2026年中央政法纪检监察转移支付资金10.2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2026年，我单位机关运行经费共计安排161.00万元，主要用于日常维修、办公用房水电费、办公用房取暖费、办公用房物业管理费等日常运行支出。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20.37万元，其中因公出国（境）费0.00万元；公务用车购置及运维费20.37万元（其中：公务用车购置费为0.00万元，公务用车运维费20.37万元)；公务接待费0.00万元。与2025年相比增加2.37万元，增减变化的主要原因是2026年度我单位财政拨款“三公”经费预算安排20.37万元，与上年相比增加2.37万元。其中：其中因公出国（境）费0.00万，与上年持平，原因为未安排出国（境）经费；公务用车购置及运维费20.37万元，较上年增长2.37万元（其中：公务用车购置费为0.00万元，与上年持平，公务用车运维费20.37万元，较上年增加2.37万元)，原因为我单位公务用车因年久老化，维护次数及成本增加；公务接待费0.00万元，与上年持平，主要原因为我单位2026年度未安排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13013026P00007110008Y</w:t>
            </w:r>
          </w:p>
        </w:tc>
        <w:tc>
          <w:tcPr>
            <w:tcW w:w="2835" w:type="dxa"/>
            <w:vAlign w:val="center"/>
          </w:tcPr>
          <w:p>
            <w:pPr>
              <w:pStyle w:val="10"/>
            </w:pPr>
            <w:r>
              <w:t>项目名称</w:t>
            </w:r>
          </w:p>
        </w:tc>
        <w:tc>
          <w:tcPr>
            <w:tcW w:w="6095" w:type="dxa"/>
            <w:gridSpan w:val="3"/>
            <w:vAlign w:val="center"/>
          </w:tcPr>
          <w:p>
            <w:pPr>
              <w:pStyle w:val="12"/>
            </w:pPr>
            <w:r>
              <w:t>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10.20</w:t>
            </w:r>
          </w:p>
        </w:tc>
        <w:tc>
          <w:tcPr>
            <w:tcW w:w="2835" w:type="dxa"/>
            <w:vAlign w:val="center"/>
          </w:tcPr>
          <w:p>
            <w:pPr>
              <w:pStyle w:val="10"/>
            </w:pPr>
            <w:r>
              <w:t>其中：财政    资金</w:t>
            </w:r>
          </w:p>
        </w:tc>
        <w:tc>
          <w:tcPr>
            <w:tcW w:w="2551" w:type="dxa"/>
            <w:vAlign w:val="center"/>
          </w:tcPr>
          <w:p>
            <w:pPr>
              <w:pStyle w:val="12"/>
            </w:pPr>
            <w:r>
              <w:t>10.20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1.保障纪检监察事务的顺利进行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开展监督检查/调研等人次数</w:t>
            </w:r>
          </w:p>
        </w:tc>
        <w:tc>
          <w:tcPr>
            <w:tcW w:w="5386" w:type="dxa"/>
            <w:vAlign w:val="center"/>
          </w:tcPr>
          <w:p>
            <w:pPr>
              <w:pStyle w:val="12"/>
            </w:pPr>
            <w:r>
              <w:t>开展监督检查/调研等人次数</w:t>
            </w:r>
          </w:p>
        </w:tc>
        <w:tc>
          <w:tcPr>
            <w:tcW w:w="2268" w:type="dxa"/>
            <w:vAlign w:val="center"/>
          </w:tcPr>
          <w:p>
            <w:pPr>
              <w:pStyle w:val="12"/>
            </w:pPr>
            <w:r>
              <w:t>≥90大于等于90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100等于100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5386" w:type="dxa"/>
            <w:vAlign w:val="center"/>
          </w:tcPr>
          <w:p>
            <w:pPr>
              <w:pStyle w:val="12"/>
            </w:pPr>
            <w:r>
              <w:t>业务处理及时性(％)</w:t>
            </w:r>
          </w:p>
        </w:tc>
        <w:tc>
          <w:tcPr>
            <w:tcW w:w="2268" w:type="dxa"/>
            <w:vAlign w:val="center"/>
          </w:tcPr>
          <w:p>
            <w:pPr>
              <w:pStyle w:val="12"/>
            </w:pPr>
            <w:r>
              <w:t>≥90大于等于100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控制在批复概算内</w:t>
            </w:r>
          </w:p>
        </w:tc>
        <w:tc>
          <w:tcPr>
            <w:tcW w:w="5386" w:type="dxa"/>
            <w:vAlign w:val="center"/>
          </w:tcPr>
          <w:p>
            <w:pPr>
              <w:pStyle w:val="12"/>
            </w:pPr>
            <w:r>
              <w:t>控制在批复概算内</w:t>
            </w:r>
          </w:p>
        </w:tc>
        <w:tc>
          <w:tcPr>
            <w:tcW w:w="2268" w:type="dxa"/>
            <w:vAlign w:val="center"/>
          </w:tcPr>
          <w:p>
            <w:pPr>
              <w:pStyle w:val="12"/>
            </w:pPr>
            <w:r>
              <w:t>≥90大于等于90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≥90大于等于90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≥90大于等于90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≥90大于等于90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≥90大于等于90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≥90大于等于90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中国共产党无极县纪律检查委员会本级上年末固定资产金额为130.87万元（详见下表）。本年度拟购置固定资产总额为0.00万元，已按要求列入政府采购预算，详见政府采购预算表。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130.87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547C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2026-02-26T10:08:00Z</dcterms:created>
  <dc:creator>Administrator</dc:creator>
  <cp:lastModifiedBy>Administrator</cp:lastModifiedBy>
  <dcterms:modified xsi:type="dcterms:W3CDTF">2026-02-26T02:11:05Z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4308EC2E8FBA442D8A088774330B42BE</vt:lpwstr>
  </property>
</Properties>
</file>