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一、无极县公安局交通管理大队本级收支预算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一、无极县公安局交通管理大队本级收支预算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54.00</w:t>
            </w:r>
          </w:p>
        </w:tc>
        <w:tc>
          <w:tcPr>
            <w:tcW w:w="4535" w:type="dxa"/>
            <w:vAlign w:val="center"/>
          </w:tcPr>
          <w:p>
            <w:pPr>
              <w:pStyle w:val="14"/>
            </w:pPr>
            <w:r>
              <w:t>本年支出合计</w:t>
            </w:r>
          </w:p>
        </w:tc>
        <w:tc>
          <w:tcPr>
            <w:tcW w:w="2126" w:type="dxa"/>
            <w:vAlign w:val="center"/>
          </w:tcPr>
          <w:p>
            <w:pPr>
              <w:pStyle w:val="15"/>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0.68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54.68</w:t>
            </w:r>
          </w:p>
        </w:tc>
        <w:tc>
          <w:tcPr>
            <w:tcW w:w="4535" w:type="dxa"/>
            <w:vAlign w:val="center"/>
          </w:tcPr>
          <w:p>
            <w:pPr>
              <w:pStyle w:val="14"/>
            </w:pPr>
            <w:r>
              <w:t>支出总计</w:t>
            </w:r>
          </w:p>
        </w:tc>
        <w:tc>
          <w:tcPr>
            <w:tcW w:w="2126" w:type="dxa"/>
            <w:vAlign w:val="center"/>
          </w:tcPr>
          <w:p>
            <w:pPr>
              <w:pStyle w:val="15"/>
            </w:pPr>
            <w:r>
              <w:t>54.68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54.68</w:t>
            </w:r>
          </w:p>
        </w:tc>
        <w:tc>
          <w:tcPr>
            <w:tcW w:w="1134" w:type="dxa"/>
            <w:vAlign w:val="center"/>
          </w:tcPr>
          <w:p>
            <w:pPr>
              <w:pStyle w:val="15"/>
            </w:pPr>
            <w:r>
              <w:t>54.00</w:t>
            </w:r>
          </w:p>
        </w:tc>
        <w:tc>
          <w:tcPr>
            <w:tcW w:w="1134" w:type="dxa"/>
            <w:vAlign w:val="center"/>
          </w:tcPr>
          <w:p>
            <w:pPr>
              <w:pStyle w:val="15"/>
            </w:pPr>
            <w:r>
              <w:t>54.00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54.68</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54.68</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54.68</w:t>
            </w:r>
          </w:p>
        </w:tc>
        <w:tc>
          <w:tcPr>
            <w:tcW w:w="1134" w:type="dxa"/>
            <w:vAlign w:val="center"/>
          </w:tcPr>
          <w:p>
            <w:pPr>
              <w:pStyle w:val="11"/>
            </w:pPr>
            <w:r>
              <w:t>54.00</w:t>
            </w:r>
          </w:p>
        </w:tc>
        <w:tc>
          <w:tcPr>
            <w:tcW w:w="1134" w:type="dxa"/>
            <w:vAlign w:val="center"/>
          </w:tcPr>
          <w:p>
            <w:pPr>
              <w:pStyle w:val="11"/>
            </w:pPr>
            <w:r>
              <w:t>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0.68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54.68</w:t>
            </w:r>
          </w:p>
        </w:tc>
        <w:tc>
          <w:tcPr>
            <w:tcW w:w="1361" w:type="dxa"/>
            <w:vAlign w:val="center"/>
          </w:tcPr>
          <w:p>
            <w:pPr>
              <w:pStyle w:val="15"/>
            </w:pPr>
          </w:p>
        </w:tc>
        <w:tc>
          <w:tcPr>
            <w:tcW w:w="1361" w:type="dxa"/>
            <w:vAlign w:val="center"/>
          </w:tcPr>
          <w:p>
            <w:pPr>
              <w:pStyle w:val="15"/>
            </w:pPr>
            <w:r>
              <w:t>54.68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54.68</w:t>
            </w:r>
          </w:p>
        </w:tc>
        <w:tc>
          <w:tcPr>
            <w:tcW w:w="1361" w:type="dxa"/>
            <w:vAlign w:val="center"/>
          </w:tcPr>
          <w:p>
            <w:pPr>
              <w:pStyle w:val="11"/>
            </w:pPr>
          </w:p>
        </w:tc>
        <w:tc>
          <w:tcPr>
            <w:tcW w:w="1361" w:type="dxa"/>
            <w:vAlign w:val="center"/>
          </w:tcPr>
          <w:p>
            <w:pPr>
              <w:pStyle w:val="11"/>
            </w:pPr>
            <w:r>
              <w:t>54.68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54.68</w:t>
            </w:r>
          </w:p>
        </w:tc>
        <w:tc>
          <w:tcPr>
            <w:tcW w:w="1361" w:type="dxa"/>
            <w:vAlign w:val="center"/>
          </w:tcPr>
          <w:p>
            <w:pPr>
              <w:pStyle w:val="11"/>
            </w:pPr>
          </w:p>
        </w:tc>
        <w:tc>
          <w:tcPr>
            <w:tcW w:w="1361" w:type="dxa"/>
            <w:vAlign w:val="center"/>
          </w:tcPr>
          <w:p>
            <w:pPr>
              <w:pStyle w:val="11"/>
            </w:pPr>
            <w:r>
              <w:t>54.68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pPr>
            <w:r>
              <w:t>54.68</w:t>
            </w:r>
          </w:p>
        </w:tc>
        <w:tc>
          <w:tcPr>
            <w:tcW w:w="1361" w:type="dxa"/>
            <w:vAlign w:val="center"/>
          </w:tcPr>
          <w:p>
            <w:pPr>
              <w:pStyle w:val="11"/>
            </w:pPr>
          </w:p>
        </w:tc>
        <w:tc>
          <w:tcPr>
            <w:tcW w:w="1361" w:type="dxa"/>
            <w:vAlign w:val="center"/>
          </w:tcPr>
          <w:p>
            <w:pPr>
              <w:pStyle w:val="11"/>
            </w:pPr>
            <w:r>
              <w:t>54.68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54.68</w:t>
            </w:r>
          </w:p>
        </w:tc>
        <w:tc>
          <w:tcPr>
            <w:tcW w:w="1474" w:type="dxa"/>
            <w:vAlign w:val="center"/>
          </w:tcPr>
          <w:p>
            <w:pPr>
              <w:pStyle w:val="11"/>
            </w:pPr>
            <w:r>
              <w:t>54.68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54.00</w:t>
            </w:r>
          </w:p>
        </w:tc>
        <w:tc>
          <w:tcPr>
            <w:tcW w:w="3402" w:type="dxa"/>
            <w:vAlign w:val="center"/>
          </w:tcPr>
          <w:p>
            <w:pPr>
              <w:pStyle w:val="14"/>
            </w:pPr>
            <w:r>
              <w:t>本年支出合计</w:t>
            </w:r>
          </w:p>
        </w:tc>
        <w:tc>
          <w:tcPr>
            <w:tcW w:w="1474" w:type="dxa"/>
            <w:vAlign w:val="center"/>
          </w:tcPr>
          <w:p>
            <w:pPr>
              <w:pStyle w:val="15"/>
            </w:pPr>
            <w:r>
              <w:t>54.68</w:t>
            </w:r>
          </w:p>
        </w:tc>
        <w:tc>
          <w:tcPr>
            <w:tcW w:w="1474" w:type="dxa"/>
            <w:vAlign w:val="center"/>
          </w:tcPr>
          <w:p>
            <w:pPr>
              <w:pStyle w:val="15"/>
            </w:pPr>
            <w:r>
              <w:t>54.68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0.68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0.68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54.68</w:t>
            </w:r>
          </w:p>
        </w:tc>
        <w:tc>
          <w:tcPr>
            <w:tcW w:w="3402" w:type="dxa"/>
            <w:vAlign w:val="center"/>
          </w:tcPr>
          <w:p>
            <w:pPr>
              <w:pStyle w:val="14"/>
            </w:pPr>
            <w:r>
              <w:t>支出总计</w:t>
            </w:r>
          </w:p>
        </w:tc>
        <w:tc>
          <w:tcPr>
            <w:tcW w:w="1474" w:type="dxa"/>
            <w:vAlign w:val="center"/>
          </w:tcPr>
          <w:p>
            <w:pPr>
              <w:pStyle w:val="15"/>
            </w:pPr>
            <w:r>
              <w:t>54.68</w:t>
            </w:r>
          </w:p>
        </w:tc>
        <w:tc>
          <w:tcPr>
            <w:tcW w:w="1474" w:type="dxa"/>
            <w:vAlign w:val="center"/>
          </w:tcPr>
          <w:p>
            <w:pPr>
              <w:pStyle w:val="15"/>
            </w:pPr>
            <w:r>
              <w:t>54.68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54.68</w:t>
            </w:r>
          </w:p>
        </w:tc>
        <w:tc>
          <w:tcPr>
            <w:tcW w:w="2551" w:type="dxa"/>
            <w:vAlign w:val="center"/>
          </w:tcPr>
          <w:p>
            <w:pPr>
              <w:pStyle w:val="15"/>
            </w:pPr>
          </w:p>
        </w:tc>
        <w:tc>
          <w:tcPr>
            <w:tcW w:w="2551" w:type="dxa"/>
            <w:vAlign w:val="center"/>
          </w:tcPr>
          <w:p>
            <w:pPr>
              <w:pStyle w:val="15"/>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54.68</w:t>
            </w:r>
          </w:p>
        </w:tc>
        <w:tc>
          <w:tcPr>
            <w:tcW w:w="2551" w:type="dxa"/>
            <w:vAlign w:val="center"/>
          </w:tcPr>
          <w:p>
            <w:pPr>
              <w:pStyle w:val="11"/>
            </w:pPr>
          </w:p>
        </w:tc>
        <w:tc>
          <w:tcPr>
            <w:tcW w:w="2551" w:type="dxa"/>
            <w:vAlign w:val="center"/>
          </w:tcPr>
          <w:p>
            <w:pPr>
              <w:pStyle w:val="11"/>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54.68</w:t>
            </w:r>
          </w:p>
        </w:tc>
        <w:tc>
          <w:tcPr>
            <w:tcW w:w="2551" w:type="dxa"/>
            <w:vAlign w:val="center"/>
          </w:tcPr>
          <w:p>
            <w:pPr>
              <w:pStyle w:val="11"/>
            </w:pPr>
          </w:p>
        </w:tc>
        <w:tc>
          <w:tcPr>
            <w:tcW w:w="2551" w:type="dxa"/>
            <w:vAlign w:val="center"/>
          </w:tcPr>
          <w:p>
            <w:pPr>
              <w:pStyle w:val="11"/>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54.68</w:t>
            </w:r>
          </w:p>
        </w:tc>
        <w:tc>
          <w:tcPr>
            <w:tcW w:w="2551" w:type="dxa"/>
            <w:vAlign w:val="center"/>
          </w:tcPr>
          <w:p>
            <w:pPr>
              <w:pStyle w:val="11"/>
            </w:pPr>
          </w:p>
        </w:tc>
        <w:tc>
          <w:tcPr>
            <w:tcW w:w="2551" w:type="dxa"/>
            <w:vAlign w:val="center"/>
          </w:tcPr>
          <w:p>
            <w:pPr>
              <w:pStyle w:val="11"/>
            </w:pPr>
            <w:r>
              <w:t>54.68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无极县公安局交通管理大队本级2026年单位预算信息公开情况说明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按照《中华人民共和国预算法》、《地方预决算公开操作规程》和《关于进一步推进预算公开工作的实施意见》规定，现将无极县公安局交通管理大队本级2026年单位预算公开如下：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交警大队是主管全县道路交通安全和交通秩序以及机动车、驾驶人管理工作的职能部门。是负责本地区道路交通的组织、指挥、控制，运用现代管理科学，增强道路交通协调与控制能力。</w:t>
      </w:r>
    </w:p>
    <w:p>
      <w:pPr>
        <w:pStyle w:val="17"/>
      </w:pPr>
      <w:r>
        <w:t>维护全县的道路交通秩序，保障道路交通安全畅通。预防和处理交通事故，制止妨碍道路交通安全的行为。预防和打击公路上发生的违法犯罪活动，查缉逃犯及其他犯罪嫌疑人。</w:t>
      </w:r>
    </w:p>
    <w:p>
      <w:pPr>
        <w:pStyle w:val="17"/>
      </w:pPr>
      <w:r>
        <w:t>巡逻道路：先期处置道路治安、刑事案件和突发性、群体性事件。</w:t>
      </w:r>
    </w:p>
    <w:p>
      <w:pPr>
        <w:pStyle w:val="17"/>
      </w:pPr>
      <w: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pStyle w:val="17"/>
      </w:pPr>
      <w:r>
        <w:t>根据中华人民共和国道路安全法，对违反交通安全法律、法规、规章的驾驶员和车辆进行纠正。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无极县公安局交通管理大队本级</w:t>
            </w:r>
          </w:p>
        </w:tc>
        <w:tc>
          <w:tcPr>
            <w:tcW w:w="1843" w:type="dxa"/>
            <w:vAlign w:val="center"/>
          </w:tcPr>
          <w:p>
            <w:pPr>
              <w:pStyle w:val="13"/>
            </w:pPr>
            <w:r>
              <w:t>行政</w:t>
            </w:r>
          </w:p>
        </w:tc>
        <w:tc>
          <w:tcPr>
            <w:tcW w:w="2126" w:type="dxa"/>
            <w:vAlign w:val="center"/>
          </w:tcPr>
          <w:p>
            <w:pPr>
              <w:pStyle w:val="13"/>
            </w:pPr>
            <w:r>
              <w:rPr>
                <w:rFonts w:hint="eastAsia"/>
                <w:lang w:val="en-US" w:eastAsia="zh-CN"/>
              </w:rPr>
              <w:t>副</w:t>
            </w:r>
            <w:r>
              <w:t>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54.68万元，其中：一般公共预算收入54.00万元，基金预算收入0.00万元，国有资本经营预算收入0.00万元，财政专户核拨收入0.00万元，单位资金收入0.00万元，上年结转结余0.68万元。</w:t>
      </w:r>
    </w:p>
    <w:p>
      <w:pPr>
        <w:pStyle w:val="18"/>
      </w:pPr>
      <w:r>
        <w:t>2、支出说明</w:t>
      </w:r>
    </w:p>
    <w:p>
      <w:pPr>
        <w:pStyle w:val="18"/>
      </w:pPr>
      <w:r>
        <w:t>收支预算总表支出栏、基本支出表、项目支出表按经济分类和支出功能分类科目编制，反映无极县公安局交通管理大队本级年度单位预算中支出预算的总体情况。2026年支出预算54.68万元，其中基本支出0.00万元，包括人员经费0.00万元和日常公用经费0.00万元；项目支出54.68万元，主要为2026年中央政法纪检监察转移支付资金冀财政法【2025】43号37万元，2026年基层公检法司转移支付资金冀财政法【2025】42号17万元，25年省级基层公检法司转移支付资金冀财政法【2024】52号0.68万元</w:t>
      </w:r>
      <w:bookmarkStart w:id="1" w:name="_GoBack"/>
      <w:bookmarkEnd w:id="1"/>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54.68万元，较2025年预算减少636.32万元，其中：基本支出减少630.00万元，主要为公用经费2026年用的调剂指标。项目支出减少6.32万元，主要为信号灯及监控设备安装工程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严格控制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1、25年省级基层公检法司转移支付资金冀财政法【2024】52号绩效目标表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13013025P00017610634H</w:t>
            </w:r>
          </w:p>
        </w:tc>
        <w:tc>
          <w:tcPr>
            <w:tcW w:w="2835" w:type="dxa"/>
            <w:vAlign w:val="center"/>
          </w:tcPr>
          <w:p>
            <w:pPr>
              <w:pStyle w:val="10"/>
            </w:pPr>
            <w:r>
              <w:t>项目名称</w:t>
            </w:r>
          </w:p>
        </w:tc>
        <w:tc>
          <w:tcPr>
            <w:tcW w:w="6095" w:type="dxa"/>
            <w:gridSpan w:val="3"/>
            <w:vAlign w:val="center"/>
          </w:tcPr>
          <w:p>
            <w:pPr>
              <w:pStyle w:val="12"/>
            </w:pPr>
            <w:r>
              <w:t>25年省级基层公检法司转移支付资金冀财政法【2024】52号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0.68</w:t>
            </w:r>
          </w:p>
        </w:tc>
        <w:tc>
          <w:tcPr>
            <w:tcW w:w="2835" w:type="dxa"/>
            <w:vAlign w:val="center"/>
          </w:tcPr>
          <w:p>
            <w:pPr>
              <w:pStyle w:val="10"/>
            </w:pPr>
            <w:r>
              <w:t>其中：财政    资金</w:t>
            </w:r>
          </w:p>
        </w:tc>
        <w:tc>
          <w:tcPr>
            <w:tcW w:w="2551" w:type="dxa"/>
            <w:vAlign w:val="center"/>
          </w:tcPr>
          <w:p>
            <w:pPr>
              <w:pStyle w:val="12"/>
            </w:pPr>
            <w:r>
              <w:t>0.68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用于信号灯及监控测速设备购置及安装。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0.20</w:t>
            </w:r>
          </w:p>
        </w:tc>
        <w:tc>
          <w:tcPr>
            <w:tcW w:w="2835" w:type="dxa"/>
            <w:vAlign w:val="center"/>
          </w:tcPr>
          <w:p>
            <w:pPr>
              <w:pStyle w:val="13"/>
            </w:pPr>
            <w:r>
              <w:t>0.40</w:t>
            </w:r>
          </w:p>
        </w:tc>
        <w:tc>
          <w:tcPr>
            <w:tcW w:w="2551" w:type="dxa"/>
            <w:vAlign w:val="center"/>
          </w:tcPr>
          <w:p>
            <w:pPr>
              <w:pStyle w:val="13"/>
            </w:pPr>
            <w:r>
              <w:t>0.60</w:t>
            </w:r>
          </w:p>
        </w:tc>
        <w:tc>
          <w:tcPr>
            <w:tcW w:w="3544" w:type="dxa"/>
            <w:gridSpan w:val="2"/>
            <w:vAlign w:val="center"/>
          </w:tcPr>
          <w:p>
            <w:pPr>
              <w:pStyle w:val="13"/>
            </w:pPr>
            <w:r>
              <w:t>0.68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1.保障正常的交通秩序，缓解交通阻塞，降低交通违法。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信号灯及测速设备数量</w:t>
            </w:r>
          </w:p>
        </w:tc>
        <w:tc>
          <w:tcPr>
            <w:tcW w:w="5386" w:type="dxa"/>
            <w:vAlign w:val="center"/>
          </w:tcPr>
          <w:p>
            <w:pPr>
              <w:pStyle w:val="12"/>
            </w:pPr>
            <w:r>
              <w:t>信号灯及测速设备数量</w:t>
            </w:r>
          </w:p>
        </w:tc>
        <w:tc>
          <w:tcPr>
            <w:tcW w:w="2268" w:type="dxa"/>
            <w:vAlign w:val="center"/>
          </w:tcPr>
          <w:p>
            <w:pPr>
              <w:pStyle w:val="12"/>
            </w:pPr>
            <w:r>
              <w:t>实际安装数量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所购设备验收合格率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设备安装完成时间</w:t>
            </w:r>
          </w:p>
        </w:tc>
        <w:tc>
          <w:tcPr>
            <w:tcW w:w="5386" w:type="dxa"/>
            <w:vAlign w:val="center"/>
          </w:tcPr>
          <w:p>
            <w:pPr>
              <w:pStyle w:val="12"/>
            </w:pPr>
            <w:r>
              <w:t>设备安装完成时间</w:t>
            </w:r>
          </w:p>
        </w:tc>
        <w:tc>
          <w:tcPr>
            <w:tcW w:w="2268" w:type="dxa"/>
            <w:vAlign w:val="center"/>
          </w:tcPr>
          <w:p>
            <w:pPr>
              <w:pStyle w:val="12"/>
            </w:pPr>
            <w:r>
              <w:t>2025年12月31日前完成</w:t>
            </w:r>
          </w:p>
        </w:tc>
        <w:tc>
          <w:tcPr>
            <w:tcW w:w="1276" w:type="dxa"/>
            <w:vAlign w:val="center"/>
          </w:tcPr>
          <w:p>
            <w:pPr>
              <w:pStyle w:val="12"/>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信号灯及测速设备购置成本</w:t>
            </w:r>
          </w:p>
        </w:tc>
        <w:tc>
          <w:tcPr>
            <w:tcW w:w="5386" w:type="dxa"/>
            <w:vAlign w:val="center"/>
          </w:tcPr>
          <w:p>
            <w:pPr>
              <w:pStyle w:val="12"/>
            </w:pPr>
            <w:r>
              <w:t>信号灯及测速设备购置成本</w:t>
            </w:r>
          </w:p>
        </w:tc>
        <w:tc>
          <w:tcPr>
            <w:tcW w:w="2268" w:type="dxa"/>
            <w:vAlign w:val="center"/>
          </w:tcPr>
          <w:p>
            <w:pPr>
              <w:pStyle w:val="12"/>
            </w:pPr>
            <w:r>
              <w:t>≤6831元</w:t>
            </w:r>
          </w:p>
        </w:tc>
        <w:tc>
          <w:tcPr>
            <w:tcW w:w="1276" w:type="dxa"/>
            <w:vAlign w:val="center"/>
          </w:tcPr>
          <w:p>
            <w:pPr>
              <w:pStyle w:val="12"/>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保障交通秩序正常</w:t>
            </w:r>
          </w:p>
        </w:tc>
        <w:tc>
          <w:tcPr>
            <w:tcW w:w="5386" w:type="dxa"/>
            <w:vAlign w:val="center"/>
          </w:tcPr>
          <w:p>
            <w:pPr>
              <w:pStyle w:val="12"/>
            </w:pPr>
            <w:r>
              <w:t>保障交通秩序正常</w:t>
            </w:r>
          </w:p>
        </w:tc>
        <w:tc>
          <w:tcPr>
            <w:tcW w:w="2268" w:type="dxa"/>
            <w:vAlign w:val="center"/>
          </w:tcPr>
          <w:p>
            <w:pPr>
              <w:pStyle w:val="12"/>
            </w:pPr>
            <w:r>
              <w:t>有效保障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2、26年基层公检法司转移支付资金（冀财政法【2025】42号绩效目标表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13013026P00007110007B</w:t>
            </w:r>
          </w:p>
        </w:tc>
        <w:tc>
          <w:tcPr>
            <w:tcW w:w="2835" w:type="dxa"/>
            <w:vAlign w:val="center"/>
          </w:tcPr>
          <w:p>
            <w:pPr>
              <w:pStyle w:val="10"/>
            </w:pPr>
            <w:r>
              <w:t>项目名称</w:t>
            </w:r>
          </w:p>
        </w:tc>
        <w:tc>
          <w:tcPr>
            <w:tcW w:w="6095" w:type="dxa"/>
            <w:gridSpan w:val="3"/>
            <w:vAlign w:val="center"/>
          </w:tcPr>
          <w:p>
            <w:pPr>
              <w:pStyle w:val="12"/>
            </w:pPr>
            <w:r>
              <w:t>26年基层公检法司转移支付资金（冀财政法【2025】42号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用于购买信号灯及监控、测速设备及安装工程。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17.00</w:t>
            </w:r>
          </w:p>
        </w:tc>
        <w:tc>
          <w:tcPr>
            <w:tcW w:w="2551" w:type="dxa"/>
            <w:vAlign w:val="center"/>
          </w:tcPr>
          <w:p>
            <w:pPr>
              <w:pStyle w:val="13"/>
            </w:pPr>
            <w:r>
              <w:t>17.00</w:t>
            </w:r>
          </w:p>
        </w:tc>
        <w:tc>
          <w:tcPr>
            <w:tcW w:w="3544" w:type="dxa"/>
            <w:gridSpan w:val="2"/>
            <w:vAlign w:val="center"/>
          </w:tcPr>
          <w:p>
            <w:pPr>
              <w:pStyle w:val="13"/>
            </w:pPr>
            <w:r>
              <w:t>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1.用于信号灯监控、测速设备、抓拍设备安装。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信号灯及抓拍设备数量</w:t>
            </w:r>
          </w:p>
        </w:tc>
        <w:tc>
          <w:tcPr>
            <w:tcW w:w="5386" w:type="dxa"/>
            <w:vAlign w:val="center"/>
          </w:tcPr>
          <w:p>
            <w:pPr>
              <w:pStyle w:val="12"/>
            </w:pPr>
            <w:r>
              <w:t>信号灯及抓拍设备数量</w:t>
            </w:r>
          </w:p>
        </w:tc>
        <w:tc>
          <w:tcPr>
            <w:tcW w:w="2268" w:type="dxa"/>
            <w:vAlign w:val="center"/>
          </w:tcPr>
          <w:p>
            <w:pPr>
              <w:pStyle w:val="12"/>
            </w:pPr>
            <w:r>
              <w:t>实际安装数量</w:t>
            </w:r>
          </w:p>
        </w:tc>
        <w:tc>
          <w:tcPr>
            <w:tcW w:w="1276" w:type="dxa"/>
            <w:vAlign w:val="center"/>
          </w:tcPr>
          <w:p>
            <w:pPr>
              <w:pStyle w:val="12"/>
            </w:pPr>
            <w:r>
              <w:t>2026年度工作安排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设备验收合格率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设备安装完成时间</w:t>
            </w:r>
          </w:p>
        </w:tc>
        <w:tc>
          <w:tcPr>
            <w:tcW w:w="5386" w:type="dxa"/>
            <w:vAlign w:val="center"/>
          </w:tcPr>
          <w:p>
            <w:pPr>
              <w:pStyle w:val="12"/>
            </w:pPr>
            <w:r>
              <w:t>设备安装完成时间</w:t>
            </w:r>
          </w:p>
        </w:tc>
        <w:tc>
          <w:tcPr>
            <w:tcW w:w="2268" w:type="dxa"/>
            <w:vAlign w:val="center"/>
          </w:tcPr>
          <w:p>
            <w:pPr>
              <w:pStyle w:val="12"/>
            </w:pPr>
            <w:r>
              <w:t>2026年12月31号前</w:t>
            </w:r>
          </w:p>
        </w:tc>
        <w:tc>
          <w:tcPr>
            <w:tcW w:w="1276" w:type="dxa"/>
            <w:vAlign w:val="center"/>
          </w:tcPr>
          <w:p>
            <w:pPr>
              <w:pStyle w:val="12"/>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信号灯及监控测速设备及安装成本</w:t>
            </w:r>
          </w:p>
        </w:tc>
        <w:tc>
          <w:tcPr>
            <w:tcW w:w="5386" w:type="dxa"/>
            <w:vAlign w:val="center"/>
          </w:tcPr>
          <w:p>
            <w:pPr>
              <w:pStyle w:val="12"/>
            </w:pPr>
            <w:r>
              <w:t>信号灯及监控测速设备及安装成本</w:t>
            </w:r>
          </w:p>
        </w:tc>
        <w:tc>
          <w:tcPr>
            <w:tcW w:w="2268" w:type="dxa"/>
            <w:vAlign w:val="center"/>
          </w:tcPr>
          <w:p>
            <w:pPr>
              <w:pStyle w:val="12"/>
            </w:pPr>
            <w:r>
              <w:t>≤17万元</w:t>
            </w:r>
          </w:p>
        </w:tc>
        <w:tc>
          <w:tcPr>
            <w:tcW w:w="1276" w:type="dxa"/>
            <w:vAlign w:val="center"/>
          </w:tcPr>
          <w:p>
            <w:pPr>
              <w:pStyle w:val="12"/>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保障交通秩序正常</w:t>
            </w:r>
          </w:p>
        </w:tc>
        <w:tc>
          <w:tcPr>
            <w:tcW w:w="5386" w:type="dxa"/>
            <w:vAlign w:val="center"/>
          </w:tcPr>
          <w:p>
            <w:pPr>
              <w:pStyle w:val="12"/>
            </w:pPr>
            <w:r>
              <w:t>保障交通秩序正常</w:t>
            </w:r>
          </w:p>
        </w:tc>
        <w:tc>
          <w:tcPr>
            <w:tcW w:w="2268" w:type="dxa"/>
            <w:vAlign w:val="center"/>
          </w:tcPr>
          <w:p>
            <w:pPr>
              <w:pStyle w:val="12"/>
            </w:pPr>
            <w:r>
              <w:t>有效保障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3、26年中央政法纪检监察转移支付资金（冀财政法【2025】43号绩效目标表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13013026P00007110006P</w:t>
            </w:r>
          </w:p>
        </w:tc>
        <w:tc>
          <w:tcPr>
            <w:tcW w:w="2835" w:type="dxa"/>
            <w:vAlign w:val="center"/>
          </w:tcPr>
          <w:p>
            <w:pPr>
              <w:pStyle w:val="10"/>
            </w:pPr>
            <w:r>
              <w:t>项目名称</w:t>
            </w:r>
          </w:p>
        </w:tc>
        <w:tc>
          <w:tcPr>
            <w:tcW w:w="6095" w:type="dxa"/>
            <w:gridSpan w:val="3"/>
            <w:vAlign w:val="center"/>
          </w:tcPr>
          <w:p>
            <w:pPr>
              <w:pStyle w:val="12"/>
            </w:pPr>
            <w:r>
              <w:t>26年中央政法纪检监察转移支付资金（冀财政法【2025】43号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w:t>
            </w:r>
          </w:p>
        </w:tc>
        <w:tc>
          <w:tcPr>
            <w:tcW w:w="2835" w:type="dxa"/>
            <w:vAlign w:val="center"/>
          </w:tcPr>
          <w:p>
            <w:pPr>
              <w:pStyle w:val="10"/>
            </w:pPr>
            <w:r>
              <w:t>其中：财政    资金</w:t>
            </w:r>
          </w:p>
        </w:tc>
        <w:tc>
          <w:tcPr>
            <w:tcW w:w="2551" w:type="dxa"/>
            <w:vAlign w:val="center"/>
          </w:tcPr>
          <w:p>
            <w:pPr>
              <w:pStyle w:val="12"/>
            </w:pPr>
            <w:r>
              <w:t>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用于购买信号灯及监控、测速设备及安装工程。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37.00</w:t>
            </w:r>
          </w:p>
        </w:tc>
        <w:tc>
          <w:tcPr>
            <w:tcW w:w="2551" w:type="dxa"/>
            <w:vAlign w:val="center"/>
          </w:tcPr>
          <w:p>
            <w:pPr>
              <w:pStyle w:val="13"/>
            </w:pPr>
            <w:r>
              <w:t>37.00</w:t>
            </w:r>
          </w:p>
        </w:tc>
        <w:tc>
          <w:tcPr>
            <w:tcW w:w="3544" w:type="dxa"/>
            <w:gridSpan w:val="2"/>
            <w:vAlign w:val="center"/>
          </w:tcPr>
          <w:p>
            <w:pPr>
              <w:pStyle w:val="13"/>
            </w:pPr>
            <w:r>
              <w:t>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1.用于信号灯监控、测速设备、抓拍设备安装。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信号灯及抓拍设备数量</w:t>
            </w:r>
          </w:p>
        </w:tc>
        <w:tc>
          <w:tcPr>
            <w:tcW w:w="5386" w:type="dxa"/>
            <w:vAlign w:val="center"/>
          </w:tcPr>
          <w:p>
            <w:pPr>
              <w:pStyle w:val="12"/>
            </w:pPr>
            <w:r>
              <w:t>信号灯及抓拍设备数量</w:t>
            </w:r>
          </w:p>
        </w:tc>
        <w:tc>
          <w:tcPr>
            <w:tcW w:w="2268" w:type="dxa"/>
            <w:vAlign w:val="center"/>
          </w:tcPr>
          <w:p>
            <w:pPr>
              <w:pStyle w:val="12"/>
            </w:pPr>
            <w:r>
              <w:t>实际安装数量</w:t>
            </w:r>
          </w:p>
        </w:tc>
        <w:tc>
          <w:tcPr>
            <w:tcW w:w="1276" w:type="dxa"/>
            <w:vAlign w:val="center"/>
          </w:tcPr>
          <w:p>
            <w:pPr>
              <w:pStyle w:val="12"/>
            </w:pPr>
            <w:r>
              <w:t>2026年度工作安排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所购设备验收合格率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设备安装完成时间</w:t>
            </w:r>
          </w:p>
        </w:tc>
        <w:tc>
          <w:tcPr>
            <w:tcW w:w="5386" w:type="dxa"/>
            <w:vAlign w:val="center"/>
          </w:tcPr>
          <w:p>
            <w:pPr>
              <w:pStyle w:val="12"/>
            </w:pPr>
            <w:r>
              <w:t>设备安装完成时间</w:t>
            </w:r>
          </w:p>
        </w:tc>
        <w:tc>
          <w:tcPr>
            <w:tcW w:w="2268" w:type="dxa"/>
            <w:vAlign w:val="center"/>
          </w:tcPr>
          <w:p>
            <w:pPr>
              <w:pStyle w:val="12"/>
            </w:pPr>
            <w:r>
              <w:t>2026年12月31号之前</w:t>
            </w:r>
          </w:p>
        </w:tc>
        <w:tc>
          <w:tcPr>
            <w:tcW w:w="1276" w:type="dxa"/>
            <w:vAlign w:val="center"/>
          </w:tcPr>
          <w:p>
            <w:pPr>
              <w:pStyle w:val="12"/>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信号灯及监控、测速设备及安装成本</w:t>
            </w:r>
          </w:p>
        </w:tc>
        <w:tc>
          <w:tcPr>
            <w:tcW w:w="5386" w:type="dxa"/>
            <w:vAlign w:val="center"/>
          </w:tcPr>
          <w:p>
            <w:pPr>
              <w:pStyle w:val="12"/>
            </w:pPr>
            <w:r>
              <w:t>信号灯及监控、测速设备及安装成本</w:t>
            </w:r>
          </w:p>
        </w:tc>
        <w:tc>
          <w:tcPr>
            <w:tcW w:w="2268" w:type="dxa"/>
            <w:vAlign w:val="center"/>
          </w:tcPr>
          <w:p>
            <w:pPr>
              <w:pStyle w:val="12"/>
            </w:pPr>
            <w:r>
              <w:t>≤37万元</w:t>
            </w:r>
          </w:p>
        </w:tc>
        <w:tc>
          <w:tcPr>
            <w:tcW w:w="1276" w:type="dxa"/>
            <w:vAlign w:val="center"/>
          </w:tcPr>
          <w:p>
            <w:pPr>
              <w:pStyle w:val="12"/>
            </w:pPr>
            <w:r>
              <w:t>设备采购合同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保障交通秩序正常</w:t>
            </w:r>
          </w:p>
        </w:tc>
        <w:tc>
          <w:tcPr>
            <w:tcW w:w="5386" w:type="dxa"/>
            <w:vAlign w:val="center"/>
          </w:tcPr>
          <w:p>
            <w:pPr>
              <w:pStyle w:val="12"/>
            </w:pPr>
            <w:r>
              <w:t>保障交通秩序正常</w:t>
            </w:r>
          </w:p>
        </w:tc>
        <w:tc>
          <w:tcPr>
            <w:tcW w:w="2268" w:type="dxa"/>
            <w:vAlign w:val="center"/>
          </w:tcPr>
          <w:p>
            <w:pPr>
              <w:pStyle w:val="12"/>
            </w:pPr>
            <w:r>
              <w:t>有效保障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54.00</w:t>
            </w:r>
          </w:p>
        </w:tc>
        <w:tc>
          <w:tcPr>
            <w:tcW w:w="964" w:type="dxa"/>
            <w:vAlign w:val="center"/>
          </w:tcPr>
          <w:p>
            <w:pPr>
              <w:pStyle w:val="15"/>
            </w:pPr>
            <w:r>
              <w:t>54.00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无极县公安局交通管理大队本级小计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54.00</w:t>
            </w:r>
          </w:p>
        </w:tc>
        <w:tc>
          <w:tcPr>
            <w:tcW w:w="964" w:type="dxa"/>
            <w:vAlign w:val="center"/>
          </w:tcPr>
          <w:p>
            <w:pPr>
              <w:pStyle w:val="15"/>
            </w:pPr>
            <w:r>
              <w:t>54.00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26年基层公检法司转移支付资金（冀财政法【2025】42号</w:t>
            </w:r>
          </w:p>
        </w:tc>
        <w:tc>
          <w:tcPr>
            <w:tcW w:w="964" w:type="dxa"/>
            <w:vAlign w:val="center"/>
          </w:tcPr>
          <w:p>
            <w:pPr>
              <w:pStyle w:val="11"/>
            </w:pPr>
            <w:r>
              <w:t>17.00</w:t>
            </w:r>
          </w:p>
        </w:tc>
        <w:tc>
          <w:tcPr>
            <w:tcW w:w="1134" w:type="dxa"/>
            <w:vAlign w:val="center"/>
          </w:tcPr>
          <w:p>
            <w:pPr>
              <w:pStyle w:val="12"/>
            </w:pPr>
            <w:r>
              <w:t>交通管理设备</w:t>
            </w:r>
          </w:p>
        </w:tc>
        <w:tc>
          <w:tcPr>
            <w:tcW w:w="1134" w:type="dxa"/>
            <w:vAlign w:val="center"/>
          </w:tcPr>
          <w:p>
            <w:pPr>
              <w:pStyle w:val="12"/>
            </w:pPr>
            <w:r>
              <w:t>A02370200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17.00</w:t>
            </w:r>
          </w:p>
        </w:tc>
        <w:tc>
          <w:tcPr>
            <w:tcW w:w="964" w:type="dxa"/>
            <w:vAlign w:val="center"/>
          </w:tcPr>
          <w:p>
            <w:pPr>
              <w:pStyle w:val="11"/>
            </w:pPr>
            <w:r>
              <w:t>17.00</w:t>
            </w:r>
          </w:p>
        </w:tc>
        <w:tc>
          <w:tcPr>
            <w:tcW w:w="964" w:type="dxa"/>
            <w:vAlign w:val="center"/>
          </w:tcPr>
          <w:p>
            <w:pPr>
              <w:pStyle w:val="11"/>
            </w:pPr>
            <w:r>
              <w:t>17.00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26年中央政法纪检监察转移支付资金（冀财政法【2025】43号</w:t>
            </w:r>
          </w:p>
        </w:tc>
        <w:tc>
          <w:tcPr>
            <w:tcW w:w="964" w:type="dxa"/>
            <w:vAlign w:val="center"/>
          </w:tcPr>
          <w:p>
            <w:pPr>
              <w:pStyle w:val="11"/>
            </w:pPr>
            <w:r>
              <w:t>37.00</w:t>
            </w:r>
          </w:p>
        </w:tc>
        <w:tc>
          <w:tcPr>
            <w:tcW w:w="1134" w:type="dxa"/>
            <w:vAlign w:val="center"/>
          </w:tcPr>
          <w:p>
            <w:pPr>
              <w:pStyle w:val="12"/>
            </w:pPr>
            <w:r>
              <w:t>交通管理设备</w:t>
            </w:r>
          </w:p>
        </w:tc>
        <w:tc>
          <w:tcPr>
            <w:tcW w:w="1134" w:type="dxa"/>
            <w:vAlign w:val="center"/>
          </w:tcPr>
          <w:p>
            <w:pPr>
              <w:pStyle w:val="12"/>
            </w:pPr>
            <w:r>
              <w:t>A02370200</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18.50</w:t>
            </w:r>
          </w:p>
        </w:tc>
        <w:tc>
          <w:tcPr>
            <w:tcW w:w="964" w:type="dxa"/>
            <w:vAlign w:val="center"/>
          </w:tcPr>
          <w:p>
            <w:pPr>
              <w:pStyle w:val="11"/>
            </w:pPr>
            <w:r>
              <w:t>37.00</w:t>
            </w:r>
          </w:p>
        </w:tc>
        <w:tc>
          <w:tcPr>
            <w:tcW w:w="964" w:type="dxa"/>
            <w:vAlign w:val="center"/>
          </w:tcPr>
          <w:p>
            <w:pPr>
              <w:pStyle w:val="11"/>
            </w:pPr>
            <w:r>
              <w:t>37.00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无极县公安局交通管理大队本级上年末固定资产金额为3272.67万元（详见下表）。本年度拟购置固定资产总额为0.00万元，已按要求列入政府采购预算，详见政府采购预算表。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451001无极县公安局交通管理大队本级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3272.67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3688</w:t>
            </w:r>
          </w:p>
        </w:tc>
        <w:tc>
          <w:tcPr>
            <w:tcW w:w="2835" w:type="dxa"/>
            <w:vAlign w:val="center"/>
          </w:tcPr>
          <w:p>
            <w:pPr>
              <w:pStyle w:val="11"/>
            </w:pPr>
            <w:r>
              <w:t>157.88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130</w:t>
            </w:r>
          </w:p>
        </w:tc>
        <w:tc>
          <w:tcPr>
            <w:tcW w:w="2835"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22</w:t>
            </w:r>
          </w:p>
        </w:tc>
        <w:tc>
          <w:tcPr>
            <w:tcW w:w="2835" w:type="dxa"/>
            <w:vAlign w:val="center"/>
          </w:tcPr>
          <w:p>
            <w:pPr>
              <w:pStyle w:val="11"/>
            </w:pPr>
            <w:r>
              <w:t>379.23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2191</w:t>
            </w:r>
          </w:p>
        </w:tc>
        <w:tc>
          <w:tcPr>
            <w:tcW w:w="2835" w:type="dxa"/>
            <w:vAlign w:val="center"/>
          </w:tcPr>
          <w:p>
            <w:pPr>
              <w:pStyle w:val="11"/>
            </w:pPr>
            <w:r>
              <w:t>2735.56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DFF4178"/>
    <w:rsid w:val="41E84B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3600</Words>
  <Characters>4165</Characters>
  <TotalTime>198</TotalTime>
  <ScaleCrop>false</ScaleCrop>
  <LinksUpToDate>false</LinksUpToDate>
  <CharactersWithSpaces>4251</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2026-02-26T10:24:00Z</dcterms:created>
  <dc:creator>Administrator</dc:creator>
  <cp:lastModifiedBy>李润泽</cp:lastModifiedBy>
  <dcterms:modified xsi:type="dcterms:W3CDTF">2026-03-02T05:45:06Z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eyJoZGlkIjoiZDcwMzAxNjUxNzZmNTFiYjY2MzU5YmIxZjM4ZjY2ODEifQ==</vt:lpwstr>
  </property>
  <property fmtid="{D5CDD505-2E9C-101B-9397-08002B2CF9AE}" pid="3" name="KSOProductBuildVer">
    <vt:lpwstr>2052-11.8.2.12080</vt:lpwstr>
  </property>
  <property fmtid="{D5CDD505-2E9C-101B-9397-08002B2CF9AE}" pid="4" name="ICV">
    <vt:lpwstr>6C9F65917EC74250BD963ED31494A771_12</vt:lpwstr>
  </property>
</Properties>
</file>