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一、无极县发展和改革局本级收支预算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一、无极县发展和改革局本级收支预算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303001无极县发展和改革局本级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1448.72</w:t>
            </w:r>
          </w:p>
        </w:tc>
        <w:tc>
          <w:tcPr>
            <w:tcW w:w="4535" w:type="dxa"/>
            <w:vAlign w:val="center"/>
          </w:tcPr>
          <w:p>
            <w:pPr>
              <w:pStyle w:val="12"/>
            </w:pPr>
            <w:r>
              <w:t>一、一般公共服务支出</w:t>
            </w:r>
          </w:p>
        </w:tc>
        <w:tc>
          <w:tcPr>
            <w:tcW w:w="2126" w:type="dxa"/>
            <w:vAlign w:val="center"/>
          </w:tcPr>
          <w:p>
            <w:pPr>
              <w:pStyle w:val="11"/>
            </w:pPr>
            <w:r>
              <w:t>1175.70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218.02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1448.72</w:t>
            </w:r>
          </w:p>
        </w:tc>
        <w:tc>
          <w:tcPr>
            <w:tcW w:w="4535" w:type="dxa"/>
            <w:vAlign w:val="center"/>
          </w:tcPr>
          <w:p>
            <w:pPr>
              <w:pStyle w:val="14"/>
            </w:pPr>
            <w:r>
              <w:t>本年支出合计</w:t>
            </w:r>
          </w:p>
        </w:tc>
        <w:tc>
          <w:tcPr>
            <w:tcW w:w="2126" w:type="dxa"/>
            <w:vAlign w:val="center"/>
          </w:tcPr>
          <w:p>
            <w:pPr>
              <w:pStyle w:val="15"/>
            </w:pPr>
            <w:r>
              <w:t>4948.72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3500.00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4948.72</w:t>
            </w:r>
          </w:p>
        </w:tc>
        <w:tc>
          <w:tcPr>
            <w:tcW w:w="4535" w:type="dxa"/>
            <w:vAlign w:val="center"/>
          </w:tcPr>
          <w:p>
            <w:pPr>
              <w:pStyle w:val="14"/>
            </w:pPr>
            <w:r>
              <w:t>支出总计</w:t>
            </w:r>
          </w:p>
        </w:tc>
        <w:tc>
          <w:tcPr>
            <w:tcW w:w="2126" w:type="dxa"/>
            <w:vAlign w:val="center"/>
          </w:tcPr>
          <w:p>
            <w:pPr>
              <w:pStyle w:val="15"/>
            </w:pPr>
            <w:r>
              <w:t>4948.72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303001无极县发展和改革局本级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4948.72</w:t>
            </w:r>
          </w:p>
        </w:tc>
        <w:tc>
          <w:tcPr>
            <w:tcW w:w="1134" w:type="dxa"/>
            <w:vAlign w:val="center"/>
          </w:tcPr>
          <w:p>
            <w:pPr>
              <w:pStyle w:val="15"/>
            </w:pPr>
            <w:r>
              <w:t>1448.72</w:t>
            </w:r>
          </w:p>
        </w:tc>
        <w:tc>
          <w:tcPr>
            <w:tcW w:w="1134" w:type="dxa"/>
            <w:vAlign w:val="center"/>
          </w:tcPr>
          <w:p>
            <w:pPr>
              <w:pStyle w:val="15"/>
            </w:pPr>
            <w:r>
              <w:t>1448.72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1175.70</w:t>
            </w:r>
          </w:p>
        </w:tc>
        <w:tc>
          <w:tcPr>
            <w:tcW w:w="1134" w:type="dxa"/>
            <w:vAlign w:val="center"/>
          </w:tcPr>
          <w:p>
            <w:pPr>
              <w:pStyle w:val="11"/>
            </w:pPr>
            <w:r>
              <w:t>1175.70</w:t>
            </w:r>
          </w:p>
        </w:tc>
        <w:tc>
          <w:tcPr>
            <w:tcW w:w="1134" w:type="dxa"/>
            <w:vAlign w:val="center"/>
          </w:tcPr>
          <w:p>
            <w:pPr>
              <w:pStyle w:val="11"/>
            </w:pPr>
            <w:r>
              <w:t>1175.70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20104</w:t>
            </w:r>
          </w:p>
        </w:tc>
        <w:tc>
          <w:tcPr>
            <w:tcW w:w="1559" w:type="dxa"/>
            <w:vAlign w:val="center"/>
          </w:tcPr>
          <w:p>
            <w:pPr>
              <w:pStyle w:val="12"/>
            </w:pPr>
            <w:r>
              <w:t>发展与改革事务</w:t>
            </w:r>
          </w:p>
        </w:tc>
        <w:tc>
          <w:tcPr>
            <w:tcW w:w="1134" w:type="dxa"/>
            <w:vAlign w:val="center"/>
          </w:tcPr>
          <w:p>
            <w:pPr>
              <w:pStyle w:val="11"/>
            </w:pPr>
            <w:r>
              <w:t>1175.70</w:t>
            </w:r>
          </w:p>
        </w:tc>
        <w:tc>
          <w:tcPr>
            <w:tcW w:w="1134" w:type="dxa"/>
            <w:vAlign w:val="center"/>
          </w:tcPr>
          <w:p>
            <w:pPr>
              <w:pStyle w:val="11"/>
            </w:pPr>
            <w:r>
              <w:t>1175.70</w:t>
            </w:r>
          </w:p>
        </w:tc>
        <w:tc>
          <w:tcPr>
            <w:tcW w:w="1134" w:type="dxa"/>
            <w:vAlign w:val="center"/>
          </w:tcPr>
          <w:p>
            <w:pPr>
              <w:pStyle w:val="11"/>
            </w:pPr>
            <w:r>
              <w:t>1175.70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2010401</w:t>
            </w:r>
          </w:p>
        </w:tc>
        <w:tc>
          <w:tcPr>
            <w:tcW w:w="1559" w:type="dxa"/>
            <w:vAlign w:val="center"/>
          </w:tcPr>
          <w:p>
            <w:pPr>
              <w:pStyle w:val="12"/>
            </w:pPr>
            <w:r>
              <w:t>行政运行</w:t>
            </w:r>
          </w:p>
        </w:tc>
        <w:tc>
          <w:tcPr>
            <w:tcW w:w="1134" w:type="dxa"/>
            <w:vAlign w:val="center"/>
          </w:tcPr>
          <w:p>
            <w:pPr>
              <w:pStyle w:val="11"/>
            </w:pPr>
            <w:r>
              <w:t>568.02</w:t>
            </w:r>
          </w:p>
        </w:tc>
        <w:tc>
          <w:tcPr>
            <w:tcW w:w="1134" w:type="dxa"/>
            <w:vAlign w:val="center"/>
          </w:tcPr>
          <w:p>
            <w:pPr>
              <w:pStyle w:val="11"/>
            </w:pPr>
            <w:r>
              <w:t>568.02</w:t>
            </w:r>
          </w:p>
        </w:tc>
        <w:tc>
          <w:tcPr>
            <w:tcW w:w="1134" w:type="dxa"/>
            <w:vAlign w:val="center"/>
          </w:tcPr>
          <w:p>
            <w:pPr>
              <w:pStyle w:val="11"/>
            </w:pPr>
            <w:r>
              <w:t>568.02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2010408</w:t>
            </w:r>
          </w:p>
        </w:tc>
        <w:tc>
          <w:tcPr>
            <w:tcW w:w="1559" w:type="dxa"/>
            <w:vAlign w:val="center"/>
          </w:tcPr>
          <w:p>
            <w:pPr>
              <w:pStyle w:val="12"/>
            </w:pPr>
            <w:r>
              <w:t>物价管理</w:t>
            </w:r>
          </w:p>
        </w:tc>
        <w:tc>
          <w:tcPr>
            <w:tcW w:w="1134" w:type="dxa"/>
            <w:vAlign w:val="center"/>
          </w:tcPr>
          <w:p>
            <w:pPr>
              <w:pStyle w:val="11"/>
            </w:pPr>
            <w:r>
              <w:t>607.68</w:t>
            </w:r>
          </w:p>
        </w:tc>
        <w:tc>
          <w:tcPr>
            <w:tcW w:w="1134" w:type="dxa"/>
            <w:vAlign w:val="center"/>
          </w:tcPr>
          <w:p>
            <w:pPr>
              <w:pStyle w:val="11"/>
            </w:pPr>
            <w:r>
              <w:t>607.68</w:t>
            </w:r>
          </w:p>
        </w:tc>
        <w:tc>
          <w:tcPr>
            <w:tcW w:w="1134" w:type="dxa"/>
            <w:vAlign w:val="center"/>
          </w:tcPr>
          <w:p>
            <w:pPr>
              <w:pStyle w:val="11"/>
            </w:pPr>
            <w:r>
              <w:t>607.68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39.00</w:t>
            </w:r>
          </w:p>
        </w:tc>
        <w:tc>
          <w:tcPr>
            <w:tcW w:w="1134" w:type="dxa"/>
            <w:vAlign w:val="center"/>
          </w:tcPr>
          <w:p>
            <w:pPr>
              <w:pStyle w:val="11"/>
            </w:pPr>
            <w:r>
              <w:t>39.00</w:t>
            </w:r>
          </w:p>
        </w:tc>
        <w:tc>
          <w:tcPr>
            <w:tcW w:w="1134" w:type="dxa"/>
            <w:vAlign w:val="center"/>
          </w:tcPr>
          <w:p>
            <w:pPr>
              <w:pStyle w:val="11"/>
            </w:pPr>
            <w:r>
              <w:t>39.00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39.00</w:t>
            </w:r>
          </w:p>
        </w:tc>
        <w:tc>
          <w:tcPr>
            <w:tcW w:w="1134" w:type="dxa"/>
            <w:vAlign w:val="center"/>
          </w:tcPr>
          <w:p>
            <w:pPr>
              <w:pStyle w:val="11"/>
            </w:pPr>
            <w:r>
              <w:t>39.00</w:t>
            </w:r>
          </w:p>
        </w:tc>
        <w:tc>
          <w:tcPr>
            <w:tcW w:w="1134" w:type="dxa"/>
            <w:vAlign w:val="center"/>
          </w:tcPr>
          <w:p>
            <w:pPr>
              <w:pStyle w:val="11"/>
            </w:pPr>
            <w:r>
              <w:t>39.00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39.00</w:t>
            </w:r>
          </w:p>
        </w:tc>
        <w:tc>
          <w:tcPr>
            <w:tcW w:w="1134" w:type="dxa"/>
            <w:vAlign w:val="center"/>
          </w:tcPr>
          <w:p>
            <w:pPr>
              <w:pStyle w:val="11"/>
            </w:pPr>
            <w:r>
              <w:t>39.00</w:t>
            </w:r>
          </w:p>
        </w:tc>
        <w:tc>
          <w:tcPr>
            <w:tcW w:w="1134" w:type="dxa"/>
            <w:vAlign w:val="center"/>
          </w:tcPr>
          <w:p>
            <w:pPr>
              <w:pStyle w:val="11"/>
            </w:pPr>
            <w:r>
              <w:t>39.00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16.00</w:t>
            </w:r>
          </w:p>
        </w:tc>
        <w:tc>
          <w:tcPr>
            <w:tcW w:w="1134" w:type="dxa"/>
            <w:vAlign w:val="center"/>
          </w:tcPr>
          <w:p>
            <w:pPr>
              <w:pStyle w:val="11"/>
            </w:pPr>
            <w:r>
              <w:t>16.00</w:t>
            </w:r>
          </w:p>
        </w:tc>
        <w:tc>
          <w:tcPr>
            <w:tcW w:w="1134" w:type="dxa"/>
            <w:vAlign w:val="center"/>
          </w:tcPr>
          <w:p>
            <w:pPr>
              <w:pStyle w:val="11"/>
            </w:pPr>
            <w:r>
              <w:t>16.00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16.00</w:t>
            </w:r>
          </w:p>
        </w:tc>
        <w:tc>
          <w:tcPr>
            <w:tcW w:w="1134" w:type="dxa"/>
            <w:vAlign w:val="center"/>
          </w:tcPr>
          <w:p>
            <w:pPr>
              <w:pStyle w:val="11"/>
            </w:pPr>
            <w:r>
              <w:t>16.00</w:t>
            </w:r>
          </w:p>
        </w:tc>
        <w:tc>
          <w:tcPr>
            <w:tcW w:w="1134" w:type="dxa"/>
            <w:vAlign w:val="center"/>
          </w:tcPr>
          <w:p>
            <w:pPr>
              <w:pStyle w:val="11"/>
            </w:pPr>
            <w:r>
              <w:t>16.00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16.00</w:t>
            </w:r>
          </w:p>
        </w:tc>
        <w:tc>
          <w:tcPr>
            <w:tcW w:w="1134" w:type="dxa"/>
            <w:vAlign w:val="center"/>
          </w:tcPr>
          <w:p>
            <w:pPr>
              <w:pStyle w:val="11"/>
            </w:pPr>
            <w:r>
              <w:t>16.00</w:t>
            </w:r>
          </w:p>
        </w:tc>
        <w:tc>
          <w:tcPr>
            <w:tcW w:w="1134" w:type="dxa"/>
            <w:vAlign w:val="center"/>
          </w:tcPr>
          <w:p>
            <w:pPr>
              <w:pStyle w:val="11"/>
            </w:pPr>
            <w:r>
              <w:t>16.00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218.02</w:t>
            </w:r>
          </w:p>
        </w:tc>
        <w:tc>
          <w:tcPr>
            <w:tcW w:w="1134" w:type="dxa"/>
            <w:vAlign w:val="center"/>
          </w:tcPr>
          <w:p>
            <w:pPr>
              <w:pStyle w:val="11"/>
            </w:pPr>
            <w:r>
              <w:t>218.02</w:t>
            </w:r>
          </w:p>
        </w:tc>
        <w:tc>
          <w:tcPr>
            <w:tcW w:w="1134" w:type="dxa"/>
            <w:vAlign w:val="center"/>
          </w:tcPr>
          <w:p>
            <w:pPr>
              <w:pStyle w:val="11"/>
            </w:pPr>
            <w:r>
              <w:t>218.02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218.02</w:t>
            </w:r>
          </w:p>
        </w:tc>
        <w:tc>
          <w:tcPr>
            <w:tcW w:w="1134" w:type="dxa"/>
            <w:vAlign w:val="center"/>
          </w:tcPr>
          <w:p>
            <w:pPr>
              <w:pStyle w:val="11"/>
            </w:pPr>
            <w:r>
              <w:t>218.02</w:t>
            </w:r>
          </w:p>
        </w:tc>
        <w:tc>
          <w:tcPr>
            <w:tcW w:w="1134" w:type="dxa"/>
            <w:vAlign w:val="center"/>
          </w:tcPr>
          <w:p>
            <w:pPr>
              <w:pStyle w:val="11"/>
            </w:pPr>
            <w:r>
              <w:t>218.02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218.02</w:t>
            </w:r>
          </w:p>
        </w:tc>
        <w:tc>
          <w:tcPr>
            <w:tcW w:w="1134" w:type="dxa"/>
            <w:vAlign w:val="center"/>
          </w:tcPr>
          <w:p>
            <w:pPr>
              <w:pStyle w:val="11"/>
            </w:pPr>
            <w:r>
              <w:t>218.02</w:t>
            </w:r>
          </w:p>
        </w:tc>
        <w:tc>
          <w:tcPr>
            <w:tcW w:w="1134" w:type="dxa"/>
            <w:vAlign w:val="center"/>
          </w:tcPr>
          <w:p>
            <w:pPr>
              <w:pStyle w:val="11"/>
            </w:pPr>
            <w:r>
              <w:t>218.02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1500.00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21298</w:t>
            </w:r>
          </w:p>
        </w:tc>
        <w:tc>
          <w:tcPr>
            <w:tcW w:w="1559" w:type="dxa"/>
            <w:vAlign w:val="center"/>
          </w:tcPr>
          <w:p>
            <w:pPr>
              <w:pStyle w:val="12"/>
            </w:pPr>
            <w:r>
              <w:t>超长期特别国债安排的支出</w:t>
            </w:r>
          </w:p>
        </w:tc>
        <w:tc>
          <w:tcPr>
            <w:tcW w:w="1134" w:type="dxa"/>
            <w:vAlign w:val="center"/>
          </w:tcPr>
          <w:p>
            <w:pPr>
              <w:pStyle w:val="11"/>
            </w:pPr>
            <w:r>
              <w:t>1500.00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2129899</w:t>
            </w:r>
          </w:p>
        </w:tc>
        <w:tc>
          <w:tcPr>
            <w:tcW w:w="1559" w:type="dxa"/>
            <w:vAlign w:val="center"/>
          </w:tcPr>
          <w:p>
            <w:pPr>
              <w:pStyle w:val="12"/>
            </w:pPr>
            <w:r>
              <w:t>其他城乡社区支出</w:t>
            </w:r>
          </w:p>
        </w:tc>
        <w:tc>
          <w:tcPr>
            <w:tcW w:w="1134" w:type="dxa"/>
            <w:vAlign w:val="center"/>
          </w:tcPr>
          <w:p>
            <w:pPr>
              <w:pStyle w:val="11"/>
            </w:pPr>
            <w:r>
              <w:t>1500.00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2000.00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2000.00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2000.00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2000.00</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303001无极县发展和改革局本级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4948.72</w:t>
            </w:r>
          </w:p>
        </w:tc>
        <w:tc>
          <w:tcPr>
            <w:tcW w:w="1361" w:type="dxa"/>
            <w:vAlign w:val="center"/>
          </w:tcPr>
          <w:p>
            <w:pPr>
              <w:pStyle w:val="15"/>
            </w:pPr>
            <w:r>
              <w:t>623.02</w:t>
            </w:r>
          </w:p>
        </w:tc>
        <w:tc>
          <w:tcPr>
            <w:tcW w:w="1361" w:type="dxa"/>
            <w:vAlign w:val="center"/>
          </w:tcPr>
          <w:p>
            <w:pPr>
              <w:pStyle w:val="15"/>
            </w:pPr>
            <w:r>
              <w:t>4325.70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1175.70</w:t>
            </w:r>
          </w:p>
        </w:tc>
        <w:tc>
          <w:tcPr>
            <w:tcW w:w="1361" w:type="dxa"/>
            <w:vAlign w:val="center"/>
          </w:tcPr>
          <w:p>
            <w:pPr>
              <w:pStyle w:val="11"/>
            </w:pPr>
            <w:r>
              <w:t>568.02</w:t>
            </w:r>
          </w:p>
        </w:tc>
        <w:tc>
          <w:tcPr>
            <w:tcW w:w="1361" w:type="dxa"/>
            <w:vAlign w:val="center"/>
          </w:tcPr>
          <w:p>
            <w:pPr>
              <w:pStyle w:val="11"/>
            </w:pPr>
            <w:r>
              <w:t>607.68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20104</w:t>
            </w:r>
          </w:p>
        </w:tc>
        <w:tc>
          <w:tcPr>
            <w:tcW w:w="4535" w:type="dxa"/>
            <w:vAlign w:val="center"/>
          </w:tcPr>
          <w:p>
            <w:pPr>
              <w:pStyle w:val="12"/>
            </w:pPr>
            <w:r>
              <w:t>发展与改革事务</w:t>
            </w:r>
          </w:p>
        </w:tc>
        <w:tc>
          <w:tcPr>
            <w:tcW w:w="1361" w:type="dxa"/>
            <w:vAlign w:val="center"/>
          </w:tcPr>
          <w:p>
            <w:pPr>
              <w:pStyle w:val="11"/>
            </w:pPr>
            <w:r>
              <w:t>1175.70</w:t>
            </w:r>
          </w:p>
        </w:tc>
        <w:tc>
          <w:tcPr>
            <w:tcW w:w="1361" w:type="dxa"/>
            <w:vAlign w:val="center"/>
          </w:tcPr>
          <w:p>
            <w:pPr>
              <w:pStyle w:val="11"/>
            </w:pPr>
            <w:r>
              <w:t>568.02</w:t>
            </w:r>
          </w:p>
        </w:tc>
        <w:tc>
          <w:tcPr>
            <w:tcW w:w="1361" w:type="dxa"/>
            <w:vAlign w:val="center"/>
          </w:tcPr>
          <w:p>
            <w:pPr>
              <w:pStyle w:val="11"/>
            </w:pPr>
            <w:r>
              <w:t>607.68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2010401</w:t>
            </w:r>
          </w:p>
        </w:tc>
        <w:tc>
          <w:tcPr>
            <w:tcW w:w="4535" w:type="dxa"/>
            <w:vAlign w:val="center"/>
          </w:tcPr>
          <w:p>
            <w:pPr>
              <w:pStyle w:val="12"/>
            </w:pPr>
            <w:r>
              <w:t>行政运行</w:t>
            </w:r>
          </w:p>
        </w:tc>
        <w:tc>
          <w:tcPr>
            <w:tcW w:w="1361" w:type="dxa"/>
            <w:vAlign w:val="center"/>
          </w:tcPr>
          <w:p>
            <w:pPr>
              <w:pStyle w:val="11"/>
            </w:pPr>
            <w:r>
              <w:t>568.02</w:t>
            </w:r>
          </w:p>
        </w:tc>
        <w:tc>
          <w:tcPr>
            <w:tcW w:w="1361" w:type="dxa"/>
            <w:vAlign w:val="center"/>
          </w:tcPr>
          <w:p>
            <w:pPr>
              <w:pStyle w:val="11"/>
            </w:pPr>
            <w:r>
              <w:t>568.02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2010408</w:t>
            </w:r>
          </w:p>
        </w:tc>
        <w:tc>
          <w:tcPr>
            <w:tcW w:w="4535" w:type="dxa"/>
            <w:vAlign w:val="center"/>
          </w:tcPr>
          <w:p>
            <w:pPr>
              <w:pStyle w:val="12"/>
            </w:pPr>
            <w:r>
              <w:t>物价管理</w:t>
            </w:r>
          </w:p>
        </w:tc>
        <w:tc>
          <w:tcPr>
            <w:tcW w:w="1361" w:type="dxa"/>
            <w:vAlign w:val="center"/>
          </w:tcPr>
          <w:p>
            <w:pPr>
              <w:pStyle w:val="11"/>
            </w:pPr>
            <w:r>
              <w:t>607.68</w:t>
            </w:r>
          </w:p>
        </w:tc>
        <w:tc>
          <w:tcPr>
            <w:tcW w:w="1361" w:type="dxa"/>
            <w:vAlign w:val="center"/>
          </w:tcPr>
          <w:p>
            <w:pPr>
              <w:pStyle w:val="11"/>
            </w:pPr>
          </w:p>
        </w:tc>
        <w:tc>
          <w:tcPr>
            <w:tcW w:w="1361" w:type="dxa"/>
            <w:vAlign w:val="center"/>
          </w:tcPr>
          <w:p>
            <w:pPr>
              <w:pStyle w:val="11"/>
            </w:pPr>
            <w:r>
              <w:t>607.68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39.00</w:t>
            </w:r>
          </w:p>
        </w:tc>
        <w:tc>
          <w:tcPr>
            <w:tcW w:w="1361" w:type="dxa"/>
            <w:vAlign w:val="center"/>
          </w:tcPr>
          <w:p>
            <w:pPr>
              <w:pStyle w:val="11"/>
            </w:pPr>
            <w:r>
              <w:t>39.00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39.00</w:t>
            </w:r>
          </w:p>
        </w:tc>
        <w:tc>
          <w:tcPr>
            <w:tcW w:w="1361" w:type="dxa"/>
            <w:vAlign w:val="center"/>
          </w:tcPr>
          <w:p>
            <w:pPr>
              <w:pStyle w:val="11"/>
            </w:pPr>
            <w:r>
              <w:t>39.00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39.00</w:t>
            </w:r>
          </w:p>
        </w:tc>
        <w:tc>
          <w:tcPr>
            <w:tcW w:w="1361" w:type="dxa"/>
            <w:vAlign w:val="center"/>
          </w:tcPr>
          <w:p>
            <w:pPr>
              <w:pStyle w:val="11"/>
            </w:pPr>
            <w:r>
              <w:t>39.00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16.00</w:t>
            </w:r>
          </w:p>
        </w:tc>
        <w:tc>
          <w:tcPr>
            <w:tcW w:w="1361" w:type="dxa"/>
            <w:vAlign w:val="center"/>
          </w:tcPr>
          <w:p>
            <w:pPr>
              <w:pStyle w:val="11"/>
            </w:pPr>
            <w:r>
              <w:t>16.00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16.00</w:t>
            </w:r>
          </w:p>
        </w:tc>
        <w:tc>
          <w:tcPr>
            <w:tcW w:w="1361" w:type="dxa"/>
            <w:vAlign w:val="center"/>
          </w:tcPr>
          <w:p>
            <w:pPr>
              <w:pStyle w:val="11"/>
            </w:pPr>
            <w:r>
              <w:t>16.00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16.00</w:t>
            </w:r>
          </w:p>
        </w:tc>
        <w:tc>
          <w:tcPr>
            <w:tcW w:w="1361" w:type="dxa"/>
            <w:vAlign w:val="center"/>
          </w:tcPr>
          <w:p>
            <w:pPr>
              <w:pStyle w:val="11"/>
            </w:pPr>
            <w:r>
              <w:t>16.00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218.02</w:t>
            </w:r>
          </w:p>
        </w:tc>
        <w:tc>
          <w:tcPr>
            <w:tcW w:w="1361" w:type="dxa"/>
            <w:vAlign w:val="center"/>
          </w:tcPr>
          <w:p>
            <w:pPr>
              <w:pStyle w:val="11"/>
            </w:pPr>
          </w:p>
        </w:tc>
        <w:tc>
          <w:tcPr>
            <w:tcW w:w="1361" w:type="dxa"/>
            <w:vAlign w:val="center"/>
          </w:tcPr>
          <w:p>
            <w:pPr>
              <w:pStyle w:val="11"/>
            </w:pPr>
            <w:r>
              <w:t>218.02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218.02</w:t>
            </w:r>
          </w:p>
        </w:tc>
        <w:tc>
          <w:tcPr>
            <w:tcW w:w="1361" w:type="dxa"/>
            <w:vAlign w:val="center"/>
          </w:tcPr>
          <w:p>
            <w:pPr>
              <w:pStyle w:val="11"/>
            </w:pPr>
          </w:p>
        </w:tc>
        <w:tc>
          <w:tcPr>
            <w:tcW w:w="1361" w:type="dxa"/>
            <w:vAlign w:val="center"/>
          </w:tcPr>
          <w:p>
            <w:pPr>
              <w:pStyle w:val="11"/>
            </w:pPr>
            <w:r>
              <w:t>218.02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218.02</w:t>
            </w:r>
          </w:p>
        </w:tc>
        <w:tc>
          <w:tcPr>
            <w:tcW w:w="1361" w:type="dxa"/>
            <w:vAlign w:val="center"/>
          </w:tcPr>
          <w:p>
            <w:pPr>
              <w:pStyle w:val="11"/>
            </w:pPr>
          </w:p>
        </w:tc>
        <w:tc>
          <w:tcPr>
            <w:tcW w:w="1361" w:type="dxa"/>
            <w:vAlign w:val="center"/>
          </w:tcPr>
          <w:p>
            <w:pPr>
              <w:pStyle w:val="11"/>
            </w:pPr>
            <w:r>
              <w:t>218.02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1500.00</w:t>
            </w:r>
          </w:p>
        </w:tc>
        <w:tc>
          <w:tcPr>
            <w:tcW w:w="1361" w:type="dxa"/>
            <w:vAlign w:val="center"/>
          </w:tcPr>
          <w:p>
            <w:pPr>
              <w:pStyle w:val="11"/>
            </w:pPr>
          </w:p>
        </w:tc>
        <w:tc>
          <w:tcPr>
            <w:tcW w:w="1361" w:type="dxa"/>
            <w:vAlign w:val="center"/>
          </w:tcPr>
          <w:p>
            <w:pPr>
              <w:pStyle w:val="11"/>
            </w:pPr>
            <w:r>
              <w:t>1500.00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21298</w:t>
            </w:r>
          </w:p>
        </w:tc>
        <w:tc>
          <w:tcPr>
            <w:tcW w:w="4535" w:type="dxa"/>
            <w:vAlign w:val="center"/>
          </w:tcPr>
          <w:p>
            <w:pPr>
              <w:pStyle w:val="12"/>
            </w:pPr>
            <w:r>
              <w:t>超长期特别国债安排的支出</w:t>
            </w:r>
          </w:p>
        </w:tc>
        <w:tc>
          <w:tcPr>
            <w:tcW w:w="1361" w:type="dxa"/>
            <w:vAlign w:val="center"/>
          </w:tcPr>
          <w:p>
            <w:pPr>
              <w:pStyle w:val="11"/>
            </w:pPr>
            <w:r>
              <w:t>1500.00</w:t>
            </w:r>
          </w:p>
        </w:tc>
        <w:tc>
          <w:tcPr>
            <w:tcW w:w="1361" w:type="dxa"/>
            <w:vAlign w:val="center"/>
          </w:tcPr>
          <w:p>
            <w:pPr>
              <w:pStyle w:val="11"/>
            </w:pPr>
          </w:p>
        </w:tc>
        <w:tc>
          <w:tcPr>
            <w:tcW w:w="1361" w:type="dxa"/>
            <w:vAlign w:val="center"/>
          </w:tcPr>
          <w:p>
            <w:pPr>
              <w:pStyle w:val="11"/>
            </w:pPr>
            <w:r>
              <w:t>1500.00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2129899</w:t>
            </w:r>
          </w:p>
        </w:tc>
        <w:tc>
          <w:tcPr>
            <w:tcW w:w="4535" w:type="dxa"/>
            <w:vAlign w:val="center"/>
          </w:tcPr>
          <w:p>
            <w:pPr>
              <w:pStyle w:val="12"/>
            </w:pPr>
            <w:r>
              <w:t>其他城乡社区支出</w:t>
            </w:r>
          </w:p>
        </w:tc>
        <w:tc>
          <w:tcPr>
            <w:tcW w:w="1361" w:type="dxa"/>
            <w:vAlign w:val="center"/>
          </w:tcPr>
          <w:p>
            <w:pPr>
              <w:pStyle w:val="11"/>
            </w:pPr>
            <w:r>
              <w:t>1500.00</w:t>
            </w:r>
          </w:p>
        </w:tc>
        <w:tc>
          <w:tcPr>
            <w:tcW w:w="1361" w:type="dxa"/>
            <w:vAlign w:val="center"/>
          </w:tcPr>
          <w:p>
            <w:pPr>
              <w:pStyle w:val="11"/>
            </w:pPr>
          </w:p>
        </w:tc>
        <w:tc>
          <w:tcPr>
            <w:tcW w:w="1361" w:type="dxa"/>
            <w:vAlign w:val="center"/>
          </w:tcPr>
          <w:p>
            <w:pPr>
              <w:pStyle w:val="11"/>
            </w:pPr>
            <w:r>
              <w:t>1500.00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2000.00</w:t>
            </w:r>
          </w:p>
        </w:tc>
        <w:tc>
          <w:tcPr>
            <w:tcW w:w="1361" w:type="dxa"/>
            <w:vAlign w:val="center"/>
          </w:tcPr>
          <w:p>
            <w:pPr>
              <w:pStyle w:val="11"/>
            </w:pPr>
          </w:p>
        </w:tc>
        <w:tc>
          <w:tcPr>
            <w:tcW w:w="1361" w:type="dxa"/>
            <w:vAlign w:val="center"/>
          </w:tcPr>
          <w:p>
            <w:pPr>
              <w:pStyle w:val="11"/>
            </w:pPr>
            <w:r>
              <w:t>2000.00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2000.00</w:t>
            </w:r>
          </w:p>
        </w:tc>
        <w:tc>
          <w:tcPr>
            <w:tcW w:w="1361" w:type="dxa"/>
            <w:vAlign w:val="center"/>
          </w:tcPr>
          <w:p>
            <w:pPr>
              <w:pStyle w:val="11"/>
            </w:pPr>
          </w:p>
        </w:tc>
        <w:tc>
          <w:tcPr>
            <w:tcW w:w="1361" w:type="dxa"/>
            <w:vAlign w:val="center"/>
          </w:tcPr>
          <w:p>
            <w:pPr>
              <w:pStyle w:val="11"/>
            </w:pPr>
            <w:r>
              <w:t>2000.00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2000.00</w:t>
            </w:r>
          </w:p>
        </w:tc>
        <w:tc>
          <w:tcPr>
            <w:tcW w:w="1361" w:type="dxa"/>
            <w:vAlign w:val="center"/>
          </w:tcPr>
          <w:p>
            <w:pPr>
              <w:pStyle w:val="11"/>
            </w:pPr>
          </w:p>
        </w:tc>
        <w:tc>
          <w:tcPr>
            <w:tcW w:w="1361" w:type="dxa"/>
            <w:vAlign w:val="center"/>
          </w:tcPr>
          <w:p>
            <w:pPr>
              <w:pStyle w:val="11"/>
            </w:pPr>
            <w:r>
              <w:t>2000.00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303001无极县发展和改革局本级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1448.72</w:t>
            </w:r>
          </w:p>
        </w:tc>
        <w:tc>
          <w:tcPr>
            <w:tcW w:w="3402" w:type="dxa"/>
            <w:vAlign w:val="center"/>
          </w:tcPr>
          <w:p>
            <w:pPr>
              <w:pStyle w:val="12"/>
            </w:pPr>
            <w:r>
              <w:t>一、一般公共服务支出</w:t>
            </w:r>
          </w:p>
        </w:tc>
        <w:tc>
          <w:tcPr>
            <w:tcW w:w="1474" w:type="dxa"/>
            <w:vAlign w:val="center"/>
          </w:tcPr>
          <w:p>
            <w:pPr>
              <w:pStyle w:val="11"/>
            </w:pPr>
            <w:r>
              <w:t>1175.70</w:t>
            </w:r>
          </w:p>
        </w:tc>
        <w:tc>
          <w:tcPr>
            <w:tcW w:w="1474" w:type="dxa"/>
            <w:vAlign w:val="center"/>
          </w:tcPr>
          <w:p>
            <w:pPr>
              <w:pStyle w:val="11"/>
            </w:pPr>
            <w:r>
              <w:t>1175.70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39.00</w:t>
            </w:r>
          </w:p>
        </w:tc>
        <w:tc>
          <w:tcPr>
            <w:tcW w:w="1474" w:type="dxa"/>
            <w:vAlign w:val="center"/>
          </w:tcPr>
          <w:p>
            <w:pPr>
              <w:pStyle w:val="11"/>
            </w:pPr>
            <w:r>
              <w:t>39.00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16.00</w:t>
            </w:r>
          </w:p>
        </w:tc>
        <w:tc>
          <w:tcPr>
            <w:tcW w:w="1474" w:type="dxa"/>
            <w:vAlign w:val="center"/>
          </w:tcPr>
          <w:p>
            <w:pPr>
              <w:pStyle w:val="11"/>
            </w:pPr>
            <w:r>
              <w:t>16.00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218.02</w:t>
            </w:r>
          </w:p>
        </w:tc>
        <w:tc>
          <w:tcPr>
            <w:tcW w:w="1474" w:type="dxa"/>
            <w:vAlign w:val="center"/>
          </w:tcPr>
          <w:p>
            <w:pPr>
              <w:pStyle w:val="11"/>
            </w:pPr>
            <w:r>
              <w:t>218.02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1500.00</w:t>
            </w:r>
          </w:p>
        </w:tc>
        <w:tc>
          <w:tcPr>
            <w:tcW w:w="1474" w:type="dxa"/>
            <w:vAlign w:val="center"/>
          </w:tcPr>
          <w:p>
            <w:pPr>
              <w:pStyle w:val="11"/>
            </w:pPr>
          </w:p>
        </w:tc>
        <w:tc>
          <w:tcPr>
            <w:tcW w:w="1474" w:type="dxa"/>
            <w:vAlign w:val="center"/>
          </w:tcPr>
          <w:p>
            <w:pPr>
              <w:pStyle w:val="11"/>
            </w:pPr>
            <w:r>
              <w:t>1500.00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2000.00</w:t>
            </w:r>
          </w:p>
        </w:tc>
        <w:tc>
          <w:tcPr>
            <w:tcW w:w="1474" w:type="dxa"/>
            <w:vAlign w:val="center"/>
          </w:tcPr>
          <w:p>
            <w:pPr>
              <w:pStyle w:val="11"/>
            </w:pPr>
          </w:p>
        </w:tc>
        <w:tc>
          <w:tcPr>
            <w:tcW w:w="1474" w:type="dxa"/>
            <w:vAlign w:val="center"/>
          </w:tcPr>
          <w:p>
            <w:pPr>
              <w:pStyle w:val="11"/>
            </w:pPr>
            <w:r>
              <w:t>2000.00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1448.72</w:t>
            </w:r>
          </w:p>
        </w:tc>
        <w:tc>
          <w:tcPr>
            <w:tcW w:w="3402" w:type="dxa"/>
            <w:vAlign w:val="center"/>
          </w:tcPr>
          <w:p>
            <w:pPr>
              <w:pStyle w:val="14"/>
            </w:pPr>
            <w:r>
              <w:t>本年支出合计</w:t>
            </w:r>
          </w:p>
        </w:tc>
        <w:tc>
          <w:tcPr>
            <w:tcW w:w="1474" w:type="dxa"/>
            <w:vAlign w:val="center"/>
          </w:tcPr>
          <w:p>
            <w:pPr>
              <w:pStyle w:val="15"/>
            </w:pPr>
            <w:r>
              <w:t>4948.72</w:t>
            </w:r>
          </w:p>
        </w:tc>
        <w:tc>
          <w:tcPr>
            <w:tcW w:w="1474" w:type="dxa"/>
            <w:vAlign w:val="center"/>
          </w:tcPr>
          <w:p>
            <w:pPr>
              <w:pStyle w:val="15"/>
            </w:pPr>
            <w:r>
              <w:t>1448.72</w:t>
            </w:r>
          </w:p>
        </w:tc>
        <w:tc>
          <w:tcPr>
            <w:tcW w:w="1474" w:type="dxa"/>
            <w:vAlign w:val="center"/>
          </w:tcPr>
          <w:p>
            <w:pPr>
              <w:pStyle w:val="15"/>
            </w:pPr>
            <w:r>
              <w:t>3500.00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3500.00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3500.00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4948.72</w:t>
            </w:r>
          </w:p>
        </w:tc>
        <w:tc>
          <w:tcPr>
            <w:tcW w:w="3402" w:type="dxa"/>
            <w:vAlign w:val="center"/>
          </w:tcPr>
          <w:p>
            <w:pPr>
              <w:pStyle w:val="14"/>
            </w:pPr>
            <w:r>
              <w:t>支出总计</w:t>
            </w:r>
          </w:p>
        </w:tc>
        <w:tc>
          <w:tcPr>
            <w:tcW w:w="1474" w:type="dxa"/>
            <w:vAlign w:val="center"/>
          </w:tcPr>
          <w:p>
            <w:pPr>
              <w:pStyle w:val="15"/>
            </w:pPr>
            <w:r>
              <w:t>4948.72</w:t>
            </w:r>
          </w:p>
        </w:tc>
        <w:tc>
          <w:tcPr>
            <w:tcW w:w="1474" w:type="dxa"/>
            <w:vAlign w:val="center"/>
          </w:tcPr>
          <w:p>
            <w:pPr>
              <w:pStyle w:val="15"/>
            </w:pPr>
            <w:r>
              <w:t>1448.72</w:t>
            </w:r>
          </w:p>
        </w:tc>
        <w:tc>
          <w:tcPr>
            <w:tcW w:w="1474" w:type="dxa"/>
            <w:vAlign w:val="center"/>
          </w:tcPr>
          <w:p>
            <w:pPr>
              <w:pStyle w:val="15"/>
            </w:pPr>
            <w:r>
              <w:t>3500.00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303001无极县发展和改革局本级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1448.72</w:t>
            </w:r>
          </w:p>
        </w:tc>
        <w:tc>
          <w:tcPr>
            <w:tcW w:w="2551" w:type="dxa"/>
            <w:vAlign w:val="center"/>
          </w:tcPr>
          <w:p>
            <w:pPr>
              <w:pStyle w:val="15"/>
            </w:pPr>
            <w:r>
              <w:t>623.02</w:t>
            </w:r>
          </w:p>
        </w:tc>
        <w:tc>
          <w:tcPr>
            <w:tcW w:w="2551" w:type="dxa"/>
            <w:vAlign w:val="center"/>
          </w:tcPr>
          <w:p>
            <w:pPr>
              <w:pStyle w:val="15"/>
            </w:pPr>
            <w:r>
              <w:t>825.70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1175.70</w:t>
            </w:r>
          </w:p>
        </w:tc>
        <w:tc>
          <w:tcPr>
            <w:tcW w:w="2551" w:type="dxa"/>
            <w:vAlign w:val="center"/>
          </w:tcPr>
          <w:p>
            <w:pPr>
              <w:pStyle w:val="11"/>
            </w:pPr>
            <w:r>
              <w:t>568.02</w:t>
            </w:r>
          </w:p>
        </w:tc>
        <w:tc>
          <w:tcPr>
            <w:tcW w:w="2551" w:type="dxa"/>
            <w:vAlign w:val="center"/>
          </w:tcPr>
          <w:p>
            <w:pPr>
              <w:pStyle w:val="11"/>
            </w:pPr>
            <w:r>
              <w:t>607.68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20104</w:t>
            </w:r>
          </w:p>
        </w:tc>
        <w:tc>
          <w:tcPr>
            <w:tcW w:w="4535" w:type="dxa"/>
            <w:vAlign w:val="center"/>
          </w:tcPr>
          <w:p>
            <w:pPr>
              <w:pStyle w:val="12"/>
            </w:pPr>
            <w:r>
              <w:t>发展与改革事务</w:t>
            </w:r>
          </w:p>
        </w:tc>
        <w:tc>
          <w:tcPr>
            <w:tcW w:w="2551" w:type="dxa"/>
            <w:vAlign w:val="center"/>
          </w:tcPr>
          <w:p>
            <w:pPr>
              <w:pStyle w:val="11"/>
            </w:pPr>
            <w:r>
              <w:t>1175.70</w:t>
            </w:r>
          </w:p>
        </w:tc>
        <w:tc>
          <w:tcPr>
            <w:tcW w:w="2551" w:type="dxa"/>
            <w:vAlign w:val="center"/>
          </w:tcPr>
          <w:p>
            <w:pPr>
              <w:pStyle w:val="11"/>
            </w:pPr>
            <w:r>
              <w:t>568.02</w:t>
            </w:r>
          </w:p>
        </w:tc>
        <w:tc>
          <w:tcPr>
            <w:tcW w:w="2551" w:type="dxa"/>
            <w:vAlign w:val="center"/>
          </w:tcPr>
          <w:p>
            <w:pPr>
              <w:pStyle w:val="11"/>
            </w:pPr>
            <w:r>
              <w:t>607.68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2010401</w:t>
            </w:r>
          </w:p>
        </w:tc>
        <w:tc>
          <w:tcPr>
            <w:tcW w:w="4535" w:type="dxa"/>
            <w:vAlign w:val="center"/>
          </w:tcPr>
          <w:p>
            <w:pPr>
              <w:pStyle w:val="12"/>
            </w:pPr>
            <w:r>
              <w:t>行政运行</w:t>
            </w:r>
          </w:p>
        </w:tc>
        <w:tc>
          <w:tcPr>
            <w:tcW w:w="2551" w:type="dxa"/>
            <w:vAlign w:val="center"/>
          </w:tcPr>
          <w:p>
            <w:pPr>
              <w:pStyle w:val="11"/>
            </w:pPr>
            <w:r>
              <w:t>568.02</w:t>
            </w:r>
          </w:p>
        </w:tc>
        <w:tc>
          <w:tcPr>
            <w:tcW w:w="2551" w:type="dxa"/>
            <w:vAlign w:val="center"/>
          </w:tcPr>
          <w:p>
            <w:pPr>
              <w:pStyle w:val="11"/>
            </w:pPr>
            <w:r>
              <w:t>568.02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2010408</w:t>
            </w:r>
          </w:p>
        </w:tc>
        <w:tc>
          <w:tcPr>
            <w:tcW w:w="4535" w:type="dxa"/>
            <w:vAlign w:val="center"/>
          </w:tcPr>
          <w:p>
            <w:pPr>
              <w:pStyle w:val="12"/>
            </w:pPr>
            <w:r>
              <w:t>物价管理</w:t>
            </w:r>
          </w:p>
        </w:tc>
        <w:tc>
          <w:tcPr>
            <w:tcW w:w="2551" w:type="dxa"/>
            <w:vAlign w:val="center"/>
          </w:tcPr>
          <w:p>
            <w:pPr>
              <w:pStyle w:val="11"/>
            </w:pPr>
            <w:r>
              <w:t>607.68</w:t>
            </w:r>
          </w:p>
        </w:tc>
        <w:tc>
          <w:tcPr>
            <w:tcW w:w="2551" w:type="dxa"/>
            <w:vAlign w:val="center"/>
          </w:tcPr>
          <w:p>
            <w:pPr>
              <w:pStyle w:val="11"/>
            </w:pPr>
          </w:p>
        </w:tc>
        <w:tc>
          <w:tcPr>
            <w:tcW w:w="2551" w:type="dxa"/>
            <w:vAlign w:val="center"/>
          </w:tcPr>
          <w:p>
            <w:pPr>
              <w:pStyle w:val="11"/>
            </w:pPr>
            <w:r>
              <w:t>607.68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39.00</w:t>
            </w:r>
          </w:p>
        </w:tc>
        <w:tc>
          <w:tcPr>
            <w:tcW w:w="2551" w:type="dxa"/>
            <w:vAlign w:val="center"/>
          </w:tcPr>
          <w:p>
            <w:pPr>
              <w:pStyle w:val="11"/>
            </w:pPr>
            <w:r>
              <w:t>39.00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39.00</w:t>
            </w:r>
          </w:p>
        </w:tc>
        <w:tc>
          <w:tcPr>
            <w:tcW w:w="2551" w:type="dxa"/>
            <w:vAlign w:val="center"/>
          </w:tcPr>
          <w:p>
            <w:pPr>
              <w:pStyle w:val="11"/>
            </w:pPr>
            <w:r>
              <w:t>39.00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39.00</w:t>
            </w:r>
          </w:p>
        </w:tc>
        <w:tc>
          <w:tcPr>
            <w:tcW w:w="2551" w:type="dxa"/>
            <w:vAlign w:val="center"/>
          </w:tcPr>
          <w:p>
            <w:pPr>
              <w:pStyle w:val="11"/>
            </w:pPr>
            <w:r>
              <w:t>39.00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16.00</w:t>
            </w:r>
          </w:p>
        </w:tc>
        <w:tc>
          <w:tcPr>
            <w:tcW w:w="2551" w:type="dxa"/>
            <w:vAlign w:val="center"/>
          </w:tcPr>
          <w:p>
            <w:pPr>
              <w:pStyle w:val="11"/>
            </w:pPr>
            <w:r>
              <w:t>16.00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16.00</w:t>
            </w:r>
          </w:p>
        </w:tc>
        <w:tc>
          <w:tcPr>
            <w:tcW w:w="2551" w:type="dxa"/>
            <w:vAlign w:val="center"/>
          </w:tcPr>
          <w:p>
            <w:pPr>
              <w:pStyle w:val="11"/>
            </w:pPr>
            <w:r>
              <w:t>16.00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16.00</w:t>
            </w:r>
          </w:p>
        </w:tc>
        <w:tc>
          <w:tcPr>
            <w:tcW w:w="2551" w:type="dxa"/>
            <w:vAlign w:val="center"/>
          </w:tcPr>
          <w:p>
            <w:pPr>
              <w:pStyle w:val="11"/>
            </w:pPr>
            <w:r>
              <w:t>16.00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218.02</w:t>
            </w:r>
          </w:p>
        </w:tc>
        <w:tc>
          <w:tcPr>
            <w:tcW w:w="2551" w:type="dxa"/>
            <w:vAlign w:val="center"/>
          </w:tcPr>
          <w:p>
            <w:pPr>
              <w:pStyle w:val="11"/>
            </w:pPr>
          </w:p>
        </w:tc>
        <w:tc>
          <w:tcPr>
            <w:tcW w:w="2551" w:type="dxa"/>
            <w:vAlign w:val="center"/>
          </w:tcPr>
          <w:p>
            <w:pPr>
              <w:pStyle w:val="11"/>
            </w:pPr>
            <w:r>
              <w:t>218.02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218.02</w:t>
            </w:r>
          </w:p>
        </w:tc>
        <w:tc>
          <w:tcPr>
            <w:tcW w:w="2551" w:type="dxa"/>
            <w:vAlign w:val="center"/>
          </w:tcPr>
          <w:p>
            <w:pPr>
              <w:pStyle w:val="11"/>
            </w:pPr>
          </w:p>
        </w:tc>
        <w:tc>
          <w:tcPr>
            <w:tcW w:w="2551" w:type="dxa"/>
            <w:vAlign w:val="center"/>
          </w:tcPr>
          <w:p>
            <w:pPr>
              <w:pStyle w:val="11"/>
            </w:pPr>
            <w:r>
              <w:t>218.02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218.02</w:t>
            </w:r>
          </w:p>
        </w:tc>
        <w:tc>
          <w:tcPr>
            <w:tcW w:w="2551" w:type="dxa"/>
            <w:vAlign w:val="center"/>
          </w:tcPr>
          <w:p>
            <w:pPr>
              <w:pStyle w:val="11"/>
            </w:pPr>
          </w:p>
        </w:tc>
        <w:tc>
          <w:tcPr>
            <w:tcW w:w="2551" w:type="dxa"/>
            <w:vAlign w:val="center"/>
          </w:tcPr>
          <w:p>
            <w:pPr>
              <w:pStyle w:val="11"/>
            </w:pPr>
            <w:r>
              <w:t>218.02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303001无极县发展和改革局本级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623.02</w:t>
            </w:r>
          </w:p>
        </w:tc>
        <w:tc>
          <w:tcPr>
            <w:tcW w:w="2551" w:type="dxa"/>
            <w:vAlign w:val="center"/>
          </w:tcPr>
          <w:p>
            <w:pPr>
              <w:pStyle w:val="15"/>
            </w:pPr>
            <w:r>
              <w:t>580.20</w:t>
            </w:r>
          </w:p>
        </w:tc>
        <w:tc>
          <w:tcPr>
            <w:tcW w:w="2551" w:type="dxa"/>
            <w:vAlign w:val="center"/>
          </w:tcPr>
          <w:p>
            <w:pPr>
              <w:pStyle w:val="15"/>
            </w:pPr>
            <w:r>
              <w:t>42.82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479.80</w:t>
            </w:r>
          </w:p>
        </w:tc>
        <w:tc>
          <w:tcPr>
            <w:tcW w:w="2551" w:type="dxa"/>
            <w:vAlign w:val="center"/>
          </w:tcPr>
          <w:p>
            <w:pPr>
              <w:pStyle w:val="11"/>
            </w:pPr>
            <w:r>
              <w:t>479.80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295.00</w:t>
            </w:r>
          </w:p>
        </w:tc>
        <w:tc>
          <w:tcPr>
            <w:tcW w:w="2551" w:type="dxa"/>
            <w:vAlign w:val="center"/>
          </w:tcPr>
          <w:p>
            <w:pPr>
              <w:pStyle w:val="11"/>
            </w:pPr>
            <w:r>
              <w:t>295.00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39.00</w:t>
            </w:r>
          </w:p>
        </w:tc>
        <w:tc>
          <w:tcPr>
            <w:tcW w:w="2551" w:type="dxa"/>
            <w:vAlign w:val="center"/>
          </w:tcPr>
          <w:p>
            <w:pPr>
              <w:pStyle w:val="11"/>
            </w:pPr>
            <w:r>
              <w:t>39.00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29.10</w:t>
            </w:r>
          </w:p>
        </w:tc>
        <w:tc>
          <w:tcPr>
            <w:tcW w:w="2551" w:type="dxa"/>
            <w:vAlign w:val="center"/>
          </w:tcPr>
          <w:p>
            <w:pPr>
              <w:pStyle w:val="11"/>
            </w:pPr>
            <w:r>
              <w:t>29.10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60.00</w:t>
            </w:r>
          </w:p>
        </w:tc>
        <w:tc>
          <w:tcPr>
            <w:tcW w:w="2551" w:type="dxa"/>
            <w:vAlign w:val="center"/>
          </w:tcPr>
          <w:p>
            <w:pPr>
              <w:pStyle w:val="11"/>
            </w:pPr>
            <w:r>
              <w:t>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39.00</w:t>
            </w:r>
          </w:p>
        </w:tc>
        <w:tc>
          <w:tcPr>
            <w:tcW w:w="2551" w:type="dxa"/>
            <w:vAlign w:val="center"/>
          </w:tcPr>
          <w:p>
            <w:pPr>
              <w:pStyle w:val="11"/>
            </w:pPr>
            <w:r>
              <w:t>39.00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16.00</w:t>
            </w:r>
          </w:p>
        </w:tc>
        <w:tc>
          <w:tcPr>
            <w:tcW w:w="2551" w:type="dxa"/>
            <w:vAlign w:val="center"/>
          </w:tcPr>
          <w:p>
            <w:pPr>
              <w:pStyle w:val="11"/>
            </w:pPr>
            <w:r>
              <w:t>16.00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1.70</w:t>
            </w:r>
          </w:p>
        </w:tc>
        <w:tc>
          <w:tcPr>
            <w:tcW w:w="2551" w:type="dxa"/>
            <w:vAlign w:val="center"/>
          </w:tcPr>
          <w:p>
            <w:pPr>
              <w:pStyle w:val="11"/>
            </w:pPr>
            <w:r>
              <w:t>1.70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42.82</w:t>
            </w:r>
          </w:p>
        </w:tc>
        <w:tc>
          <w:tcPr>
            <w:tcW w:w="2551" w:type="dxa"/>
            <w:vAlign w:val="center"/>
          </w:tcPr>
          <w:p>
            <w:pPr>
              <w:pStyle w:val="11"/>
            </w:pPr>
          </w:p>
        </w:tc>
        <w:tc>
          <w:tcPr>
            <w:tcW w:w="2551" w:type="dxa"/>
            <w:vAlign w:val="center"/>
          </w:tcPr>
          <w:p>
            <w:pPr>
              <w:pStyle w:val="11"/>
            </w:pPr>
            <w:r>
              <w:t>42.82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22.00</w:t>
            </w:r>
          </w:p>
        </w:tc>
        <w:tc>
          <w:tcPr>
            <w:tcW w:w="2551" w:type="dxa"/>
            <w:vAlign w:val="center"/>
          </w:tcPr>
          <w:p>
            <w:pPr>
              <w:pStyle w:val="11"/>
            </w:pPr>
          </w:p>
        </w:tc>
        <w:tc>
          <w:tcPr>
            <w:tcW w:w="2551" w:type="dxa"/>
            <w:vAlign w:val="center"/>
          </w:tcPr>
          <w:p>
            <w:pPr>
              <w:pStyle w:val="11"/>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5.82</w:t>
            </w:r>
          </w:p>
        </w:tc>
        <w:tc>
          <w:tcPr>
            <w:tcW w:w="2551" w:type="dxa"/>
            <w:vAlign w:val="center"/>
          </w:tcPr>
          <w:p>
            <w:pPr>
              <w:pStyle w:val="11"/>
            </w:pPr>
          </w:p>
        </w:tc>
        <w:tc>
          <w:tcPr>
            <w:tcW w:w="2551" w:type="dxa"/>
            <w:vAlign w:val="center"/>
          </w:tcPr>
          <w:p>
            <w:pPr>
              <w:pStyle w:val="11"/>
            </w:pPr>
            <w:r>
              <w:t>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100.40</w:t>
            </w:r>
          </w:p>
        </w:tc>
        <w:tc>
          <w:tcPr>
            <w:tcW w:w="2551" w:type="dxa"/>
            <w:vAlign w:val="center"/>
          </w:tcPr>
          <w:p>
            <w:pPr>
              <w:pStyle w:val="11"/>
            </w:pPr>
            <w:r>
              <w:t>100.40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85.40</w:t>
            </w:r>
          </w:p>
        </w:tc>
        <w:tc>
          <w:tcPr>
            <w:tcW w:w="2551" w:type="dxa"/>
            <w:vAlign w:val="center"/>
          </w:tcPr>
          <w:p>
            <w:pPr>
              <w:pStyle w:val="11"/>
            </w:pPr>
            <w:r>
              <w:t>85.40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303001无极县发展和改革局本级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3500.00</w:t>
            </w:r>
          </w:p>
        </w:tc>
        <w:tc>
          <w:tcPr>
            <w:tcW w:w="2551" w:type="dxa"/>
            <w:vAlign w:val="center"/>
          </w:tcPr>
          <w:p>
            <w:pPr>
              <w:pStyle w:val="15"/>
            </w:pPr>
          </w:p>
        </w:tc>
        <w:tc>
          <w:tcPr>
            <w:tcW w:w="2551" w:type="dxa"/>
            <w:vAlign w:val="center"/>
          </w:tcPr>
          <w:p>
            <w:pPr>
              <w:pStyle w:val="15"/>
            </w:pPr>
            <w:r>
              <w:t>3500.00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1500.00</w:t>
            </w:r>
          </w:p>
        </w:tc>
        <w:tc>
          <w:tcPr>
            <w:tcW w:w="2551" w:type="dxa"/>
            <w:vAlign w:val="center"/>
          </w:tcPr>
          <w:p>
            <w:pPr>
              <w:pStyle w:val="11"/>
            </w:pPr>
          </w:p>
        </w:tc>
        <w:tc>
          <w:tcPr>
            <w:tcW w:w="2551" w:type="dxa"/>
            <w:vAlign w:val="center"/>
          </w:tcPr>
          <w:p>
            <w:pPr>
              <w:pStyle w:val="11"/>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21298</w:t>
            </w:r>
          </w:p>
        </w:tc>
        <w:tc>
          <w:tcPr>
            <w:tcW w:w="4535" w:type="dxa"/>
            <w:vAlign w:val="center"/>
          </w:tcPr>
          <w:p>
            <w:pPr>
              <w:pStyle w:val="12"/>
            </w:pPr>
            <w:r>
              <w:t>超长期特别国债安排的支出</w:t>
            </w:r>
          </w:p>
        </w:tc>
        <w:tc>
          <w:tcPr>
            <w:tcW w:w="2551" w:type="dxa"/>
            <w:vAlign w:val="center"/>
          </w:tcPr>
          <w:p>
            <w:pPr>
              <w:pStyle w:val="11"/>
            </w:pPr>
            <w:r>
              <w:t>1500.00</w:t>
            </w:r>
          </w:p>
        </w:tc>
        <w:tc>
          <w:tcPr>
            <w:tcW w:w="2551" w:type="dxa"/>
            <w:vAlign w:val="center"/>
          </w:tcPr>
          <w:p>
            <w:pPr>
              <w:pStyle w:val="11"/>
            </w:pPr>
          </w:p>
        </w:tc>
        <w:tc>
          <w:tcPr>
            <w:tcW w:w="2551" w:type="dxa"/>
            <w:vAlign w:val="center"/>
          </w:tcPr>
          <w:p>
            <w:pPr>
              <w:pStyle w:val="11"/>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2129899</w:t>
            </w:r>
          </w:p>
        </w:tc>
        <w:tc>
          <w:tcPr>
            <w:tcW w:w="4535" w:type="dxa"/>
            <w:vAlign w:val="center"/>
          </w:tcPr>
          <w:p>
            <w:pPr>
              <w:pStyle w:val="12"/>
            </w:pPr>
            <w:r>
              <w:t>其他城乡社区支出</w:t>
            </w:r>
          </w:p>
        </w:tc>
        <w:tc>
          <w:tcPr>
            <w:tcW w:w="2551" w:type="dxa"/>
            <w:vAlign w:val="center"/>
          </w:tcPr>
          <w:p>
            <w:pPr>
              <w:pStyle w:val="11"/>
            </w:pPr>
            <w:r>
              <w:t>1500.00</w:t>
            </w:r>
          </w:p>
        </w:tc>
        <w:tc>
          <w:tcPr>
            <w:tcW w:w="2551" w:type="dxa"/>
            <w:vAlign w:val="center"/>
          </w:tcPr>
          <w:p>
            <w:pPr>
              <w:pStyle w:val="11"/>
            </w:pPr>
          </w:p>
        </w:tc>
        <w:tc>
          <w:tcPr>
            <w:tcW w:w="2551" w:type="dxa"/>
            <w:vAlign w:val="center"/>
          </w:tcPr>
          <w:p>
            <w:pPr>
              <w:pStyle w:val="11"/>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2000.00</w:t>
            </w:r>
          </w:p>
        </w:tc>
        <w:tc>
          <w:tcPr>
            <w:tcW w:w="2551" w:type="dxa"/>
            <w:vAlign w:val="center"/>
          </w:tcPr>
          <w:p>
            <w:pPr>
              <w:pStyle w:val="11"/>
            </w:pPr>
          </w:p>
        </w:tc>
        <w:tc>
          <w:tcPr>
            <w:tcW w:w="2551" w:type="dxa"/>
            <w:vAlign w:val="center"/>
          </w:tcPr>
          <w:p>
            <w:pPr>
              <w:pStyle w:val="11"/>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2000.00</w:t>
            </w:r>
          </w:p>
        </w:tc>
        <w:tc>
          <w:tcPr>
            <w:tcW w:w="2551" w:type="dxa"/>
            <w:vAlign w:val="center"/>
          </w:tcPr>
          <w:p>
            <w:pPr>
              <w:pStyle w:val="11"/>
            </w:pPr>
          </w:p>
        </w:tc>
        <w:tc>
          <w:tcPr>
            <w:tcW w:w="2551" w:type="dxa"/>
            <w:vAlign w:val="center"/>
          </w:tcPr>
          <w:p>
            <w:pPr>
              <w:pStyle w:val="11"/>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2000.00</w:t>
            </w:r>
          </w:p>
        </w:tc>
        <w:tc>
          <w:tcPr>
            <w:tcW w:w="2551" w:type="dxa"/>
            <w:vAlign w:val="center"/>
          </w:tcPr>
          <w:p>
            <w:pPr>
              <w:pStyle w:val="11"/>
            </w:pPr>
          </w:p>
        </w:tc>
        <w:tc>
          <w:tcPr>
            <w:tcW w:w="2551" w:type="dxa"/>
            <w:vAlign w:val="center"/>
          </w:tcPr>
          <w:p>
            <w:pPr>
              <w:pStyle w:val="11"/>
            </w:pPr>
            <w:r>
              <w:t>2000.00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303001无极县发展和改革局本级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303001无极县发展和改革局本级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5.82</w:t>
            </w:r>
          </w:p>
        </w:tc>
        <w:tc>
          <w:tcPr>
            <w:tcW w:w="2381" w:type="dxa"/>
            <w:vAlign w:val="center"/>
          </w:tcPr>
          <w:p>
            <w:pPr>
              <w:pStyle w:val="15"/>
            </w:pPr>
            <w:r>
              <w:t>5.82</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5.82</w:t>
            </w:r>
          </w:p>
        </w:tc>
        <w:tc>
          <w:tcPr>
            <w:tcW w:w="2381" w:type="dxa"/>
            <w:vAlign w:val="center"/>
          </w:tcPr>
          <w:p>
            <w:pPr>
              <w:pStyle w:val="11"/>
            </w:pPr>
            <w:r>
              <w:t>5.82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5.82</w:t>
            </w:r>
          </w:p>
        </w:tc>
        <w:tc>
          <w:tcPr>
            <w:tcW w:w="2381" w:type="dxa"/>
            <w:vAlign w:val="center"/>
          </w:tcPr>
          <w:p>
            <w:pPr>
              <w:pStyle w:val="11"/>
            </w:pPr>
            <w:r>
              <w:t>5.82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5.82</w:t>
            </w:r>
          </w:p>
        </w:tc>
        <w:tc>
          <w:tcPr>
            <w:tcW w:w="2381" w:type="dxa"/>
            <w:vAlign w:val="center"/>
          </w:tcPr>
          <w:p>
            <w:pPr>
              <w:pStyle w:val="11"/>
            </w:pPr>
            <w:r>
              <w:t>5.82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无极县发展和改革局本级2026年单位预算信息公开情况说明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按照《中华人民共和国预算法》、《地方预决算公开操作规程》和《关于进一步推进预算公开工作的实施意见》规定，现将无极县发展和改革局本级2026年单位预算公开如下：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《无极县机构改革方案》和《中国共产党机构编制工作条例》、《中共河北省委机构编制管理规定》，发展和改革局的主要职责是：</w:t>
      </w:r>
    </w:p>
    <w:p>
      <w:pPr>
        <w:pStyle w:val="17"/>
      </w:pPr>
      <w:r>
        <w:t>（一）拟订并组织实施全县国民经济和社会发展战略、中长期规划和年度计划。牵头组织统一规划体系建设。负责县级专项规划、区域规划、空间规划与全县发展规划的统筹衔接。起草国民经济和社会发展、经济体制改革和对外开放的有关政府规章草案，制定规范性文件。</w:t>
      </w:r>
    </w:p>
    <w:p>
      <w:pPr>
        <w:pStyle w:val="17"/>
      </w:pPr>
      <w:r>
        <w:t>（二）提出加快建设全县现代化经济体系、推动高质量发展的总体目标、重大任务以及相关政策。组织开展重大战略规划、重大政策、重大工程等的评估督导，提出相关调整建议。</w:t>
      </w:r>
    </w:p>
    <w:p>
      <w:pPr>
        <w:pStyle w:val="17"/>
      </w:pPr>
      <w:r>
        <w:t>（三）贯彻落实国家、省、市宏观调控政策，统筹提出全县国民经济和社会发展主要目标，监测预测预警宏观经济和社会发展态势趋势，提出经济调节政策建议。综合协调经济调节政策，牵头研究应对措施。调节经济运行，协调解决经济运行中的重大问题。参与贯彻落实国家、省、市财政政策、货币政策和土地政策。</w:t>
      </w:r>
    </w:p>
    <w:p>
      <w:pPr>
        <w:pStyle w:val="17"/>
      </w:pPr>
      <w:r>
        <w:t>（四）指导推进和综合协调经济体制改革有关工作，提出相关改革建议。牵头推进供给侧结构性改革。协调推进产权制度和要素市场化配置改革。落实国家、省、市完善基本经济制度政策，推动现代化市场体系建设，会同有关部门组织实施市场准入负面清单制度。牵头推进优化营商环境工作。负责生产经营类事业单位管理体制改革工作。</w:t>
      </w:r>
    </w:p>
    <w:p>
      <w:pPr>
        <w:pStyle w:val="17"/>
      </w:pPr>
      <w:r>
        <w:t>（五）牵头推进实施全县“一带一路”建设有关工作。承担统筹协调走出去有关工作。负责全县全口径外债的总量控制、结构优化和监测工作。</w:t>
      </w:r>
    </w:p>
    <w:p>
      <w:pPr>
        <w:pStyle w:val="17"/>
      </w:pPr>
      <w:r>
        <w:t>（六）负责全县投资综合管理。拟订全县固定资产投资总规模、结构调控目标和政策，会同相关部门拟订政府投资项目审批权限和政府核准的固定资产投资项目目录。安排县级预算内基本建设资金和有关发展性专项资金，按规定权限对投资项目进行事中事后监管。规划全县重点建设项目和生产力布局，组织推动重点建设项目。拟订并推动落实鼓励民间投资政策措施。</w:t>
      </w:r>
    </w:p>
    <w:p>
      <w:pPr>
        <w:pStyle w:val="17"/>
      </w:pPr>
      <w:r>
        <w:t>（七）推进落实区域协调发展战略、新型城镇化战略和重大政策，组织拟订相关区域规划和政策。落实推进实施京津冀协同发展等区域发展战略。统筹协调区域合作和对口支援工作。组织编制并推动实施新型城镇化规划。</w:t>
      </w:r>
    </w:p>
    <w:p>
      <w:pPr>
        <w:pStyle w:val="17"/>
      </w:pPr>
      <w:r>
        <w:t>（八）贯彻实施国家、省、市产业政策，拟订全县综合性产业政策。协调一二三产业发展重大问题并统筹衔接相关发展规划和重大政策。协调推进重大基础设施建设发展，拟订服务业及现代物流业战略规划和重大政策并组织实施。综合研判消费变动趋势，拟订实施促进消费的综合性政策措施。</w:t>
      </w:r>
    </w:p>
    <w:p>
      <w:pPr>
        <w:pStyle w:val="17"/>
      </w:pPr>
      <w:r>
        <w:t>（九）推动实施全县创新驱动发展战略。会同相关部门拟订全县推进创新创业的规划和政策，提出创新发展和培育经济发展新动能的政策。会同相关部门规划布局县级重大科技基础设施。组织拟订并推动实施高技术产业和战略性新兴产业及数字经济发展规划政策，协调产业升级、重大技术装备推广应用等方面重大问题。</w:t>
      </w:r>
    </w:p>
    <w:p>
      <w:pPr>
        <w:pStyle w:val="17"/>
      </w:pPr>
      <w:r>
        <w:t>（十）跟踪研判涉及经济安全、生态安全、资源安全、社会安全等各类风险隐患，提出相关工作建议。协调落实重要工业品、原材料和重要农产品进出口调控措施。会同有关部门拟订全县储备物资品种目录、总体发展规划。</w:t>
      </w:r>
    </w:p>
    <w:p>
      <w:pPr>
        <w:pStyle w:val="17"/>
      </w:pPr>
      <w:r>
        <w:t>（十一）负责全县社会发展与国民经济发展的政策衔接，协调有关重大问题。拟订社会发展战略、总体规划，统筹推进基本公共服务体系建设和收入分配制度改革，提出促进就业、完善社会保障与经济协调发展的政策建议。</w:t>
      </w:r>
    </w:p>
    <w:p>
      <w:pPr>
        <w:pStyle w:val="17"/>
      </w:pPr>
      <w:r>
        <w:t>（十二）推进实施可持续发展战略，推动生态文明建设和改革，协调生态环境保护与修复、能源资源节约和综合利用等工作。提出健全生态保护补偿机制的政策措施，综合协调环保产业和清洁生产促进有关工作。提出全县能源消费控制目标、任务并组织实施。</w:t>
      </w:r>
    </w:p>
    <w:p>
      <w:pPr>
        <w:pStyle w:val="17"/>
      </w:pPr>
      <w:r>
        <w:t>（十三）组织拟订推进全县经济建设与国防建设协调发展的战略和规划，组织推进经济建设项目贯彻国防要求。</w:t>
      </w:r>
    </w:p>
    <w:p>
      <w:pPr>
        <w:pStyle w:val="17"/>
      </w:pPr>
      <w:r>
        <w:t>（十四）拟订并组织实施有关价格政策，组织制定由县级管理的重要商品、服务价格和重要收费标准。负责价格（收费）申诉案件行政复议和裁决，负责对司法、纪检监察、行政机关及仲裁机构办理的各种案件涉案物品进行价格鉴定。</w:t>
      </w:r>
    </w:p>
    <w:p>
      <w:pPr>
        <w:pStyle w:val="17"/>
      </w:pPr>
      <w:r>
        <w:t>（十五）提出全县能源发展战略建议，拟订能源发展规划、产业政策和年度制定计划并组织实施。负责能源行业节能和资源综合利用。负责冶金矿产品生产经营监督管理工作;负责煤炭、天然气等能源市场监管职责；负责散装水泥推广管理工作。</w:t>
      </w:r>
    </w:p>
    <w:p>
      <w:pPr>
        <w:pStyle w:val="17"/>
      </w:pPr>
      <w:r>
        <w:t>（十六）拟订全县粮食流通规划并组织实施。负责粮食行业发展和粮食流通设施建设，承担全县粮食流通宏观调控，落实国家、省、市粮食购销政策和粮食质量标准。负责粮食流通、加工行业安全生产的监督管理，负责粮食流通监督检查，负责粮食收购、储存、运输环节粮食质量安全和原粮卫生的监督管理，组织实施全县粮食库存检查工作。承担粮食安全省长责任制考核日常工作。</w:t>
      </w:r>
    </w:p>
    <w:p>
      <w:pPr>
        <w:pStyle w:val="17"/>
      </w:pPr>
      <w:r>
        <w:t>（十七）拟订县级粮食、食糖、食盐和救灾物资储备规划、储备品种目录并组织实施，负责物资储备基础设施建设以及收储、轮换和日常管理工作，承担物资承储企业以及物资储备承储单位安全的监管责任，落实有关动用计划和指令。监测粮食、食糖、食盐等物资供求变化并预测预警；会同有关部门管理棉花等重要商品储备工作。</w:t>
      </w:r>
    </w:p>
    <w:p>
      <w:pPr>
        <w:pStyle w:val="17"/>
      </w:pPr>
      <w:r>
        <w:t>（十八）协调、管理、推动物流业发展，组织推动国际航线、国际班列的开行，以及重大物流园区和物流项目建设等相关工作。</w:t>
      </w:r>
    </w:p>
    <w:p>
      <w:pPr>
        <w:pStyle w:val="17"/>
      </w:pPr>
      <w:r>
        <w:t>（十九）组织实施国民经济、装备动员等工作。</w:t>
      </w:r>
    </w:p>
    <w:p>
      <w:pPr>
        <w:pStyle w:val="17"/>
      </w:pPr>
      <w:r>
        <w:t>（二十）贯彻落实国防动员相关法律法规和规章，研究全县国防动员建设重大问题和重大政策，组织起草国防动员、人民防空和军事设施保护有关制度并组织实施。</w:t>
      </w:r>
    </w:p>
    <w:p>
      <w:pPr>
        <w:pStyle w:val="17"/>
      </w:pPr>
      <w:r>
        <w:t>（二十一）组织拟订全县国防动员、人民防空建设中长期发展规划和年度计划。统筹衔接经济动员、人民防空、信息动员、科技动员、国防教育、装备动员建设等规划，经县国防动员委员会联合办公室归口审核后按程序报批。统筹推进国防动员重大项目和专项工程。协调解决跨领域跨地区跨部门国防动员重大问题。</w:t>
      </w:r>
    </w:p>
    <w:p>
      <w:pPr>
        <w:pStyle w:val="17"/>
      </w:pPr>
      <w:r>
        <w:t>（二十二）承担国防动员建设管理、动员准备、组织实施的综合协调和督导落实任务。牵头承办国防动员建设管理和组织实施涉及各有关部门之间的协调落实工作。协调军地有关单位对接重大事项、落实动员需求、解决矛盾问题。战时和重大军事行动时，组织国防动员相关任务落实。</w:t>
      </w:r>
    </w:p>
    <w:p>
      <w:pPr>
        <w:pStyle w:val="17"/>
      </w:pPr>
      <w:r>
        <w:t>（二十三）组织协调国防动员训练演练。统筹指导行业部门开展国防动员专业保障队伍建设。协同推进舆论战心理战法律战和新型领域等国防动员力量建设。协调组织战时转产、扩大生产军品和相关维修保障任务。</w:t>
      </w:r>
    </w:p>
    <w:p>
      <w:pPr>
        <w:pStyle w:val="17"/>
      </w:pPr>
      <w:r>
        <w:t>（二十四）负责开展国防动员潜力调查。协调推进国防动员信息化建设。协同军事机关开展国防动员能力检验评估。</w:t>
      </w:r>
    </w:p>
    <w:p>
      <w:pPr>
        <w:pStyle w:val="17"/>
      </w:pPr>
      <w:r>
        <w:t>（二十五）负责县委重大交办事项和县国防动员委员会和上级国防动员部门重要工作部署的督查督办。负责对国防动员以及人民防空规划计划、重要政策、重点任务、重大项目和专项工程落实情况的监督检查；对县国防动员委员会有关成员单位落实国防动员任务情况开展考核评估。</w:t>
      </w:r>
    </w:p>
    <w:p>
      <w:pPr>
        <w:pStyle w:val="17"/>
      </w:pPr>
      <w:r>
        <w:t>（二十六）负责协调军事设施保护有关工作。</w:t>
      </w:r>
    </w:p>
    <w:p>
      <w:pPr>
        <w:pStyle w:val="17"/>
      </w:pPr>
      <w:r>
        <w:t>（二十七）负责拟订提请县委军民融合发展委员会审议的国防动员领域重大事项建议，协调推进相关事项落实，承担县委军民融合发展委员会交办的专项工作任务等。</w:t>
      </w:r>
    </w:p>
    <w:p>
      <w:pPr>
        <w:pStyle w:val="17"/>
      </w:pPr>
      <w:r>
        <w:t>（二十八）负责人民防空组织指挥、工程、疏散地域（基地）和信息化等建设管理和组织实施工作。参与城市地下空间开发利用落实兼顾人民防空要求；负责监督重要经济目标防护建设、群众防空组织建设；管理人民防空经费和国有资产；负责开展人民防空宣传教育工作。</w:t>
      </w:r>
    </w:p>
    <w:p>
      <w:pPr>
        <w:pStyle w:val="17"/>
      </w:pPr>
      <w:r>
        <w:t>（二十九）承担县国防动员委员会联合办公室相关日常事务。</w:t>
      </w:r>
    </w:p>
    <w:p>
      <w:pPr>
        <w:pStyle w:val="17"/>
      </w:pPr>
      <w:r>
        <w:t>（三十）完成县委、县政府交办的其他任务。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无极县发展和改革局本级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4948.72万元，其中：一般公共预算收入1448.72万元，基金预算收入0.00万元，国有资本经营预算收入0.00万元，财政专户核拨收入0.00万元，单位资金收入0.00万元，上年结转结余3500.00万元。</w:t>
      </w:r>
    </w:p>
    <w:p>
      <w:pPr>
        <w:pStyle w:val="18"/>
      </w:pPr>
      <w:r>
        <w:t>2、支出说明</w:t>
      </w:r>
    </w:p>
    <w:p>
      <w:pPr>
        <w:pStyle w:val="18"/>
      </w:pPr>
      <w:r>
        <w:t>收支预算总表支出栏、基本支出表、项目支出表按经济分类和支出功能分类科目编制，反映无极县发展和改革局本级年度单位预算中支出预算的总体情况。2026年支出预算4948.72万元，其中基本支出623.02万元，包括人员经费580.20万元和日常公用经费42.82万元；项目支出4325.70万元，主要为石家庄嘉盛新能源有限公司锅炉提升改造项目1500万元，无极县粮食和物资智慧储备库建设项目2000万元，农村取暖天然气价格补贴607.68万元</w:t>
      </w:r>
      <w:r>
        <w:rPr>
          <w:rFonts w:hint="eastAsia"/>
          <w:lang w:eastAsia="zh-CN"/>
        </w:rPr>
        <w:t>，农村煤改气终端销售价格补贴</w:t>
      </w:r>
      <w:r>
        <w:rPr>
          <w:rFonts w:hint="eastAsia"/>
          <w:lang w:val="en-US" w:eastAsia="zh-CN"/>
        </w:rPr>
        <w:t>218.02万元</w:t>
      </w:r>
      <w:r>
        <w:t>；预计下年使用的单位资金结余0.00万元。委托业务费共计安排0.00万元，主要用于因技术原因确需对外委托的辅助性工作和确有必要对外委托开展咨询、评审、规划等工作。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2026年预算收支安排4948.72万元，较2025年预算增加1194.67</w:t>
      </w:r>
      <w:bookmarkStart w:id="1" w:name="_GoBack"/>
      <w:bookmarkEnd w:id="1"/>
      <w:r>
        <w:t>万元，其中：基本支出减少43.48万元，主要为年初预算项目调整，商品和服务支出减少33万元。项目支出增加1238.15万元，主要为石家庄嘉盛新能源有限公司锅炉提升改造项目1500万元，无极县粮食和物资智慧储备库建设项目2000万元。。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2026年，我单位机关运行经费共计安排42.82万元，主要用于日常维修、办公用房水电费、办公用房取暖费、办公用房物业管理费等日常运行支出。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5.82万元，其中因公出国（境）费0.00万元；公务用车购置及运维费5.82万元（其中：公务用车购置费为0.00万元，公务用车运维费5.82万元)；公务接待费0.00万元。与2025年相比减少0.18万元，增减变化的主要原因是严格按照公务用车相关制度执行，厉行节约。</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1、2025-2026年采暖季农村煤改气用户天然气终端销售价格补贴绩效目标表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13013026P00008610015K</w:t>
            </w:r>
          </w:p>
        </w:tc>
        <w:tc>
          <w:tcPr>
            <w:tcW w:w="2835" w:type="dxa"/>
            <w:vAlign w:val="center"/>
          </w:tcPr>
          <w:p>
            <w:pPr>
              <w:pStyle w:val="10"/>
            </w:pPr>
            <w:r>
              <w:t>项目名称</w:t>
            </w:r>
          </w:p>
        </w:tc>
        <w:tc>
          <w:tcPr>
            <w:tcW w:w="6095" w:type="dxa"/>
            <w:gridSpan w:val="3"/>
            <w:vAlign w:val="center"/>
          </w:tcPr>
          <w:p>
            <w:pPr>
              <w:pStyle w:val="12"/>
            </w:pPr>
            <w:r>
              <w:t>2025-2026年采暖季农村煤改气用户天然气终端销售价格补贴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218.02</w:t>
            </w:r>
          </w:p>
        </w:tc>
        <w:tc>
          <w:tcPr>
            <w:tcW w:w="2835" w:type="dxa"/>
            <w:vAlign w:val="center"/>
          </w:tcPr>
          <w:p>
            <w:pPr>
              <w:pStyle w:val="10"/>
            </w:pPr>
            <w:r>
              <w:t>其中：财政    资金</w:t>
            </w:r>
          </w:p>
        </w:tc>
        <w:tc>
          <w:tcPr>
            <w:tcW w:w="2551" w:type="dxa"/>
            <w:vAlign w:val="center"/>
          </w:tcPr>
          <w:p>
            <w:pPr>
              <w:pStyle w:val="12"/>
            </w:pPr>
            <w:r>
              <w:t>218.02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2025-2026年采暖季农村煤改气用户天然气终端销售价格补贴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0.25</w:t>
            </w:r>
          </w:p>
        </w:tc>
        <w:tc>
          <w:tcPr>
            <w:tcW w:w="2835" w:type="dxa"/>
            <w:vAlign w:val="center"/>
          </w:tcPr>
          <w:p>
            <w:pPr>
              <w:pStyle w:val="13"/>
            </w:pPr>
            <w:r>
              <w:t>0.50</w:t>
            </w:r>
          </w:p>
        </w:tc>
        <w:tc>
          <w:tcPr>
            <w:tcW w:w="2551" w:type="dxa"/>
            <w:vAlign w:val="center"/>
          </w:tcPr>
          <w:p>
            <w:pPr>
              <w:pStyle w:val="13"/>
            </w:pPr>
            <w:r>
              <w:t>0.75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1.2025-2026年采暖季农村煤改气用户天然气终端销售价格补贴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天然气供应量</w:t>
            </w:r>
          </w:p>
        </w:tc>
        <w:tc>
          <w:tcPr>
            <w:tcW w:w="5386" w:type="dxa"/>
            <w:vAlign w:val="center"/>
          </w:tcPr>
          <w:p>
            <w:pPr>
              <w:pStyle w:val="12"/>
            </w:pPr>
            <w:r>
              <w:t>天然气供应量</w:t>
            </w:r>
          </w:p>
        </w:tc>
        <w:tc>
          <w:tcPr>
            <w:tcW w:w="2268" w:type="dxa"/>
            <w:vAlign w:val="center"/>
          </w:tcPr>
          <w:p>
            <w:pPr>
              <w:pStyle w:val="12"/>
            </w:pPr>
            <w:r>
              <w:t>保障气源充足</w:t>
            </w:r>
          </w:p>
        </w:tc>
        <w:tc>
          <w:tcPr>
            <w:tcW w:w="1276" w:type="dxa"/>
            <w:vAlign w:val="center"/>
          </w:tcPr>
          <w:p>
            <w:pPr>
              <w:pStyle w:val="12"/>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保障居民取暖</w:t>
            </w:r>
          </w:p>
        </w:tc>
        <w:tc>
          <w:tcPr>
            <w:tcW w:w="5386" w:type="dxa"/>
            <w:vAlign w:val="center"/>
          </w:tcPr>
          <w:p>
            <w:pPr>
              <w:pStyle w:val="12"/>
            </w:pPr>
            <w:r>
              <w:t>保障居民正常取暖</w:t>
            </w:r>
          </w:p>
        </w:tc>
        <w:tc>
          <w:tcPr>
            <w:tcW w:w="2268" w:type="dxa"/>
            <w:vAlign w:val="center"/>
          </w:tcPr>
          <w:p>
            <w:pPr>
              <w:pStyle w:val="12"/>
            </w:pPr>
            <w:r>
              <w:t>燃气充足</w:t>
            </w:r>
          </w:p>
        </w:tc>
        <w:tc>
          <w:tcPr>
            <w:tcW w:w="1276" w:type="dxa"/>
            <w:vAlign w:val="center"/>
          </w:tcPr>
          <w:p>
            <w:pPr>
              <w:pStyle w:val="12"/>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取暖期内</w:t>
            </w:r>
          </w:p>
        </w:tc>
        <w:tc>
          <w:tcPr>
            <w:tcW w:w="5386" w:type="dxa"/>
            <w:vAlign w:val="center"/>
          </w:tcPr>
          <w:p>
            <w:pPr>
              <w:pStyle w:val="12"/>
            </w:pPr>
            <w:r>
              <w:t>取暖期内</w:t>
            </w:r>
          </w:p>
        </w:tc>
        <w:tc>
          <w:tcPr>
            <w:tcW w:w="2268" w:type="dxa"/>
            <w:vAlign w:val="center"/>
          </w:tcPr>
          <w:p>
            <w:pPr>
              <w:pStyle w:val="12"/>
            </w:pPr>
            <w:r>
              <w:t>冬季取暖期</w:t>
            </w:r>
          </w:p>
        </w:tc>
        <w:tc>
          <w:tcPr>
            <w:tcW w:w="1276" w:type="dxa"/>
            <w:vAlign w:val="center"/>
          </w:tcPr>
          <w:p>
            <w:pPr>
              <w:pStyle w:val="12"/>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按总成本控制</w:t>
            </w:r>
          </w:p>
        </w:tc>
        <w:tc>
          <w:tcPr>
            <w:tcW w:w="5386" w:type="dxa"/>
            <w:vAlign w:val="center"/>
          </w:tcPr>
          <w:p>
            <w:pPr>
              <w:pStyle w:val="12"/>
            </w:pPr>
            <w:r>
              <w:t>按总成本控制</w:t>
            </w:r>
          </w:p>
        </w:tc>
        <w:tc>
          <w:tcPr>
            <w:tcW w:w="2268" w:type="dxa"/>
            <w:vAlign w:val="center"/>
          </w:tcPr>
          <w:p>
            <w:pPr>
              <w:pStyle w:val="12"/>
            </w:pPr>
            <w:r>
              <w:t>≤218.01万元</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运行成本</w:t>
            </w:r>
          </w:p>
        </w:tc>
        <w:tc>
          <w:tcPr>
            <w:tcW w:w="5386" w:type="dxa"/>
            <w:vAlign w:val="center"/>
          </w:tcPr>
          <w:p>
            <w:pPr>
              <w:pStyle w:val="12"/>
            </w:pPr>
            <w:r>
              <w:t>运行成本</w:t>
            </w:r>
          </w:p>
        </w:tc>
        <w:tc>
          <w:tcPr>
            <w:tcW w:w="2268" w:type="dxa"/>
            <w:vAlign w:val="center"/>
          </w:tcPr>
          <w:p>
            <w:pPr>
              <w:pStyle w:val="12"/>
            </w:pPr>
            <w:r>
              <w:t>降低企业运行成本</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提供优质服务</w:t>
            </w:r>
          </w:p>
        </w:tc>
        <w:tc>
          <w:tcPr>
            <w:tcW w:w="5386" w:type="dxa"/>
            <w:vAlign w:val="center"/>
          </w:tcPr>
          <w:p>
            <w:pPr>
              <w:pStyle w:val="12"/>
            </w:pPr>
            <w:r>
              <w:t>提供优质取暖服务</w:t>
            </w:r>
          </w:p>
        </w:tc>
        <w:tc>
          <w:tcPr>
            <w:tcW w:w="2268" w:type="dxa"/>
            <w:vAlign w:val="center"/>
          </w:tcPr>
          <w:p>
            <w:pPr>
              <w:pStyle w:val="12"/>
            </w:pPr>
            <w:r>
              <w:t>保障居民取暖</w:t>
            </w:r>
          </w:p>
        </w:tc>
        <w:tc>
          <w:tcPr>
            <w:tcW w:w="1276" w:type="dxa"/>
            <w:vAlign w:val="center"/>
          </w:tcPr>
          <w:p>
            <w:pPr>
              <w:pStyle w:val="12"/>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排放标准</w:t>
            </w:r>
          </w:p>
        </w:tc>
        <w:tc>
          <w:tcPr>
            <w:tcW w:w="5386" w:type="dxa"/>
            <w:vAlign w:val="center"/>
          </w:tcPr>
          <w:p>
            <w:pPr>
              <w:pStyle w:val="12"/>
            </w:pPr>
            <w:r>
              <w:t>减少大气物排放</w:t>
            </w:r>
          </w:p>
        </w:tc>
        <w:tc>
          <w:tcPr>
            <w:tcW w:w="2268" w:type="dxa"/>
            <w:vAlign w:val="center"/>
          </w:tcPr>
          <w:p>
            <w:pPr>
              <w:pStyle w:val="12"/>
            </w:pPr>
            <w:r>
              <w:t>减少大气污染排放</w:t>
            </w:r>
          </w:p>
        </w:tc>
        <w:tc>
          <w:tcPr>
            <w:tcW w:w="1276" w:type="dxa"/>
            <w:vAlign w:val="center"/>
          </w:tcPr>
          <w:p>
            <w:pPr>
              <w:pStyle w:val="12"/>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持续发挥作用期限</w:t>
            </w:r>
          </w:p>
        </w:tc>
        <w:tc>
          <w:tcPr>
            <w:tcW w:w="5386" w:type="dxa"/>
            <w:vAlign w:val="center"/>
          </w:tcPr>
          <w:p>
            <w:pPr>
              <w:pStyle w:val="12"/>
            </w:pPr>
            <w:r>
              <w:t>持续发挥作用期限</w:t>
            </w:r>
          </w:p>
        </w:tc>
        <w:tc>
          <w:tcPr>
            <w:tcW w:w="2268" w:type="dxa"/>
            <w:vAlign w:val="center"/>
          </w:tcPr>
          <w:p>
            <w:pPr>
              <w:pStyle w:val="12"/>
            </w:pPr>
            <w:r>
              <w:t>冬季采暖季</w:t>
            </w:r>
          </w:p>
        </w:tc>
        <w:tc>
          <w:tcPr>
            <w:tcW w:w="1276" w:type="dxa"/>
            <w:vAlign w:val="center"/>
          </w:tcPr>
          <w:p>
            <w:pPr>
              <w:pStyle w:val="12"/>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w:t>
            </w:r>
          </w:p>
        </w:tc>
        <w:tc>
          <w:tcPr>
            <w:tcW w:w="1276" w:type="dxa"/>
            <w:vAlign w:val="center"/>
          </w:tcPr>
          <w:p>
            <w:pPr>
              <w:pStyle w:val="12"/>
            </w:pPr>
            <w:r>
              <w:t>根据燃气企业满意度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居民满意度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社会公众满意度</w:t>
            </w:r>
          </w:p>
        </w:tc>
        <w:tc>
          <w:tcPr>
            <w:tcW w:w="2268" w:type="dxa"/>
            <w:vAlign w:val="center"/>
          </w:tcPr>
          <w:p>
            <w:pPr>
              <w:pStyle w:val="12"/>
            </w:pPr>
            <w:r>
              <w:t>≥95%</w:t>
            </w:r>
          </w:p>
        </w:tc>
        <w:tc>
          <w:tcPr>
            <w:tcW w:w="1276" w:type="dxa"/>
            <w:vAlign w:val="center"/>
          </w:tcPr>
          <w:p>
            <w:pPr>
              <w:pStyle w:val="12"/>
            </w:pPr>
            <w:r>
              <w:t>公众燃气价格的满意度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2、城燃企业气价倒挂补贴资金绩效目标表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13013026P00008910001A</w:t>
            </w:r>
          </w:p>
        </w:tc>
        <w:tc>
          <w:tcPr>
            <w:tcW w:w="2835" w:type="dxa"/>
            <w:vAlign w:val="center"/>
          </w:tcPr>
          <w:p>
            <w:pPr>
              <w:pStyle w:val="10"/>
            </w:pPr>
            <w:r>
              <w:t>项目名称</w:t>
            </w:r>
          </w:p>
        </w:tc>
        <w:tc>
          <w:tcPr>
            <w:tcW w:w="6095" w:type="dxa"/>
            <w:gridSpan w:val="3"/>
            <w:vAlign w:val="center"/>
          </w:tcPr>
          <w:p>
            <w:pPr>
              <w:pStyle w:val="12"/>
            </w:pPr>
            <w:r>
              <w:t>城燃企业气价倒挂补贴资金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600.00</w:t>
            </w:r>
          </w:p>
        </w:tc>
        <w:tc>
          <w:tcPr>
            <w:tcW w:w="2835" w:type="dxa"/>
            <w:vAlign w:val="center"/>
          </w:tcPr>
          <w:p>
            <w:pPr>
              <w:pStyle w:val="10"/>
            </w:pPr>
            <w:r>
              <w:t>其中：财政    资金</w:t>
            </w:r>
          </w:p>
        </w:tc>
        <w:tc>
          <w:tcPr>
            <w:tcW w:w="2551" w:type="dxa"/>
            <w:vAlign w:val="center"/>
          </w:tcPr>
          <w:p>
            <w:pPr>
              <w:pStyle w:val="12"/>
            </w:pPr>
            <w:r>
              <w:t>600.00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2025-2026年采暖季城燃企业气价倒挂补贴。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0.25</w:t>
            </w:r>
          </w:p>
        </w:tc>
        <w:tc>
          <w:tcPr>
            <w:tcW w:w="2835" w:type="dxa"/>
            <w:vAlign w:val="center"/>
          </w:tcPr>
          <w:p>
            <w:pPr>
              <w:pStyle w:val="13"/>
            </w:pPr>
            <w:r>
              <w:t>0.50</w:t>
            </w:r>
          </w:p>
        </w:tc>
        <w:tc>
          <w:tcPr>
            <w:tcW w:w="2551" w:type="dxa"/>
            <w:vAlign w:val="center"/>
          </w:tcPr>
          <w:p>
            <w:pPr>
              <w:pStyle w:val="13"/>
            </w:pPr>
            <w:r>
              <w:t>0.75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1.2025-2026年采暖季城燃企业气价倒挂补贴。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天然气供应量</w:t>
            </w:r>
          </w:p>
        </w:tc>
        <w:tc>
          <w:tcPr>
            <w:tcW w:w="5386" w:type="dxa"/>
            <w:vAlign w:val="center"/>
          </w:tcPr>
          <w:p>
            <w:pPr>
              <w:pStyle w:val="12"/>
            </w:pPr>
            <w:r>
              <w:t>天然气供应量</w:t>
            </w:r>
          </w:p>
        </w:tc>
        <w:tc>
          <w:tcPr>
            <w:tcW w:w="2268" w:type="dxa"/>
            <w:vAlign w:val="center"/>
          </w:tcPr>
          <w:p>
            <w:pPr>
              <w:pStyle w:val="12"/>
            </w:pPr>
            <w:r>
              <w:t>保障气源充足</w:t>
            </w:r>
          </w:p>
        </w:tc>
        <w:tc>
          <w:tcPr>
            <w:tcW w:w="1276" w:type="dxa"/>
            <w:vAlign w:val="center"/>
          </w:tcPr>
          <w:p>
            <w:pPr>
              <w:pStyle w:val="12"/>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保障居民取暖</w:t>
            </w:r>
          </w:p>
        </w:tc>
        <w:tc>
          <w:tcPr>
            <w:tcW w:w="5386" w:type="dxa"/>
            <w:vAlign w:val="center"/>
          </w:tcPr>
          <w:p>
            <w:pPr>
              <w:pStyle w:val="12"/>
            </w:pPr>
            <w:r>
              <w:t>保障居民正常取暖</w:t>
            </w:r>
          </w:p>
        </w:tc>
        <w:tc>
          <w:tcPr>
            <w:tcW w:w="2268" w:type="dxa"/>
            <w:vAlign w:val="center"/>
          </w:tcPr>
          <w:p>
            <w:pPr>
              <w:pStyle w:val="12"/>
            </w:pPr>
            <w:r>
              <w:t>燃气充足</w:t>
            </w:r>
          </w:p>
        </w:tc>
        <w:tc>
          <w:tcPr>
            <w:tcW w:w="1276" w:type="dxa"/>
            <w:vAlign w:val="center"/>
          </w:tcPr>
          <w:p>
            <w:pPr>
              <w:pStyle w:val="12"/>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取暖期内</w:t>
            </w:r>
          </w:p>
        </w:tc>
        <w:tc>
          <w:tcPr>
            <w:tcW w:w="5386" w:type="dxa"/>
            <w:vAlign w:val="center"/>
          </w:tcPr>
          <w:p>
            <w:pPr>
              <w:pStyle w:val="12"/>
            </w:pPr>
            <w:r>
              <w:t>取暖期内</w:t>
            </w:r>
          </w:p>
        </w:tc>
        <w:tc>
          <w:tcPr>
            <w:tcW w:w="2268" w:type="dxa"/>
            <w:vAlign w:val="center"/>
          </w:tcPr>
          <w:p>
            <w:pPr>
              <w:pStyle w:val="12"/>
            </w:pPr>
            <w:r>
              <w:t>冬季取暖期</w:t>
            </w:r>
          </w:p>
        </w:tc>
        <w:tc>
          <w:tcPr>
            <w:tcW w:w="1276" w:type="dxa"/>
            <w:vAlign w:val="center"/>
          </w:tcPr>
          <w:p>
            <w:pPr>
              <w:pStyle w:val="12"/>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按总成本控制</w:t>
            </w:r>
          </w:p>
        </w:tc>
        <w:tc>
          <w:tcPr>
            <w:tcW w:w="5386" w:type="dxa"/>
            <w:vAlign w:val="center"/>
          </w:tcPr>
          <w:p>
            <w:pPr>
              <w:pStyle w:val="12"/>
            </w:pPr>
            <w:r>
              <w:t>按总成本控制</w:t>
            </w:r>
          </w:p>
        </w:tc>
        <w:tc>
          <w:tcPr>
            <w:tcW w:w="2268" w:type="dxa"/>
            <w:vAlign w:val="center"/>
          </w:tcPr>
          <w:p>
            <w:pPr>
              <w:pStyle w:val="12"/>
            </w:pPr>
            <w:r>
              <w:t>≤600万元</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运行成本</w:t>
            </w:r>
          </w:p>
        </w:tc>
        <w:tc>
          <w:tcPr>
            <w:tcW w:w="5386" w:type="dxa"/>
            <w:vAlign w:val="center"/>
          </w:tcPr>
          <w:p>
            <w:pPr>
              <w:pStyle w:val="12"/>
            </w:pPr>
            <w:r>
              <w:t>运行成本</w:t>
            </w:r>
          </w:p>
        </w:tc>
        <w:tc>
          <w:tcPr>
            <w:tcW w:w="2268" w:type="dxa"/>
            <w:vAlign w:val="center"/>
          </w:tcPr>
          <w:p>
            <w:pPr>
              <w:pStyle w:val="12"/>
            </w:pPr>
            <w:r>
              <w:t>降低企业运行成本</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提供优质服务</w:t>
            </w:r>
          </w:p>
        </w:tc>
        <w:tc>
          <w:tcPr>
            <w:tcW w:w="5386" w:type="dxa"/>
            <w:vAlign w:val="center"/>
          </w:tcPr>
          <w:p>
            <w:pPr>
              <w:pStyle w:val="12"/>
            </w:pPr>
            <w:r>
              <w:t>提供优质取暖服务</w:t>
            </w:r>
          </w:p>
        </w:tc>
        <w:tc>
          <w:tcPr>
            <w:tcW w:w="2268" w:type="dxa"/>
            <w:vAlign w:val="center"/>
          </w:tcPr>
          <w:p>
            <w:pPr>
              <w:pStyle w:val="12"/>
            </w:pPr>
            <w:r>
              <w:t>保障居民取暖</w:t>
            </w:r>
          </w:p>
        </w:tc>
        <w:tc>
          <w:tcPr>
            <w:tcW w:w="1276" w:type="dxa"/>
            <w:vAlign w:val="center"/>
          </w:tcPr>
          <w:p>
            <w:pPr>
              <w:pStyle w:val="12"/>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排放标准</w:t>
            </w:r>
          </w:p>
        </w:tc>
        <w:tc>
          <w:tcPr>
            <w:tcW w:w="5386" w:type="dxa"/>
            <w:vAlign w:val="center"/>
          </w:tcPr>
          <w:p>
            <w:pPr>
              <w:pStyle w:val="12"/>
            </w:pPr>
            <w:r>
              <w:t>减少大气物排放</w:t>
            </w:r>
          </w:p>
        </w:tc>
        <w:tc>
          <w:tcPr>
            <w:tcW w:w="2268" w:type="dxa"/>
            <w:vAlign w:val="center"/>
          </w:tcPr>
          <w:p>
            <w:pPr>
              <w:pStyle w:val="12"/>
            </w:pPr>
            <w:r>
              <w:t>减少大气污染排放</w:t>
            </w:r>
          </w:p>
        </w:tc>
        <w:tc>
          <w:tcPr>
            <w:tcW w:w="1276" w:type="dxa"/>
            <w:vAlign w:val="center"/>
          </w:tcPr>
          <w:p>
            <w:pPr>
              <w:pStyle w:val="12"/>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持续发挥作用期限</w:t>
            </w:r>
          </w:p>
        </w:tc>
        <w:tc>
          <w:tcPr>
            <w:tcW w:w="5386" w:type="dxa"/>
            <w:vAlign w:val="center"/>
          </w:tcPr>
          <w:p>
            <w:pPr>
              <w:pStyle w:val="12"/>
            </w:pPr>
            <w:r>
              <w:t>持续发挥作用期限</w:t>
            </w:r>
          </w:p>
        </w:tc>
        <w:tc>
          <w:tcPr>
            <w:tcW w:w="2268" w:type="dxa"/>
            <w:vAlign w:val="center"/>
          </w:tcPr>
          <w:p>
            <w:pPr>
              <w:pStyle w:val="12"/>
            </w:pPr>
            <w:r>
              <w:t>冬季采暖季</w:t>
            </w:r>
          </w:p>
        </w:tc>
        <w:tc>
          <w:tcPr>
            <w:tcW w:w="1276" w:type="dxa"/>
            <w:vAlign w:val="center"/>
          </w:tcPr>
          <w:p>
            <w:pPr>
              <w:pStyle w:val="12"/>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w:t>
            </w:r>
          </w:p>
        </w:tc>
        <w:tc>
          <w:tcPr>
            <w:tcW w:w="1276" w:type="dxa"/>
            <w:vAlign w:val="center"/>
          </w:tcPr>
          <w:p>
            <w:pPr>
              <w:pStyle w:val="12"/>
            </w:pPr>
            <w:r>
              <w:t>根据燃气企业满意度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居民满意度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社会公众满意度</w:t>
            </w:r>
          </w:p>
        </w:tc>
        <w:tc>
          <w:tcPr>
            <w:tcW w:w="2268" w:type="dxa"/>
            <w:vAlign w:val="center"/>
          </w:tcPr>
          <w:p>
            <w:pPr>
              <w:pStyle w:val="12"/>
            </w:pPr>
            <w:r>
              <w:t>≥95%</w:t>
            </w:r>
          </w:p>
        </w:tc>
        <w:tc>
          <w:tcPr>
            <w:tcW w:w="1276" w:type="dxa"/>
            <w:vAlign w:val="center"/>
          </w:tcPr>
          <w:p>
            <w:pPr>
              <w:pStyle w:val="12"/>
            </w:pPr>
            <w:r>
              <w:t>公众燃气价格的满意度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3、关于提前下达2026年农产品成本调查和价格监测补助资金预算的通知绩效目标表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13013026P00006410001F</w:t>
            </w:r>
          </w:p>
        </w:tc>
        <w:tc>
          <w:tcPr>
            <w:tcW w:w="2835" w:type="dxa"/>
            <w:vAlign w:val="center"/>
          </w:tcPr>
          <w:p>
            <w:pPr>
              <w:pStyle w:val="10"/>
            </w:pPr>
            <w:r>
              <w:t>项目名称</w:t>
            </w:r>
          </w:p>
        </w:tc>
        <w:tc>
          <w:tcPr>
            <w:tcW w:w="6095" w:type="dxa"/>
            <w:gridSpan w:val="3"/>
            <w:vAlign w:val="center"/>
          </w:tcPr>
          <w:p>
            <w:pPr>
              <w:pStyle w:val="12"/>
            </w:pPr>
            <w:r>
              <w:t>关于提前下达2026年农产品成本调查和价格监测补助资金预算的通知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7.68</w:t>
            </w:r>
          </w:p>
        </w:tc>
        <w:tc>
          <w:tcPr>
            <w:tcW w:w="2835" w:type="dxa"/>
            <w:vAlign w:val="center"/>
          </w:tcPr>
          <w:p>
            <w:pPr>
              <w:pStyle w:val="10"/>
            </w:pPr>
            <w:r>
              <w:t>其中：财政    资金</w:t>
            </w:r>
          </w:p>
        </w:tc>
        <w:tc>
          <w:tcPr>
            <w:tcW w:w="2551" w:type="dxa"/>
            <w:vAlign w:val="center"/>
          </w:tcPr>
          <w:p>
            <w:pPr>
              <w:pStyle w:val="12"/>
            </w:pPr>
            <w:r>
              <w:t>7.68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完成2026年度农产品成本调查。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0.25</w:t>
            </w:r>
          </w:p>
        </w:tc>
        <w:tc>
          <w:tcPr>
            <w:tcW w:w="2835" w:type="dxa"/>
            <w:vAlign w:val="center"/>
          </w:tcPr>
          <w:p>
            <w:pPr>
              <w:pStyle w:val="13"/>
            </w:pPr>
            <w:r>
              <w:t>0.50</w:t>
            </w:r>
          </w:p>
        </w:tc>
        <w:tc>
          <w:tcPr>
            <w:tcW w:w="2551" w:type="dxa"/>
            <w:vAlign w:val="center"/>
          </w:tcPr>
          <w:p>
            <w:pPr>
              <w:pStyle w:val="13"/>
            </w:pPr>
            <w:r>
              <w:t>0.75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1.农产品成本调查补助资金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调查点数量</w:t>
            </w:r>
          </w:p>
        </w:tc>
        <w:tc>
          <w:tcPr>
            <w:tcW w:w="5386" w:type="dxa"/>
            <w:vAlign w:val="center"/>
          </w:tcPr>
          <w:p>
            <w:pPr>
              <w:pStyle w:val="12"/>
            </w:pPr>
            <w:r>
              <w:t>调查点数量</w:t>
            </w:r>
          </w:p>
        </w:tc>
        <w:tc>
          <w:tcPr>
            <w:tcW w:w="2268" w:type="dxa"/>
            <w:vAlign w:val="center"/>
          </w:tcPr>
          <w:p>
            <w:pPr>
              <w:pStyle w:val="12"/>
            </w:pPr>
            <w:r>
              <w:t>30户</w:t>
            </w:r>
          </w:p>
        </w:tc>
        <w:tc>
          <w:tcPr>
            <w:tcW w:w="1276" w:type="dxa"/>
            <w:vAlign w:val="center"/>
          </w:tcPr>
          <w:p>
            <w:pPr>
              <w:pStyle w:val="12"/>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完成全县农产品成本调查</w:t>
            </w:r>
          </w:p>
        </w:tc>
        <w:tc>
          <w:tcPr>
            <w:tcW w:w="5386" w:type="dxa"/>
            <w:vAlign w:val="center"/>
          </w:tcPr>
          <w:p>
            <w:pPr>
              <w:pStyle w:val="12"/>
            </w:pPr>
            <w:r>
              <w:t>完成全县农产品成本调查</w:t>
            </w:r>
          </w:p>
        </w:tc>
        <w:tc>
          <w:tcPr>
            <w:tcW w:w="2268" w:type="dxa"/>
            <w:vAlign w:val="center"/>
          </w:tcPr>
          <w:p>
            <w:pPr>
              <w:pStyle w:val="12"/>
            </w:pPr>
            <w:r>
              <w:t>100%</w:t>
            </w:r>
          </w:p>
        </w:tc>
        <w:tc>
          <w:tcPr>
            <w:tcW w:w="1276" w:type="dxa"/>
            <w:vAlign w:val="center"/>
          </w:tcPr>
          <w:p>
            <w:pPr>
              <w:pStyle w:val="12"/>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完成成本调查及时率</w:t>
            </w:r>
          </w:p>
        </w:tc>
        <w:tc>
          <w:tcPr>
            <w:tcW w:w="5386" w:type="dxa"/>
            <w:vAlign w:val="center"/>
          </w:tcPr>
          <w:p>
            <w:pPr>
              <w:pStyle w:val="12"/>
            </w:pPr>
            <w:r>
              <w:t>完成成本调查及时率</w:t>
            </w:r>
          </w:p>
        </w:tc>
        <w:tc>
          <w:tcPr>
            <w:tcW w:w="2268" w:type="dxa"/>
            <w:vAlign w:val="center"/>
          </w:tcPr>
          <w:p>
            <w:pPr>
              <w:pStyle w:val="12"/>
            </w:pPr>
            <w:r>
              <w:t>100%</w:t>
            </w:r>
          </w:p>
        </w:tc>
        <w:tc>
          <w:tcPr>
            <w:tcW w:w="1276" w:type="dxa"/>
            <w:vAlign w:val="center"/>
          </w:tcPr>
          <w:p>
            <w:pPr>
              <w:pStyle w:val="12"/>
            </w:pPr>
            <w:r>
              <w:t>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控制在预算内</w:t>
            </w:r>
          </w:p>
        </w:tc>
        <w:tc>
          <w:tcPr>
            <w:tcW w:w="5386" w:type="dxa"/>
            <w:vAlign w:val="center"/>
          </w:tcPr>
          <w:p>
            <w:pPr>
              <w:pStyle w:val="12"/>
            </w:pPr>
            <w:r>
              <w:t>控制在预算内</w:t>
            </w:r>
          </w:p>
        </w:tc>
        <w:tc>
          <w:tcPr>
            <w:tcW w:w="2268" w:type="dxa"/>
            <w:vAlign w:val="center"/>
          </w:tcPr>
          <w:p>
            <w:pPr>
              <w:pStyle w:val="12"/>
            </w:pPr>
            <w:r>
              <w:t>7.68万元</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100%</w:t>
            </w:r>
          </w:p>
        </w:tc>
        <w:tc>
          <w:tcPr>
            <w:tcW w:w="1276" w:type="dxa"/>
            <w:vAlign w:val="center"/>
          </w:tcPr>
          <w:p>
            <w:pPr>
              <w:pStyle w:val="12"/>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5386" w:type="dxa"/>
            <w:vAlign w:val="center"/>
          </w:tcPr>
          <w:p>
            <w:pPr>
              <w:pStyle w:val="12"/>
            </w:pPr>
            <w:r>
              <w:t>工作完成率</w:t>
            </w:r>
          </w:p>
        </w:tc>
        <w:tc>
          <w:tcPr>
            <w:tcW w:w="2268" w:type="dxa"/>
            <w:vAlign w:val="center"/>
          </w:tcPr>
          <w:p>
            <w:pPr>
              <w:pStyle w:val="12"/>
            </w:pPr>
            <w:r>
              <w:t>100%</w:t>
            </w:r>
          </w:p>
        </w:tc>
        <w:tc>
          <w:tcPr>
            <w:tcW w:w="1276" w:type="dxa"/>
            <w:vAlign w:val="center"/>
          </w:tcPr>
          <w:p>
            <w:pPr>
              <w:pStyle w:val="12"/>
            </w:pPr>
            <w:r>
              <w:t>查看工作报告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监测数据合格率</w:t>
            </w:r>
          </w:p>
        </w:tc>
        <w:tc>
          <w:tcPr>
            <w:tcW w:w="5386" w:type="dxa"/>
            <w:vAlign w:val="center"/>
          </w:tcPr>
          <w:p>
            <w:pPr>
              <w:pStyle w:val="12"/>
            </w:pPr>
            <w:r>
              <w:t>监测数据合格率</w:t>
            </w:r>
          </w:p>
        </w:tc>
        <w:tc>
          <w:tcPr>
            <w:tcW w:w="2268" w:type="dxa"/>
            <w:vAlign w:val="center"/>
          </w:tcPr>
          <w:p>
            <w:pPr>
              <w:pStyle w:val="12"/>
            </w:pPr>
            <w:r>
              <w:t>100%</w:t>
            </w:r>
          </w:p>
        </w:tc>
        <w:tc>
          <w:tcPr>
            <w:tcW w:w="1276" w:type="dxa"/>
            <w:vAlign w:val="center"/>
          </w:tcPr>
          <w:p>
            <w:pPr>
              <w:pStyle w:val="12"/>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一年</w:t>
            </w:r>
          </w:p>
        </w:tc>
        <w:tc>
          <w:tcPr>
            <w:tcW w:w="5386" w:type="dxa"/>
            <w:vAlign w:val="center"/>
          </w:tcPr>
          <w:p>
            <w:pPr>
              <w:pStyle w:val="12"/>
            </w:pPr>
            <w:r>
              <w:t>一年内价格成本</w:t>
            </w:r>
          </w:p>
        </w:tc>
        <w:tc>
          <w:tcPr>
            <w:tcW w:w="2268" w:type="dxa"/>
            <w:vAlign w:val="center"/>
          </w:tcPr>
          <w:p>
            <w:pPr>
              <w:pStyle w:val="12"/>
            </w:pPr>
            <w:r>
              <w:t>一年</w:t>
            </w:r>
          </w:p>
        </w:tc>
        <w:tc>
          <w:tcPr>
            <w:tcW w:w="1276" w:type="dxa"/>
            <w:vAlign w:val="center"/>
          </w:tcPr>
          <w:p>
            <w:pPr>
              <w:pStyle w:val="12"/>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农户满意度</w:t>
            </w:r>
          </w:p>
        </w:tc>
        <w:tc>
          <w:tcPr>
            <w:tcW w:w="5386" w:type="dxa"/>
            <w:vAlign w:val="center"/>
          </w:tcPr>
          <w:p>
            <w:pPr>
              <w:pStyle w:val="12"/>
            </w:pPr>
            <w:r>
              <w:t>农户满意度</w:t>
            </w:r>
          </w:p>
        </w:tc>
        <w:tc>
          <w:tcPr>
            <w:tcW w:w="2268" w:type="dxa"/>
            <w:vAlign w:val="center"/>
          </w:tcPr>
          <w:p>
            <w:pPr>
              <w:pStyle w:val="12"/>
            </w:pPr>
            <w:r>
              <w:t>≥95%</w:t>
            </w:r>
          </w:p>
        </w:tc>
        <w:tc>
          <w:tcPr>
            <w:tcW w:w="1276" w:type="dxa"/>
            <w:vAlign w:val="center"/>
          </w:tcPr>
          <w:p>
            <w:pPr>
              <w:pStyle w:val="12"/>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100%</w:t>
            </w:r>
          </w:p>
        </w:tc>
        <w:tc>
          <w:tcPr>
            <w:tcW w:w="1276" w:type="dxa"/>
            <w:vAlign w:val="center"/>
          </w:tcPr>
          <w:p>
            <w:pPr>
              <w:pStyle w:val="12"/>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社会公众满意度</w:t>
            </w:r>
          </w:p>
        </w:tc>
        <w:tc>
          <w:tcPr>
            <w:tcW w:w="2268" w:type="dxa"/>
            <w:vAlign w:val="center"/>
          </w:tcPr>
          <w:p>
            <w:pPr>
              <w:pStyle w:val="12"/>
            </w:pPr>
            <w:r>
              <w:t>100%</w:t>
            </w:r>
          </w:p>
        </w:tc>
        <w:tc>
          <w:tcPr>
            <w:tcW w:w="1276"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4、石家庄嘉盛新能源有限公司锅炉提升改造项目绩效目标表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13013025P00017610493J</w:t>
            </w:r>
          </w:p>
        </w:tc>
        <w:tc>
          <w:tcPr>
            <w:tcW w:w="2835" w:type="dxa"/>
            <w:vAlign w:val="center"/>
          </w:tcPr>
          <w:p>
            <w:pPr>
              <w:pStyle w:val="10"/>
            </w:pPr>
            <w:r>
              <w:t>项目名称</w:t>
            </w:r>
          </w:p>
        </w:tc>
        <w:tc>
          <w:tcPr>
            <w:tcW w:w="6095" w:type="dxa"/>
            <w:gridSpan w:val="3"/>
            <w:vAlign w:val="center"/>
          </w:tcPr>
          <w:p>
            <w:pPr>
              <w:pStyle w:val="12"/>
            </w:pPr>
            <w:r>
              <w:t>石家庄嘉盛新能源有限公司锅炉提升改造项目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1500.00</w:t>
            </w:r>
          </w:p>
        </w:tc>
        <w:tc>
          <w:tcPr>
            <w:tcW w:w="2835" w:type="dxa"/>
            <w:vAlign w:val="center"/>
          </w:tcPr>
          <w:p>
            <w:pPr>
              <w:pStyle w:val="10"/>
            </w:pPr>
            <w:r>
              <w:t>其中：财政    资金</w:t>
            </w:r>
          </w:p>
        </w:tc>
        <w:tc>
          <w:tcPr>
            <w:tcW w:w="2551" w:type="dxa"/>
            <w:vAlign w:val="center"/>
          </w:tcPr>
          <w:p>
            <w:pPr>
              <w:pStyle w:val="12"/>
            </w:pPr>
            <w:r>
              <w:t>1500.00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石家庄嘉盛新能源有限公司锅炉提升改造项目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0.00</w:t>
            </w:r>
          </w:p>
        </w:tc>
        <w:tc>
          <w:tcPr>
            <w:tcW w:w="2835" w:type="dxa"/>
            <w:vAlign w:val="center"/>
          </w:tcPr>
          <w:p>
            <w:pPr>
              <w:pStyle w:val="13"/>
            </w:pPr>
            <w:r>
              <w:t>0.01</w:t>
            </w:r>
          </w:p>
        </w:tc>
        <w:tc>
          <w:tcPr>
            <w:tcW w:w="2551" w:type="dxa"/>
            <w:vAlign w:val="center"/>
          </w:tcPr>
          <w:p>
            <w:pPr>
              <w:pStyle w:val="13"/>
            </w:pPr>
            <w:r>
              <w:t>0.01</w:t>
            </w:r>
          </w:p>
        </w:tc>
        <w:tc>
          <w:tcPr>
            <w:tcW w:w="3544" w:type="dxa"/>
            <w:gridSpan w:val="2"/>
            <w:vAlign w:val="center"/>
          </w:tcPr>
          <w:p>
            <w:pPr>
              <w:pStyle w:val="13"/>
            </w:pPr>
            <w:r>
              <w:t>0.01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1.石家庄嘉盛新能源有限公司锅炉提升改造项目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支持项目数</w:t>
            </w:r>
          </w:p>
        </w:tc>
        <w:tc>
          <w:tcPr>
            <w:tcW w:w="5386" w:type="dxa"/>
            <w:vAlign w:val="center"/>
          </w:tcPr>
          <w:p>
            <w:pPr>
              <w:pStyle w:val="12"/>
            </w:pPr>
            <w:r>
              <w:t>支持企业数量</w:t>
            </w:r>
          </w:p>
        </w:tc>
        <w:tc>
          <w:tcPr>
            <w:tcW w:w="2268" w:type="dxa"/>
            <w:vAlign w:val="center"/>
          </w:tcPr>
          <w:p>
            <w:pPr>
              <w:pStyle w:val="12"/>
            </w:pPr>
            <w:r>
              <w:t>1家</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达到建设标准</w:t>
            </w:r>
          </w:p>
        </w:tc>
        <w:tc>
          <w:tcPr>
            <w:tcW w:w="5386" w:type="dxa"/>
            <w:vAlign w:val="center"/>
          </w:tcPr>
          <w:p>
            <w:pPr>
              <w:pStyle w:val="12"/>
            </w:pPr>
            <w:r>
              <w:t>达到项目建设标准</w:t>
            </w:r>
          </w:p>
        </w:tc>
        <w:tc>
          <w:tcPr>
            <w:tcW w:w="2268" w:type="dxa"/>
            <w:vAlign w:val="center"/>
          </w:tcPr>
          <w:p>
            <w:pPr>
              <w:pStyle w:val="12"/>
            </w:pPr>
            <w:r>
              <w:t>100%</w:t>
            </w:r>
          </w:p>
        </w:tc>
        <w:tc>
          <w:tcPr>
            <w:tcW w:w="1276" w:type="dxa"/>
            <w:vAlign w:val="center"/>
          </w:tcPr>
          <w:p>
            <w:pPr>
              <w:pStyle w:val="12"/>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p>
            <w:pPr>
              <w:pStyle w:val="12"/>
            </w:pPr>
          </w:p>
        </w:tc>
        <w:tc>
          <w:tcPr>
            <w:tcW w:w="5386" w:type="dxa"/>
            <w:vAlign w:val="center"/>
          </w:tcPr>
          <w:p>
            <w:pPr>
              <w:pStyle w:val="12"/>
            </w:pPr>
            <w:r>
              <w:t>项目完成时间</w:t>
            </w:r>
          </w:p>
          <w:p>
            <w:pPr>
              <w:pStyle w:val="12"/>
            </w:pPr>
          </w:p>
        </w:tc>
        <w:tc>
          <w:tcPr>
            <w:tcW w:w="2268" w:type="dxa"/>
            <w:vAlign w:val="center"/>
          </w:tcPr>
          <w:p>
            <w:pPr>
              <w:pStyle w:val="12"/>
            </w:pPr>
            <w:r>
              <w:t>2025年</w:t>
            </w:r>
          </w:p>
        </w:tc>
        <w:tc>
          <w:tcPr>
            <w:tcW w:w="1276" w:type="dxa"/>
            <w:vAlign w:val="center"/>
          </w:tcPr>
          <w:p>
            <w:pPr>
              <w:pStyle w:val="12"/>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项目预算控制数</w:t>
            </w:r>
          </w:p>
        </w:tc>
        <w:tc>
          <w:tcPr>
            <w:tcW w:w="2268" w:type="dxa"/>
            <w:vAlign w:val="center"/>
          </w:tcPr>
          <w:p>
            <w:pPr>
              <w:pStyle w:val="12"/>
            </w:pPr>
            <w:r>
              <w:t>5000万</w:t>
            </w:r>
          </w:p>
        </w:tc>
        <w:tc>
          <w:tcPr>
            <w:tcW w:w="1276" w:type="dxa"/>
            <w:vAlign w:val="center"/>
          </w:tcPr>
          <w:p>
            <w:pPr>
              <w:pStyle w:val="12"/>
            </w:pPr>
            <w:r>
              <w:t>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为企业节约经营成本金额</w:t>
            </w:r>
          </w:p>
        </w:tc>
        <w:tc>
          <w:tcPr>
            <w:tcW w:w="5386" w:type="dxa"/>
            <w:vAlign w:val="center"/>
          </w:tcPr>
          <w:p>
            <w:pPr>
              <w:pStyle w:val="12"/>
            </w:pPr>
            <w:r>
              <w:t>为企业节约经营成本金额</w:t>
            </w:r>
          </w:p>
        </w:tc>
        <w:tc>
          <w:tcPr>
            <w:tcW w:w="2268" w:type="dxa"/>
            <w:vAlign w:val="center"/>
          </w:tcPr>
          <w:p>
            <w:pPr>
              <w:pStyle w:val="12"/>
            </w:pPr>
            <w:r>
              <w:t>5000万</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促进地方经济发展</w:t>
            </w:r>
          </w:p>
        </w:tc>
        <w:tc>
          <w:tcPr>
            <w:tcW w:w="5386" w:type="dxa"/>
            <w:vAlign w:val="center"/>
          </w:tcPr>
          <w:p>
            <w:pPr>
              <w:pStyle w:val="12"/>
            </w:pPr>
            <w:r>
              <w:t>促进地方经济发展</w:t>
            </w:r>
          </w:p>
        </w:tc>
        <w:tc>
          <w:tcPr>
            <w:tcW w:w="2268" w:type="dxa"/>
            <w:vAlign w:val="center"/>
          </w:tcPr>
          <w:p>
            <w:pPr>
              <w:pStyle w:val="12"/>
            </w:pPr>
            <w:r>
              <w:t>促进了地方经济发展</w:t>
            </w:r>
          </w:p>
        </w:tc>
        <w:tc>
          <w:tcPr>
            <w:tcW w:w="1276" w:type="dxa"/>
            <w:vAlign w:val="center"/>
          </w:tcPr>
          <w:p>
            <w:pPr>
              <w:pStyle w:val="12"/>
            </w:pPr>
            <w:r>
              <w:t>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项目实施对环境的影响</w:t>
            </w:r>
          </w:p>
        </w:tc>
        <w:tc>
          <w:tcPr>
            <w:tcW w:w="5386" w:type="dxa"/>
            <w:vAlign w:val="center"/>
          </w:tcPr>
          <w:p>
            <w:pPr>
              <w:pStyle w:val="12"/>
            </w:pPr>
            <w:r>
              <w:t>项目实施对环境的影响</w:t>
            </w:r>
          </w:p>
        </w:tc>
        <w:tc>
          <w:tcPr>
            <w:tcW w:w="2268" w:type="dxa"/>
            <w:vAlign w:val="center"/>
          </w:tcPr>
          <w:p>
            <w:pPr>
              <w:pStyle w:val="12"/>
            </w:pPr>
            <w:r>
              <w:t>无影响</w:t>
            </w:r>
          </w:p>
        </w:tc>
        <w:tc>
          <w:tcPr>
            <w:tcW w:w="1276" w:type="dxa"/>
            <w:vAlign w:val="center"/>
          </w:tcPr>
          <w:p>
            <w:pPr>
              <w:pStyle w:val="12"/>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影响期限</w:t>
            </w:r>
          </w:p>
        </w:tc>
        <w:tc>
          <w:tcPr>
            <w:tcW w:w="5386" w:type="dxa"/>
            <w:vAlign w:val="center"/>
          </w:tcPr>
          <w:p>
            <w:pPr>
              <w:pStyle w:val="12"/>
            </w:pPr>
            <w:r>
              <w:t>影响期限</w:t>
            </w:r>
          </w:p>
        </w:tc>
        <w:tc>
          <w:tcPr>
            <w:tcW w:w="2268" w:type="dxa"/>
            <w:vAlign w:val="center"/>
          </w:tcPr>
          <w:p>
            <w:pPr>
              <w:pStyle w:val="12"/>
            </w:pPr>
            <w:r>
              <w:t>≥10年</w:t>
            </w:r>
          </w:p>
        </w:tc>
        <w:tc>
          <w:tcPr>
            <w:tcW w:w="1276" w:type="dxa"/>
            <w:vAlign w:val="center"/>
          </w:tcPr>
          <w:p>
            <w:pPr>
              <w:pStyle w:val="12"/>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w:t>
            </w:r>
          </w:p>
        </w:tc>
        <w:tc>
          <w:tcPr>
            <w:tcW w:w="1276" w:type="dxa"/>
            <w:vAlign w:val="center"/>
          </w:tcPr>
          <w:p>
            <w:pPr>
              <w:pStyle w:val="12"/>
            </w:pPr>
            <w:r>
              <w:t>企业调查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群众满意度调查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上级主管部门满意度</w:t>
            </w:r>
          </w:p>
        </w:tc>
        <w:tc>
          <w:tcPr>
            <w:tcW w:w="5386" w:type="dxa"/>
            <w:vAlign w:val="center"/>
          </w:tcPr>
          <w:p>
            <w:pPr>
              <w:pStyle w:val="12"/>
            </w:pPr>
            <w:r>
              <w:t>上级主管部门满意度</w:t>
            </w:r>
          </w:p>
        </w:tc>
        <w:tc>
          <w:tcPr>
            <w:tcW w:w="2268" w:type="dxa"/>
            <w:vAlign w:val="center"/>
          </w:tcPr>
          <w:p>
            <w:pPr>
              <w:pStyle w:val="12"/>
            </w:pPr>
            <w:r>
              <w:t>≥95%</w:t>
            </w:r>
          </w:p>
        </w:tc>
        <w:tc>
          <w:tcPr>
            <w:tcW w:w="1276" w:type="dxa"/>
            <w:vAlign w:val="center"/>
          </w:tcPr>
          <w:p>
            <w:pPr>
              <w:pStyle w:val="12"/>
            </w:pPr>
            <w:r>
              <w:t>资金使用满意度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5、无极县粮食和物资智慧储备库建设项目绩效目标表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13013023956KD2RVNDRDL</w:t>
            </w:r>
          </w:p>
        </w:tc>
        <w:tc>
          <w:tcPr>
            <w:tcW w:w="2835" w:type="dxa"/>
            <w:vAlign w:val="center"/>
          </w:tcPr>
          <w:p>
            <w:pPr>
              <w:pStyle w:val="10"/>
            </w:pPr>
            <w:r>
              <w:t>项目名称</w:t>
            </w:r>
          </w:p>
        </w:tc>
        <w:tc>
          <w:tcPr>
            <w:tcW w:w="6095" w:type="dxa"/>
            <w:gridSpan w:val="3"/>
            <w:vAlign w:val="center"/>
          </w:tcPr>
          <w:p>
            <w:pPr>
              <w:pStyle w:val="12"/>
            </w:pPr>
            <w:r>
              <w:t>无极县粮食和物资智慧储备库建设项目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2000.00</w:t>
            </w:r>
          </w:p>
        </w:tc>
        <w:tc>
          <w:tcPr>
            <w:tcW w:w="2835" w:type="dxa"/>
            <w:vAlign w:val="center"/>
          </w:tcPr>
          <w:p>
            <w:pPr>
              <w:pStyle w:val="10"/>
            </w:pPr>
            <w:r>
              <w:t>其中：财政    资金</w:t>
            </w:r>
          </w:p>
        </w:tc>
        <w:tc>
          <w:tcPr>
            <w:tcW w:w="2551" w:type="dxa"/>
            <w:vAlign w:val="center"/>
          </w:tcPr>
          <w:p>
            <w:pPr>
              <w:pStyle w:val="12"/>
            </w:pPr>
            <w:r>
              <w:t>2000.00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拆除五个粮站的旧仓库，建设新仓库，对部分旧仓库进行改造。</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0.01</w:t>
            </w:r>
          </w:p>
        </w:tc>
        <w:tc>
          <w:tcPr>
            <w:tcW w:w="2835" w:type="dxa"/>
            <w:vAlign w:val="center"/>
          </w:tcPr>
          <w:p>
            <w:pPr>
              <w:pStyle w:val="13"/>
            </w:pPr>
            <w:r>
              <w:t>0.01</w:t>
            </w:r>
          </w:p>
        </w:tc>
        <w:tc>
          <w:tcPr>
            <w:tcW w:w="2551" w:type="dxa"/>
            <w:vAlign w:val="center"/>
          </w:tcPr>
          <w:p>
            <w:pPr>
              <w:pStyle w:val="13"/>
            </w:pPr>
            <w:r>
              <w:t>0.02</w:t>
            </w:r>
          </w:p>
        </w:tc>
        <w:tc>
          <w:tcPr>
            <w:tcW w:w="3544" w:type="dxa"/>
            <w:gridSpan w:val="2"/>
            <w:vAlign w:val="center"/>
          </w:tcPr>
          <w:p>
            <w:pPr>
              <w:pStyle w:val="13"/>
            </w:pPr>
            <w:r>
              <w:t>0.02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1.拆除五个粮站的旧仓库，建设新仓库，对部分旧仓库进行改造。</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改建粮站数量</w:t>
            </w:r>
          </w:p>
        </w:tc>
        <w:tc>
          <w:tcPr>
            <w:tcW w:w="5386" w:type="dxa"/>
            <w:vAlign w:val="center"/>
          </w:tcPr>
          <w:p>
            <w:pPr>
              <w:pStyle w:val="12"/>
            </w:pPr>
            <w:r>
              <w:t>改建粮站数量</w:t>
            </w:r>
          </w:p>
        </w:tc>
        <w:tc>
          <w:tcPr>
            <w:tcW w:w="2268" w:type="dxa"/>
            <w:vAlign w:val="center"/>
          </w:tcPr>
          <w:p>
            <w:pPr>
              <w:pStyle w:val="12"/>
            </w:pPr>
            <w:r>
              <w:t>5个</w:t>
            </w:r>
          </w:p>
        </w:tc>
        <w:tc>
          <w:tcPr>
            <w:tcW w:w="1276" w:type="dxa"/>
            <w:vAlign w:val="center"/>
          </w:tcPr>
          <w:p>
            <w:pPr>
              <w:pStyle w:val="12"/>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达到建设标准</w:t>
            </w:r>
          </w:p>
        </w:tc>
        <w:tc>
          <w:tcPr>
            <w:tcW w:w="5386" w:type="dxa"/>
            <w:vAlign w:val="center"/>
          </w:tcPr>
          <w:p>
            <w:pPr>
              <w:pStyle w:val="12"/>
            </w:pPr>
            <w:r>
              <w:t>达到设计标准</w:t>
            </w:r>
          </w:p>
        </w:tc>
        <w:tc>
          <w:tcPr>
            <w:tcW w:w="2268" w:type="dxa"/>
            <w:vAlign w:val="center"/>
          </w:tcPr>
          <w:p>
            <w:pPr>
              <w:pStyle w:val="12"/>
            </w:pPr>
            <w:r>
              <w:t>100%</w:t>
            </w:r>
          </w:p>
        </w:tc>
        <w:tc>
          <w:tcPr>
            <w:tcW w:w="1276" w:type="dxa"/>
            <w:vAlign w:val="center"/>
          </w:tcPr>
          <w:p>
            <w:pPr>
              <w:pStyle w:val="12"/>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工期完工时间</w:t>
            </w:r>
          </w:p>
        </w:tc>
        <w:tc>
          <w:tcPr>
            <w:tcW w:w="5386" w:type="dxa"/>
            <w:vAlign w:val="center"/>
          </w:tcPr>
          <w:p>
            <w:pPr>
              <w:pStyle w:val="12"/>
            </w:pPr>
            <w:r>
              <w:t>工期完工时间</w:t>
            </w:r>
          </w:p>
        </w:tc>
        <w:tc>
          <w:tcPr>
            <w:tcW w:w="2268" w:type="dxa"/>
            <w:vAlign w:val="center"/>
          </w:tcPr>
          <w:p>
            <w:pPr>
              <w:pStyle w:val="12"/>
            </w:pPr>
            <w:r>
              <w:t>12个月</w:t>
            </w:r>
          </w:p>
        </w:tc>
        <w:tc>
          <w:tcPr>
            <w:tcW w:w="1276" w:type="dxa"/>
            <w:vAlign w:val="center"/>
          </w:tcPr>
          <w:p>
            <w:pPr>
              <w:pStyle w:val="12"/>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≤2000万</w:t>
            </w:r>
          </w:p>
        </w:tc>
        <w:tc>
          <w:tcPr>
            <w:tcW w:w="1276" w:type="dxa"/>
            <w:vAlign w:val="center"/>
          </w:tcPr>
          <w:p>
            <w:pPr>
              <w:pStyle w:val="12"/>
            </w:pPr>
            <w:r>
              <w:t>资金申请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年营业收入</w:t>
            </w:r>
          </w:p>
        </w:tc>
        <w:tc>
          <w:tcPr>
            <w:tcW w:w="5386" w:type="dxa"/>
            <w:vAlign w:val="center"/>
          </w:tcPr>
          <w:p>
            <w:pPr>
              <w:pStyle w:val="12"/>
            </w:pPr>
            <w:r>
              <w:t>年营业收入</w:t>
            </w:r>
          </w:p>
        </w:tc>
        <w:tc>
          <w:tcPr>
            <w:tcW w:w="2268" w:type="dxa"/>
            <w:vAlign w:val="center"/>
          </w:tcPr>
          <w:p>
            <w:pPr>
              <w:pStyle w:val="12"/>
            </w:pPr>
            <w:r>
              <w:t>≥1040万</w:t>
            </w:r>
          </w:p>
        </w:tc>
        <w:tc>
          <w:tcPr>
            <w:tcW w:w="1276" w:type="dxa"/>
            <w:vAlign w:val="center"/>
          </w:tcPr>
          <w:p>
            <w:pPr>
              <w:pStyle w:val="12"/>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增强了对粮食的宏观调控</w:t>
            </w:r>
          </w:p>
        </w:tc>
        <w:tc>
          <w:tcPr>
            <w:tcW w:w="5386" w:type="dxa"/>
            <w:vAlign w:val="center"/>
          </w:tcPr>
          <w:p>
            <w:pPr>
              <w:pStyle w:val="12"/>
            </w:pPr>
            <w:r>
              <w:t>增强了政府对粮食的宏观调控能力</w:t>
            </w:r>
          </w:p>
        </w:tc>
        <w:tc>
          <w:tcPr>
            <w:tcW w:w="2268" w:type="dxa"/>
            <w:vAlign w:val="center"/>
          </w:tcPr>
          <w:p>
            <w:pPr>
              <w:pStyle w:val="12"/>
            </w:pPr>
            <w:r>
              <w:t>增强了粮食储存能力</w:t>
            </w:r>
          </w:p>
        </w:tc>
        <w:tc>
          <w:tcPr>
            <w:tcW w:w="1276" w:type="dxa"/>
            <w:vAlign w:val="center"/>
          </w:tcPr>
          <w:p>
            <w:pPr>
              <w:pStyle w:val="12"/>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项目实施对环境的影响</w:t>
            </w:r>
          </w:p>
        </w:tc>
        <w:tc>
          <w:tcPr>
            <w:tcW w:w="5386" w:type="dxa"/>
            <w:vAlign w:val="center"/>
          </w:tcPr>
          <w:p>
            <w:pPr>
              <w:pStyle w:val="12"/>
            </w:pPr>
            <w:r>
              <w:t>项目实施对环境的影响</w:t>
            </w:r>
          </w:p>
        </w:tc>
        <w:tc>
          <w:tcPr>
            <w:tcW w:w="2268" w:type="dxa"/>
            <w:vAlign w:val="center"/>
          </w:tcPr>
          <w:p>
            <w:pPr>
              <w:pStyle w:val="12"/>
            </w:pPr>
            <w:r>
              <w:t>无影响</w:t>
            </w:r>
          </w:p>
        </w:tc>
        <w:tc>
          <w:tcPr>
            <w:tcW w:w="1276" w:type="dxa"/>
            <w:vAlign w:val="center"/>
          </w:tcPr>
          <w:p>
            <w:pPr>
              <w:pStyle w:val="12"/>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持续发挥作用期限</w:t>
            </w:r>
          </w:p>
        </w:tc>
        <w:tc>
          <w:tcPr>
            <w:tcW w:w="5386" w:type="dxa"/>
            <w:vAlign w:val="center"/>
          </w:tcPr>
          <w:p>
            <w:pPr>
              <w:pStyle w:val="12"/>
            </w:pPr>
            <w:r>
              <w:t>持续发挥作用期限</w:t>
            </w:r>
          </w:p>
        </w:tc>
        <w:tc>
          <w:tcPr>
            <w:tcW w:w="2268" w:type="dxa"/>
            <w:vAlign w:val="center"/>
          </w:tcPr>
          <w:p>
            <w:pPr>
              <w:pStyle w:val="12"/>
            </w:pPr>
            <w:r>
              <w:t>≥50年</w:t>
            </w:r>
          </w:p>
        </w:tc>
        <w:tc>
          <w:tcPr>
            <w:tcW w:w="1276" w:type="dxa"/>
            <w:vAlign w:val="center"/>
          </w:tcPr>
          <w:p>
            <w:pPr>
              <w:pStyle w:val="12"/>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w:t>
            </w:r>
          </w:p>
        </w:tc>
        <w:tc>
          <w:tcPr>
            <w:tcW w:w="1276" w:type="dxa"/>
            <w:vAlign w:val="center"/>
          </w:tcPr>
          <w:p>
            <w:pPr>
              <w:pStyle w:val="12"/>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社会公众满意度</w:t>
            </w:r>
          </w:p>
        </w:tc>
        <w:tc>
          <w:tcPr>
            <w:tcW w:w="2268" w:type="dxa"/>
            <w:vAlign w:val="center"/>
          </w:tcPr>
          <w:p>
            <w:pPr>
              <w:pStyle w:val="12"/>
            </w:pPr>
            <w:r>
              <w:t>≥95%</w:t>
            </w:r>
          </w:p>
        </w:tc>
        <w:tc>
          <w:tcPr>
            <w:tcW w:w="1276" w:type="dxa"/>
            <w:vAlign w:val="center"/>
          </w:tcPr>
          <w:p>
            <w:pPr>
              <w:pStyle w:val="12"/>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上级主管部门满意度</w:t>
            </w:r>
          </w:p>
        </w:tc>
        <w:tc>
          <w:tcPr>
            <w:tcW w:w="5386" w:type="dxa"/>
            <w:vAlign w:val="center"/>
          </w:tcPr>
          <w:p>
            <w:pPr>
              <w:pStyle w:val="12"/>
            </w:pPr>
            <w:r>
              <w:t>上级主管部门满意度</w:t>
            </w:r>
          </w:p>
        </w:tc>
        <w:tc>
          <w:tcPr>
            <w:tcW w:w="2268" w:type="dxa"/>
            <w:vAlign w:val="center"/>
          </w:tcPr>
          <w:p>
            <w:pPr>
              <w:pStyle w:val="12"/>
            </w:pPr>
            <w:r>
              <w:t>100%</w:t>
            </w:r>
          </w:p>
        </w:tc>
        <w:tc>
          <w:tcPr>
            <w:tcW w:w="1276" w:type="dxa"/>
            <w:vAlign w:val="center"/>
          </w:tcPr>
          <w:p>
            <w:pPr>
              <w:pStyle w:val="12"/>
            </w:pPr>
            <w:r>
              <w:t>实际调查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303001无极县发展和改革局本级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无极县发展和改革局本级上年末固定资产金额为1259.63万元（详见下表）。本年度拟购置固定资产总额为0.00万元，已按要求列入政府采购预算，详见政府采购预算表。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303001无极县发展和改革局本级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1259.63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3</w:t>
            </w:r>
          </w:p>
        </w:tc>
        <w:tc>
          <w:tcPr>
            <w:tcW w:w="2835" w:type="dxa"/>
            <w:vAlign w:val="center"/>
          </w:tcPr>
          <w:p>
            <w:pPr>
              <w:pStyle w:val="11"/>
            </w:pPr>
            <w:r>
              <w:t>45.64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11</w:t>
            </w:r>
          </w:p>
        </w:tc>
        <w:tc>
          <w:tcPr>
            <w:tcW w:w="2835" w:type="dxa"/>
            <w:vAlign w:val="center"/>
          </w:tcPr>
          <w:p>
            <w:pPr>
              <w:pStyle w:val="11"/>
            </w:pPr>
            <w:r>
              <w:t>456.45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1025</w:t>
            </w:r>
          </w:p>
        </w:tc>
        <w:tc>
          <w:tcPr>
            <w:tcW w:w="2835" w:type="dxa"/>
            <w:vAlign w:val="center"/>
          </w:tcPr>
          <w:p>
            <w:pPr>
              <w:pStyle w:val="11"/>
            </w:pPr>
            <w:r>
              <w:t>757.54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3AF4BF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33</Pages>
  <TotalTime>1</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2026-02-26T14:39:00Z</dcterms:created>
  <dc:creator>Administrator</dc:creator>
  <cp:lastModifiedBy>Administrator</cp:lastModifiedBy>
  <dcterms:modified xsi:type="dcterms:W3CDTF">2026-02-27T07:02:59Z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99905D2255394A3C88DA00C6301086E1</vt:lpwstr>
  </property>
</Properties>
</file>