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bookmarkStart w:id="20" w:name="_GoBack"/>
      <w:bookmarkEnd w:id="20"/>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303无极县发展和改革局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1448.72</w:t>
            </w:r>
          </w:p>
        </w:tc>
        <w:tc>
          <w:tcPr>
            <w:tcW w:w="4535" w:type="dxa"/>
            <w:vAlign w:val="center"/>
          </w:tcPr>
          <w:p>
            <w:pPr>
              <w:pStyle w:val="13"/>
            </w:pPr>
            <w:r>
              <w:t>一、一般公共服务支出</w:t>
            </w:r>
          </w:p>
        </w:tc>
        <w:tc>
          <w:tcPr>
            <w:tcW w:w="2126" w:type="dxa"/>
            <w:vAlign w:val="center"/>
          </w:tcPr>
          <w:p>
            <w:pPr>
              <w:pStyle w:val="12"/>
            </w:pPr>
            <w:r>
              <w:t>1175.70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1448.72</w:t>
            </w:r>
          </w:p>
        </w:tc>
        <w:tc>
          <w:tcPr>
            <w:tcW w:w="4535" w:type="dxa"/>
            <w:vAlign w:val="center"/>
          </w:tcPr>
          <w:p>
            <w:pPr>
              <w:pStyle w:val="15"/>
            </w:pPr>
            <w:r>
              <w:t>本年支出合计</w:t>
            </w:r>
          </w:p>
        </w:tc>
        <w:tc>
          <w:tcPr>
            <w:tcW w:w="2126" w:type="dxa"/>
            <w:vAlign w:val="center"/>
          </w:tcPr>
          <w:p>
            <w:pPr>
              <w:pStyle w:val="16"/>
            </w:pPr>
            <w:r>
              <w:t>4948.72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3500.00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4948.72</w:t>
            </w:r>
          </w:p>
        </w:tc>
        <w:tc>
          <w:tcPr>
            <w:tcW w:w="4535" w:type="dxa"/>
            <w:vAlign w:val="center"/>
          </w:tcPr>
          <w:p>
            <w:pPr>
              <w:pStyle w:val="15"/>
            </w:pPr>
            <w:r>
              <w:t>支出总计</w:t>
            </w:r>
          </w:p>
        </w:tc>
        <w:tc>
          <w:tcPr>
            <w:tcW w:w="2126" w:type="dxa"/>
            <w:vAlign w:val="center"/>
          </w:tcPr>
          <w:p>
            <w:pPr>
              <w:pStyle w:val="16"/>
            </w:pPr>
            <w:r>
              <w:t>4948.72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4948.72</w:t>
            </w:r>
          </w:p>
        </w:tc>
        <w:tc>
          <w:tcPr>
            <w:tcW w:w="1134" w:type="dxa"/>
            <w:vAlign w:val="center"/>
          </w:tcPr>
          <w:p>
            <w:pPr>
              <w:pStyle w:val="16"/>
            </w:pPr>
            <w:r>
              <w:t>1448.72</w:t>
            </w:r>
          </w:p>
        </w:tc>
        <w:tc>
          <w:tcPr>
            <w:tcW w:w="1134" w:type="dxa"/>
            <w:vAlign w:val="center"/>
          </w:tcPr>
          <w:p>
            <w:pPr>
              <w:pStyle w:val="16"/>
            </w:pPr>
            <w:r>
              <w:t>1448.72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1175.70</w:t>
            </w:r>
          </w:p>
        </w:tc>
        <w:tc>
          <w:tcPr>
            <w:tcW w:w="1134" w:type="dxa"/>
            <w:vAlign w:val="center"/>
          </w:tcPr>
          <w:p>
            <w:pPr>
              <w:pStyle w:val="12"/>
            </w:pPr>
            <w:r>
              <w:t>1175.70</w:t>
            </w:r>
          </w:p>
        </w:tc>
        <w:tc>
          <w:tcPr>
            <w:tcW w:w="1134" w:type="dxa"/>
            <w:vAlign w:val="center"/>
          </w:tcPr>
          <w:p>
            <w:pPr>
              <w:pStyle w:val="12"/>
            </w:pPr>
            <w:r>
              <w:t>1175.70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1175.70</w:t>
            </w:r>
          </w:p>
        </w:tc>
        <w:tc>
          <w:tcPr>
            <w:tcW w:w="1134" w:type="dxa"/>
            <w:vAlign w:val="center"/>
          </w:tcPr>
          <w:p>
            <w:pPr>
              <w:pStyle w:val="12"/>
            </w:pPr>
            <w:r>
              <w:t>1175.70</w:t>
            </w:r>
          </w:p>
        </w:tc>
        <w:tc>
          <w:tcPr>
            <w:tcW w:w="1134" w:type="dxa"/>
            <w:vAlign w:val="center"/>
          </w:tcPr>
          <w:p>
            <w:pPr>
              <w:pStyle w:val="12"/>
            </w:pPr>
            <w:r>
              <w:t>1175.70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568.02</w:t>
            </w:r>
          </w:p>
        </w:tc>
        <w:tc>
          <w:tcPr>
            <w:tcW w:w="1134" w:type="dxa"/>
            <w:vAlign w:val="center"/>
          </w:tcPr>
          <w:p>
            <w:pPr>
              <w:pStyle w:val="12"/>
            </w:pPr>
            <w:r>
              <w:t>568.02</w:t>
            </w:r>
          </w:p>
        </w:tc>
        <w:tc>
          <w:tcPr>
            <w:tcW w:w="1134" w:type="dxa"/>
            <w:vAlign w:val="center"/>
          </w:tcPr>
          <w:p>
            <w:pPr>
              <w:pStyle w:val="12"/>
            </w:pPr>
            <w:r>
              <w:t>568.02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607.68</w:t>
            </w:r>
          </w:p>
        </w:tc>
        <w:tc>
          <w:tcPr>
            <w:tcW w:w="1134" w:type="dxa"/>
            <w:vAlign w:val="center"/>
          </w:tcPr>
          <w:p>
            <w:pPr>
              <w:pStyle w:val="12"/>
            </w:pPr>
            <w:r>
              <w:t>607.68</w:t>
            </w:r>
          </w:p>
        </w:tc>
        <w:tc>
          <w:tcPr>
            <w:tcW w:w="1134" w:type="dxa"/>
            <w:vAlign w:val="center"/>
          </w:tcPr>
          <w:p>
            <w:pPr>
              <w:pStyle w:val="12"/>
            </w:pPr>
            <w:r>
              <w:t>607.68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r>
              <w:t>218.02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21298</w:t>
            </w:r>
          </w:p>
        </w:tc>
        <w:tc>
          <w:tcPr>
            <w:tcW w:w="1559" w:type="dxa"/>
            <w:vAlign w:val="center"/>
          </w:tcPr>
          <w:p>
            <w:pPr>
              <w:pStyle w:val="13"/>
            </w:pPr>
            <w:r>
              <w:t>超长期特别国债安排的支出</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2129899</w:t>
            </w:r>
          </w:p>
        </w:tc>
        <w:tc>
          <w:tcPr>
            <w:tcW w:w="1559" w:type="dxa"/>
            <w:vAlign w:val="center"/>
          </w:tcPr>
          <w:p>
            <w:pPr>
              <w:pStyle w:val="13"/>
            </w:pPr>
            <w:r>
              <w:t>其他城乡社区支出</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4948.72</w:t>
            </w:r>
          </w:p>
        </w:tc>
        <w:tc>
          <w:tcPr>
            <w:tcW w:w="1361" w:type="dxa"/>
            <w:vAlign w:val="center"/>
          </w:tcPr>
          <w:p>
            <w:pPr>
              <w:pStyle w:val="16"/>
            </w:pPr>
            <w:r>
              <w:t>623.02</w:t>
            </w:r>
          </w:p>
        </w:tc>
        <w:tc>
          <w:tcPr>
            <w:tcW w:w="1361" w:type="dxa"/>
            <w:vAlign w:val="center"/>
          </w:tcPr>
          <w:p>
            <w:pPr>
              <w:pStyle w:val="16"/>
            </w:pPr>
            <w:r>
              <w:t>4325.70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1175.70</w:t>
            </w:r>
          </w:p>
        </w:tc>
        <w:tc>
          <w:tcPr>
            <w:tcW w:w="1361" w:type="dxa"/>
            <w:vAlign w:val="center"/>
          </w:tcPr>
          <w:p>
            <w:pPr>
              <w:pStyle w:val="12"/>
            </w:pPr>
            <w:r>
              <w:t>568.02</w:t>
            </w:r>
          </w:p>
        </w:tc>
        <w:tc>
          <w:tcPr>
            <w:tcW w:w="1361" w:type="dxa"/>
            <w:vAlign w:val="center"/>
          </w:tcPr>
          <w:p>
            <w:pPr>
              <w:pStyle w:val="12"/>
            </w:pPr>
            <w:r>
              <w:t>607.68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1175.70</w:t>
            </w:r>
          </w:p>
        </w:tc>
        <w:tc>
          <w:tcPr>
            <w:tcW w:w="1361" w:type="dxa"/>
            <w:vAlign w:val="center"/>
          </w:tcPr>
          <w:p>
            <w:pPr>
              <w:pStyle w:val="12"/>
            </w:pPr>
            <w:r>
              <w:t>568.02</w:t>
            </w:r>
          </w:p>
        </w:tc>
        <w:tc>
          <w:tcPr>
            <w:tcW w:w="1361" w:type="dxa"/>
            <w:vAlign w:val="center"/>
          </w:tcPr>
          <w:p>
            <w:pPr>
              <w:pStyle w:val="12"/>
            </w:pPr>
            <w:r>
              <w:t>607.68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568.02</w:t>
            </w:r>
          </w:p>
        </w:tc>
        <w:tc>
          <w:tcPr>
            <w:tcW w:w="1361" w:type="dxa"/>
            <w:vAlign w:val="center"/>
          </w:tcPr>
          <w:p>
            <w:pPr>
              <w:pStyle w:val="12"/>
            </w:pPr>
            <w:r>
              <w:t>568.02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607.68</w:t>
            </w:r>
          </w:p>
        </w:tc>
        <w:tc>
          <w:tcPr>
            <w:tcW w:w="1361" w:type="dxa"/>
            <w:vAlign w:val="center"/>
          </w:tcPr>
          <w:p>
            <w:pPr>
              <w:pStyle w:val="12"/>
            </w:pPr>
          </w:p>
        </w:tc>
        <w:tc>
          <w:tcPr>
            <w:tcW w:w="1361" w:type="dxa"/>
            <w:vAlign w:val="center"/>
          </w:tcPr>
          <w:p>
            <w:pPr>
              <w:pStyle w:val="12"/>
            </w:pPr>
            <w:r>
              <w:t>607.68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39.00</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r>
              <w:t>218.02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21298</w:t>
            </w:r>
          </w:p>
        </w:tc>
        <w:tc>
          <w:tcPr>
            <w:tcW w:w="4535" w:type="dxa"/>
            <w:vAlign w:val="center"/>
          </w:tcPr>
          <w:p>
            <w:pPr>
              <w:pStyle w:val="13"/>
            </w:pPr>
            <w:r>
              <w:t>超长期特别国债安排的支出</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2129899</w:t>
            </w:r>
          </w:p>
        </w:tc>
        <w:tc>
          <w:tcPr>
            <w:tcW w:w="4535" w:type="dxa"/>
            <w:vAlign w:val="center"/>
          </w:tcPr>
          <w:p>
            <w:pPr>
              <w:pStyle w:val="13"/>
            </w:pPr>
            <w:r>
              <w:t>其他城乡社区支出</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1448.72</w:t>
            </w:r>
          </w:p>
        </w:tc>
        <w:tc>
          <w:tcPr>
            <w:tcW w:w="3402" w:type="dxa"/>
            <w:vAlign w:val="center"/>
          </w:tcPr>
          <w:p>
            <w:pPr>
              <w:pStyle w:val="13"/>
            </w:pPr>
            <w:r>
              <w:t>一、一般公共服务支出</w:t>
            </w:r>
          </w:p>
        </w:tc>
        <w:tc>
          <w:tcPr>
            <w:tcW w:w="1474" w:type="dxa"/>
            <w:vAlign w:val="center"/>
          </w:tcPr>
          <w:p>
            <w:pPr>
              <w:pStyle w:val="12"/>
            </w:pPr>
            <w:r>
              <w:t>1175.70</w:t>
            </w:r>
          </w:p>
        </w:tc>
        <w:tc>
          <w:tcPr>
            <w:tcW w:w="1474" w:type="dxa"/>
            <w:vAlign w:val="center"/>
          </w:tcPr>
          <w:p>
            <w:pPr>
              <w:pStyle w:val="12"/>
            </w:pPr>
            <w:r>
              <w:t>1175.70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39.00</w:t>
            </w:r>
          </w:p>
        </w:tc>
        <w:tc>
          <w:tcPr>
            <w:tcW w:w="1474" w:type="dxa"/>
            <w:vAlign w:val="center"/>
          </w:tcPr>
          <w:p>
            <w:pPr>
              <w:pStyle w:val="12"/>
            </w:pPr>
            <w:r>
              <w:t>39.00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16.00</w:t>
            </w:r>
          </w:p>
        </w:tc>
        <w:tc>
          <w:tcPr>
            <w:tcW w:w="1474" w:type="dxa"/>
            <w:vAlign w:val="center"/>
          </w:tcPr>
          <w:p>
            <w:pPr>
              <w:pStyle w:val="12"/>
            </w:pPr>
            <w:r>
              <w:t>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218.02</w:t>
            </w:r>
          </w:p>
        </w:tc>
        <w:tc>
          <w:tcPr>
            <w:tcW w:w="1474" w:type="dxa"/>
            <w:vAlign w:val="center"/>
          </w:tcPr>
          <w:p>
            <w:pPr>
              <w:pStyle w:val="12"/>
            </w:pPr>
            <w:r>
              <w:t>218.02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1500.00</w:t>
            </w:r>
          </w:p>
        </w:tc>
        <w:tc>
          <w:tcPr>
            <w:tcW w:w="1474" w:type="dxa"/>
            <w:vAlign w:val="center"/>
          </w:tcPr>
          <w:p>
            <w:pPr>
              <w:pStyle w:val="12"/>
            </w:pPr>
          </w:p>
        </w:tc>
        <w:tc>
          <w:tcPr>
            <w:tcW w:w="1474" w:type="dxa"/>
            <w:vAlign w:val="center"/>
          </w:tcPr>
          <w:p>
            <w:pPr>
              <w:pStyle w:val="12"/>
            </w:pPr>
            <w:r>
              <w:t>1500.00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2000.00</w:t>
            </w:r>
          </w:p>
        </w:tc>
        <w:tc>
          <w:tcPr>
            <w:tcW w:w="1474" w:type="dxa"/>
            <w:vAlign w:val="center"/>
          </w:tcPr>
          <w:p>
            <w:pPr>
              <w:pStyle w:val="12"/>
            </w:pPr>
          </w:p>
        </w:tc>
        <w:tc>
          <w:tcPr>
            <w:tcW w:w="1474" w:type="dxa"/>
            <w:vAlign w:val="center"/>
          </w:tcPr>
          <w:p>
            <w:pPr>
              <w:pStyle w:val="12"/>
            </w:pPr>
            <w:r>
              <w:t>2000.00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1448.72</w:t>
            </w:r>
          </w:p>
        </w:tc>
        <w:tc>
          <w:tcPr>
            <w:tcW w:w="3402" w:type="dxa"/>
            <w:vAlign w:val="center"/>
          </w:tcPr>
          <w:p>
            <w:pPr>
              <w:pStyle w:val="15"/>
            </w:pPr>
            <w:r>
              <w:t>本年支出合计</w:t>
            </w:r>
          </w:p>
        </w:tc>
        <w:tc>
          <w:tcPr>
            <w:tcW w:w="1474" w:type="dxa"/>
            <w:vAlign w:val="center"/>
          </w:tcPr>
          <w:p>
            <w:pPr>
              <w:pStyle w:val="16"/>
            </w:pPr>
            <w:r>
              <w:t>4948.72</w:t>
            </w:r>
          </w:p>
        </w:tc>
        <w:tc>
          <w:tcPr>
            <w:tcW w:w="1474" w:type="dxa"/>
            <w:vAlign w:val="center"/>
          </w:tcPr>
          <w:p>
            <w:pPr>
              <w:pStyle w:val="16"/>
            </w:pPr>
            <w:r>
              <w:t>1448.72</w:t>
            </w:r>
          </w:p>
        </w:tc>
        <w:tc>
          <w:tcPr>
            <w:tcW w:w="1474" w:type="dxa"/>
            <w:vAlign w:val="center"/>
          </w:tcPr>
          <w:p>
            <w:pPr>
              <w:pStyle w:val="16"/>
            </w:pPr>
            <w:r>
              <w:t>3500.00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3500.00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3500.00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4948.72</w:t>
            </w:r>
          </w:p>
        </w:tc>
        <w:tc>
          <w:tcPr>
            <w:tcW w:w="3402" w:type="dxa"/>
            <w:vAlign w:val="center"/>
          </w:tcPr>
          <w:p>
            <w:pPr>
              <w:pStyle w:val="15"/>
            </w:pPr>
            <w:r>
              <w:t>支出总计</w:t>
            </w:r>
          </w:p>
        </w:tc>
        <w:tc>
          <w:tcPr>
            <w:tcW w:w="1474" w:type="dxa"/>
            <w:vAlign w:val="center"/>
          </w:tcPr>
          <w:p>
            <w:pPr>
              <w:pStyle w:val="16"/>
            </w:pPr>
            <w:r>
              <w:t>4948.72</w:t>
            </w:r>
          </w:p>
        </w:tc>
        <w:tc>
          <w:tcPr>
            <w:tcW w:w="1474" w:type="dxa"/>
            <w:vAlign w:val="center"/>
          </w:tcPr>
          <w:p>
            <w:pPr>
              <w:pStyle w:val="16"/>
            </w:pPr>
            <w:r>
              <w:t>1448.72</w:t>
            </w:r>
          </w:p>
        </w:tc>
        <w:tc>
          <w:tcPr>
            <w:tcW w:w="1474" w:type="dxa"/>
            <w:vAlign w:val="center"/>
          </w:tcPr>
          <w:p>
            <w:pPr>
              <w:pStyle w:val="16"/>
            </w:pPr>
            <w:r>
              <w:t>3500.00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1448.72</w:t>
            </w:r>
          </w:p>
        </w:tc>
        <w:tc>
          <w:tcPr>
            <w:tcW w:w="2551" w:type="dxa"/>
            <w:vAlign w:val="center"/>
          </w:tcPr>
          <w:p>
            <w:pPr>
              <w:pStyle w:val="16"/>
            </w:pPr>
            <w:r>
              <w:t>623.02</w:t>
            </w:r>
          </w:p>
        </w:tc>
        <w:tc>
          <w:tcPr>
            <w:tcW w:w="2551" w:type="dxa"/>
            <w:vAlign w:val="center"/>
          </w:tcPr>
          <w:p>
            <w:pPr>
              <w:pStyle w:val="16"/>
            </w:pPr>
            <w:r>
              <w:t>825.70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1175.70</w:t>
            </w:r>
          </w:p>
        </w:tc>
        <w:tc>
          <w:tcPr>
            <w:tcW w:w="2551" w:type="dxa"/>
            <w:vAlign w:val="center"/>
          </w:tcPr>
          <w:p>
            <w:pPr>
              <w:pStyle w:val="12"/>
            </w:pPr>
            <w:r>
              <w:t>568.02</w:t>
            </w:r>
          </w:p>
        </w:tc>
        <w:tc>
          <w:tcPr>
            <w:tcW w:w="2551" w:type="dxa"/>
            <w:vAlign w:val="center"/>
          </w:tcPr>
          <w:p>
            <w:pPr>
              <w:pStyle w:val="12"/>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1175.70</w:t>
            </w:r>
          </w:p>
        </w:tc>
        <w:tc>
          <w:tcPr>
            <w:tcW w:w="2551" w:type="dxa"/>
            <w:vAlign w:val="center"/>
          </w:tcPr>
          <w:p>
            <w:pPr>
              <w:pStyle w:val="12"/>
            </w:pPr>
            <w:r>
              <w:t>568.02</w:t>
            </w:r>
          </w:p>
        </w:tc>
        <w:tc>
          <w:tcPr>
            <w:tcW w:w="2551" w:type="dxa"/>
            <w:vAlign w:val="center"/>
          </w:tcPr>
          <w:p>
            <w:pPr>
              <w:pStyle w:val="12"/>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568.02</w:t>
            </w:r>
          </w:p>
        </w:tc>
        <w:tc>
          <w:tcPr>
            <w:tcW w:w="2551" w:type="dxa"/>
            <w:vAlign w:val="center"/>
          </w:tcPr>
          <w:p>
            <w:pPr>
              <w:pStyle w:val="12"/>
            </w:pPr>
            <w:r>
              <w:t>568.02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607.68</w:t>
            </w:r>
          </w:p>
        </w:tc>
        <w:tc>
          <w:tcPr>
            <w:tcW w:w="2551" w:type="dxa"/>
            <w:vAlign w:val="center"/>
          </w:tcPr>
          <w:p>
            <w:pPr>
              <w:pStyle w:val="12"/>
            </w:pPr>
          </w:p>
        </w:tc>
        <w:tc>
          <w:tcPr>
            <w:tcW w:w="2551" w:type="dxa"/>
            <w:vAlign w:val="center"/>
          </w:tcPr>
          <w:p>
            <w:pPr>
              <w:pStyle w:val="12"/>
            </w:pPr>
            <w:r>
              <w:t>607.68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218.02</w:t>
            </w:r>
          </w:p>
        </w:tc>
        <w:tc>
          <w:tcPr>
            <w:tcW w:w="2551" w:type="dxa"/>
            <w:vAlign w:val="center"/>
          </w:tcPr>
          <w:p>
            <w:pPr>
              <w:pStyle w:val="12"/>
            </w:pPr>
          </w:p>
        </w:tc>
        <w:tc>
          <w:tcPr>
            <w:tcW w:w="2551" w:type="dxa"/>
            <w:vAlign w:val="center"/>
          </w:tcPr>
          <w:p>
            <w:pPr>
              <w:pStyle w:val="12"/>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218.02</w:t>
            </w:r>
          </w:p>
        </w:tc>
        <w:tc>
          <w:tcPr>
            <w:tcW w:w="2551" w:type="dxa"/>
            <w:vAlign w:val="center"/>
          </w:tcPr>
          <w:p>
            <w:pPr>
              <w:pStyle w:val="12"/>
            </w:pPr>
          </w:p>
        </w:tc>
        <w:tc>
          <w:tcPr>
            <w:tcW w:w="2551" w:type="dxa"/>
            <w:vAlign w:val="center"/>
          </w:tcPr>
          <w:p>
            <w:pPr>
              <w:pStyle w:val="12"/>
            </w:pPr>
            <w:r>
              <w:t>218.02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218.02</w:t>
            </w:r>
          </w:p>
        </w:tc>
        <w:tc>
          <w:tcPr>
            <w:tcW w:w="2551" w:type="dxa"/>
            <w:vAlign w:val="center"/>
          </w:tcPr>
          <w:p>
            <w:pPr>
              <w:pStyle w:val="12"/>
            </w:pPr>
          </w:p>
        </w:tc>
        <w:tc>
          <w:tcPr>
            <w:tcW w:w="2551" w:type="dxa"/>
            <w:vAlign w:val="center"/>
          </w:tcPr>
          <w:p>
            <w:pPr>
              <w:pStyle w:val="12"/>
            </w:pPr>
            <w:r>
              <w:t>218.02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623.02</w:t>
            </w:r>
          </w:p>
        </w:tc>
        <w:tc>
          <w:tcPr>
            <w:tcW w:w="2551" w:type="dxa"/>
            <w:vAlign w:val="center"/>
          </w:tcPr>
          <w:p>
            <w:pPr>
              <w:pStyle w:val="16"/>
            </w:pPr>
            <w:r>
              <w:t>580.20</w:t>
            </w:r>
          </w:p>
        </w:tc>
        <w:tc>
          <w:tcPr>
            <w:tcW w:w="2551" w:type="dxa"/>
            <w:vAlign w:val="center"/>
          </w:tcPr>
          <w:p>
            <w:pPr>
              <w:pStyle w:val="16"/>
            </w:pPr>
            <w:r>
              <w:t>42.82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479.80</w:t>
            </w:r>
          </w:p>
        </w:tc>
        <w:tc>
          <w:tcPr>
            <w:tcW w:w="2551" w:type="dxa"/>
            <w:vAlign w:val="center"/>
          </w:tcPr>
          <w:p>
            <w:pPr>
              <w:pStyle w:val="12"/>
            </w:pPr>
            <w:r>
              <w:t>479.80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295.00</w:t>
            </w:r>
          </w:p>
        </w:tc>
        <w:tc>
          <w:tcPr>
            <w:tcW w:w="2551" w:type="dxa"/>
            <w:vAlign w:val="center"/>
          </w:tcPr>
          <w:p>
            <w:pPr>
              <w:pStyle w:val="12"/>
            </w:pPr>
            <w:r>
              <w:t>295.00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29.10</w:t>
            </w:r>
          </w:p>
        </w:tc>
        <w:tc>
          <w:tcPr>
            <w:tcW w:w="2551" w:type="dxa"/>
            <w:vAlign w:val="center"/>
          </w:tcPr>
          <w:p>
            <w:pPr>
              <w:pStyle w:val="12"/>
            </w:pPr>
            <w:r>
              <w:t>29.10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1.70</w:t>
            </w:r>
          </w:p>
        </w:tc>
        <w:tc>
          <w:tcPr>
            <w:tcW w:w="2551" w:type="dxa"/>
            <w:vAlign w:val="center"/>
          </w:tcPr>
          <w:p>
            <w:pPr>
              <w:pStyle w:val="12"/>
            </w:pPr>
            <w:r>
              <w:t>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42.82</w:t>
            </w:r>
          </w:p>
        </w:tc>
        <w:tc>
          <w:tcPr>
            <w:tcW w:w="2551" w:type="dxa"/>
            <w:vAlign w:val="center"/>
          </w:tcPr>
          <w:p>
            <w:pPr>
              <w:pStyle w:val="12"/>
            </w:pPr>
          </w:p>
        </w:tc>
        <w:tc>
          <w:tcPr>
            <w:tcW w:w="2551" w:type="dxa"/>
            <w:vAlign w:val="center"/>
          </w:tcPr>
          <w:p>
            <w:pPr>
              <w:pStyle w:val="12"/>
            </w:pPr>
            <w:r>
              <w:t>42.82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100.40</w:t>
            </w:r>
          </w:p>
        </w:tc>
        <w:tc>
          <w:tcPr>
            <w:tcW w:w="2551" w:type="dxa"/>
            <w:vAlign w:val="center"/>
          </w:tcPr>
          <w:p>
            <w:pPr>
              <w:pStyle w:val="12"/>
            </w:pPr>
            <w:r>
              <w:t>100.40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85.40</w:t>
            </w:r>
          </w:p>
        </w:tc>
        <w:tc>
          <w:tcPr>
            <w:tcW w:w="2551" w:type="dxa"/>
            <w:vAlign w:val="center"/>
          </w:tcPr>
          <w:p>
            <w:pPr>
              <w:pStyle w:val="12"/>
            </w:pPr>
            <w:r>
              <w:t>85.40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3500.00</w:t>
            </w:r>
          </w:p>
        </w:tc>
        <w:tc>
          <w:tcPr>
            <w:tcW w:w="2551" w:type="dxa"/>
            <w:vAlign w:val="center"/>
          </w:tcPr>
          <w:p>
            <w:pPr>
              <w:pStyle w:val="16"/>
            </w:pPr>
          </w:p>
        </w:tc>
        <w:tc>
          <w:tcPr>
            <w:tcW w:w="2551" w:type="dxa"/>
            <w:vAlign w:val="center"/>
          </w:tcPr>
          <w:p>
            <w:pPr>
              <w:pStyle w:val="16"/>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21298</w:t>
            </w:r>
          </w:p>
        </w:tc>
        <w:tc>
          <w:tcPr>
            <w:tcW w:w="4535" w:type="dxa"/>
            <w:vAlign w:val="center"/>
          </w:tcPr>
          <w:p>
            <w:pPr>
              <w:pStyle w:val="13"/>
            </w:pPr>
            <w:r>
              <w:t>超长期特别国债安排的支出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2129899</w:t>
            </w:r>
          </w:p>
        </w:tc>
        <w:tc>
          <w:tcPr>
            <w:tcW w:w="4535" w:type="dxa"/>
            <w:vAlign w:val="center"/>
          </w:tcPr>
          <w:p>
            <w:pPr>
              <w:pStyle w:val="13"/>
            </w:pPr>
            <w:r>
              <w:t>其他城乡社区支出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《无极县机构改革方案》和《中国共产党机构编制工作条例》、《中共河北省委机构编制管理规定》，发展和改革局的主要职责是：</w:t>
      </w:r>
    </w:p>
    <w:p>
      <w:pPr>
        <w:pStyle w:val="18"/>
      </w:pPr>
      <w:r>
        <w:t>（一）拟订并组织实施全县国民经济和社会发展战略、中长期规划和年度计划。牵头组织统一规划体系建设。负责县级专项规划、区域规划、空间规划与全县发展规划的统筹衔接。起草国民经济和社会发展、经济体制改革和对外开放的有关政府规章草案，制定规范性文件。</w:t>
      </w:r>
    </w:p>
    <w:p>
      <w:pPr>
        <w:pStyle w:val="18"/>
      </w:pPr>
      <w:r>
        <w:t>（二）提出加快建设全县现代化经济体系、推动高质量发展的总体目标、重大任务以及相关政策。组织开展重大战略规划、重大政策、重大工程等的评估督导，提出相关调整建议。</w:t>
      </w:r>
    </w:p>
    <w:p>
      <w:pPr>
        <w:pStyle w:val="18"/>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pPr>
        <w:pStyle w:val="18"/>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8"/>
      </w:pPr>
      <w:r>
        <w:t>（五）牵头推进实施全县“一带一路”建设有关工作。承担统筹协调走出去有关工作。负责全县全口径外债的总量控制、结构优化和监测工作。</w:t>
      </w:r>
    </w:p>
    <w:p>
      <w:pPr>
        <w:pStyle w:val="18"/>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8"/>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8"/>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8"/>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8"/>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pPr>
        <w:pStyle w:val="18"/>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8"/>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8"/>
      </w:pPr>
      <w:r>
        <w:t>（十三）组织拟订推进全县经济建设与国防建设协调发展的战略和规划，组织推进经济建设项目贯彻国防要求。</w:t>
      </w:r>
    </w:p>
    <w:p>
      <w:pPr>
        <w:pStyle w:val="18"/>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8"/>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8"/>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8"/>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（十八）协调、管理、推动物流业发展，组织推动国际航线、国际班列的开行，以及重大物流园区和物流项目建设等相关工作。</w:t>
      </w:r>
    </w:p>
    <w:p>
      <w:pPr>
        <w:pStyle w:val="18"/>
      </w:pPr>
      <w:r>
        <w:t>（十九）组织实施国民经济、装备动员等工作。</w:t>
      </w:r>
    </w:p>
    <w:p>
      <w:pPr>
        <w:pStyle w:val="18"/>
      </w:pPr>
      <w:r>
        <w:t>（二十）贯彻落实国防动员相关法律法规和规章，研究全县国防动员建设重大问题和重大政策，组织起草国防动员、人民防空和军事设施保护有关制度并组织实施。</w:t>
      </w:r>
    </w:p>
    <w:p>
      <w:pPr>
        <w:pStyle w:val="18"/>
      </w:pPr>
      <w:r>
        <w:t>（二十一）组织拟订全县国防动员、人民防空建设中长期发展规划和年度计划。统筹衔接经济动员、人民防空、信息动员、科技动员、国防教育、装备动员建设等规划，经县国防动员委员会联合办公室归口审核后按程序报批。统筹推进国防动员重大项目和专项工程。协调解决跨领域跨地区跨部门国防动员重大问题。</w:t>
      </w:r>
    </w:p>
    <w:p>
      <w:pPr>
        <w:pStyle w:val="18"/>
      </w:pPr>
      <w:r>
        <w:t>（二十二）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pPr>
        <w:pStyle w:val="18"/>
      </w:pPr>
      <w:r>
        <w:t>（二十三）组织协调国防动员训练演练。统筹指导行业部门开展国防动员专业保障队伍建设。协同推进舆论战心理战法律战和新型领域等国防动员力量建设。协调组织战时转产、扩大生产军品和相关维修保障任务。</w:t>
      </w:r>
    </w:p>
    <w:p>
      <w:pPr>
        <w:pStyle w:val="18"/>
      </w:pPr>
      <w:r>
        <w:t>（二十四）负责开展国防动员潜力调查。协调推进国防动员信息化建设。协同军事机关开展国防动员能力检验评估。</w:t>
      </w:r>
    </w:p>
    <w:p>
      <w:pPr>
        <w:pStyle w:val="18"/>
      </w:pPr>
      <w:r>
        <w:t>（二十五）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pPr>
        <w:pStyle w:val="18"/>
      </w:pPr>
      <w:r>
        <w:t>（二十六）负责协调军事设施保护有关工作。</w:t>
      </w:r>
    </w:p>
    <w:p>
      <w:pPr>
        <w:pStyle w:val="18"/>
      </w:pPr>
      <w:r>
        <w:t>（二十七）负责拟订提请县委军民融合发展委员会审议的国防动员领域重大事项建议，协调推进相关事项落实，承担县委军民融合发展委员会交办的专项工作任务等。</w:t>
      </w:r>
    </w:p>
    <w:p>
      <w:pPr>
        <w:pStyle w:val="18"/>
      </w:pPr>
      <w:r>
        <w:t>（二十八）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pPr>
        <w:pStyle w:val="18"/>
      </w:pPr>
      <w:r>
        <w:t>（二十九）承担县国防动员委员会联合办公室相关日常事务。</w:t>
      </w:r>
    </w:p>
    <w:p>
      <w:pPr>
        <w:pStyle w:val="18"/>
      </w:pPr>
      <w:r>
        <w:t>（三十）完成县委、县政府交办的其他任务。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按照预算管理有关规定，目前部门预算的编制实行综合预算管理，即全部收入和支出都反映在预算中。无极县发展和改革局机关及所属事业单位的收支包含在部门预算中。</w:t>
      </w:r>
    </w:p>
    <w:p>
      <w:pPr>
        <w:pStyle w:val="19"/>
      </w:pPr>
      <w:r>
        <w:t>1、收入说明</w:t>
      </w:r>
    </w:p>
    <w:p>
      <w:pPr>
        <w:pStyle w:val="19"/>
      </w:pPr>
      <w:r>
        <w:t>反映本部门当年全部收入。2026年预算收入4948.72万元，其中：一般公共预算收入1448.72万元，基金预算收入0.00万元，国有资本经营预算收入0.00万元，财政专户核拨收入0.00万元，单位资金收入0.00万元，上年结转结余3500.00万元。</w:t>
      </w:r>
    </w:p>
    <w:p>
      <w:pPr>
        <w:pStyle w:val="19"/>
      </w:pPr>
      <w:r>
        <w:t>2、支出说明</w:t>
      </w:r>
    </w:p>
    <w:p>
      <w:pPr>
        <w:pStyle w:val="19"/>
      </w:pPr>
      <w:r>
        <w:t>收支预算总表支出栏、基本支出表、项目支出表按经济分类和支出功能分类科目编制，反映无极县发展和改革局年度部门预算中支出预算的总体情况。2026年支出预算4948.72万元，其中基本支出623.02万元，包括人员经费580.20万元和日常公用经费42.82万元；项目支出4325.70万元，主要为石家庄嘉盛新能源有限公司锅炉提升改造项目1500万元，无极县粮食和物资智慧储备库建设项目2000万元，农村取暖天然气价格补贴607.68万元</w:t>
      </w:r>
      <w:r>
        <w:rPr>
          <w:rFonts w:hint="eastAsia"/>
          <w:lang w:eastAsia="zh-CN"/>
        </w:rPr>
        <w:t>，农村煤改气终端销售价格补贴</w:t>
      </w:r>
      <w:r>
        <w:rPr>
          <w:rFonts w:hint="eastAsia"/>
          <w:lang w:val="en-US" w:eastAsia="zh-CN"/>
        </w:rPr>
        <w:t>218.02万元</w:t>
      </w:r>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4948.72万元，较2025年预算增加1194.67万元，其中：基本支出减少43.48万元，主要为年初预算项目调整，商品和服务支出减少33万元。项目支出增加1238.15万元，主要为石家庄嘉盛新能源有限公司锅炉提升改造项目1500万元，无极县粮食和物资智慧储备库建设项目2000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2026年，我部门机关运行经费共计安排42.82万元，主要用于日常维修、办公用房水电费、办公用房取暖费、办公用房物业管理费等日常运行支出。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p>
    <w:p>
      <w:pPr>
        <w:pStyle w:val="22"/>
      </w:pPr>
      <w:r>
        <w:t>组织实施全县重点项目和稽查。每个季度对全县重点项目举行集中开工仪式，组织全县对县重点项目进行观摩，做好协调和督导工作，加强重点建设协调管理，完成市下达的计划目标；价格认定费用及自收自支费用。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规划、计划及课题。对全县经济运行情况分析，加强工作调研，立足经济发展新常态，认真分析研究宏观政策，增强对宏观发展环境的研判，及时发现苗头性、倾向性问题，提出保持经济平稳较快增长的对策建议；粮食调查经费。确保夏秋粮收购政策落实到位，不出现“卖粮难”；落实国家供应政策，确保军需民用；落实粮食、食盐、食糖等储备政策，确保数量真实、质量良好、存储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（一）价格认定费用</w:t>
      </w:r>
    </w:p>
    <w:p>
      <w:pPr>
        <w:pStyle w:val="23"/>
      </w:pPr>
      <w:r>
        <w:t>绩效目标：推进国家价格政策落实，完善价格机制</w:t>
      </w:r>
    </w:p>
    <w:p>
      <w:pPr>
        <w:pStyle w:val="23"/>
      </w:pPr>
      <w:r>
        <w:t>绩效指标：国家、省市价格政策落实情况</w:t>
      </w:r>
    </w:p>
    <w:p>
      <w:pPr>
        <w:pStyle w:val="23"/>
      </w:pPr>
      <w:r>
        <w:t>（二）粮食调查监督检查经费</w:t>
      </w:r>
    </w:p>
    <w:p>
      <w:pPr>
        <w:pStyle w:val="23"/>
      </w:pPr>
      <w:r>
        <w:t>绩效目标：落实粮食、食盐、食糖等储备政策</w:t>
      </w:r>
    </w:p>
    <w:p>
      <w:pPr>
        <w:pStyle w:val="23"/>
      </w:pPr>
      <w:r>
        <w:t>绩效指标：储备计划落实率</w:t>
      </w:r>
    </w:p>
    <w:p>
      <w:pPr>
        <w:pStyle w:val="23"/>
      </w:pPr>
      <w:r>
        <w:t>（三）劳务派遣人员工资</w:t>
      </w:r>
    </w:p>
    <w:p>
      <w:pPr>
        <w:pStyle w:val="23"/>
      </w:pPr>
      <w:r>
        <w:t>绩效目标：完成日常工作</w:t>
      </w:r>
    </w:p>
    <w:p>
      <w:pPr>
        <w:pStyle w:val="23"/>
      </w:pPr>
      <w:r>
        <w:t>绩效指标：工资按时按量发放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1、2025-2026年采暖季农村煤改气用户天然气终端销售价格补贴绩效目标表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13013026P00008610015K</w:t>
            </w:r>
          </w:p>
        </w:tc>
        <w:tc>
          <w:tcPr>
            <w:tcW w:w="2835" w:type="dxa"/>
            <w:vAlign w:val="center"/>
          </w:tcPr>
          <w:p>
            <w:pPr>
              <w:pStyle w:val="11"/>
            </w:pPr>
            <w:r>
              <w:t>项目名称</w:t>
            </w:r>
          </w:p>
        </w:tc>
        <w:tc>
          <w:tcPr>
            <w:tcW w:w="6095" w:type="dxa"/>
            <w:gridSpan w:val="3"/>
            <w:vAlign w:val="center"/>
          </w:tcPr>
          <w:p>
            <w:pPr>
              <w:pStyle w:val="13"/>
            </w:pPr>
            <w:r>
              <w:t>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218.02</w:t>
            </w:r>
          </w:p>
        </w:tc>
        <w:tc>
          <w:tcPr>
            <w:tcW w:w="2835" w:type="dxa"/>
            <w:vAlign w:val="center"/>
          </w:tcPr>
          <w:p>
            <w:pPr>
              <w:pStyle w:val="11"/>
            </w:pPr>
            <w:r>
              <w:t>其中：财政    资金</w:t>
            </w:r>
          </w:p>
        </w:tc>
        <w:tc>
          <w:tcPr>
            <w:tcW w:w="2551" w:type="dxa"/>
            <w:vAlign w:val="center"/>
          </w:tcPr>
          <w:p>
            <w:pPr>
              <w:pStyle w:val="13"/>
            </w:pPr>
            <w:r>
              <w:t>218.02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1.2025-2026年采暖季农村煤改气用户天然气终端销售价格补贴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天然气供应量</w:t>
            </w:r>
          </w:p>
        </w:tc>
        <w:tc>
          <w:tcPr>
            <w:tcW w:w="5386" w:type="dxa"/>
            <w:vAlign w:val="center"/>
          </w:tcPr>
          <w:p>
            <w:pPr>
              <w:pStyle w:val="13"/>
            </w:pPr>
            <w:r>
              <w:t>天然气供应量</w:t>
            </w:r>
          </w:p>
        </w:tc>
        <w:tc>
          <w:tcPr>
            <w:tcW w:w="2268" w:type="dxa"/>
            <w:vAlign w:val="center"/>
          </w:tcPr>
          <w:p>
            <w:pPr>
              <w:pStyle w:val="13"/>
            </w:pPr>
            <w:r>
              <w:t>保障气源充足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保障居民取暖</w:t>
            </w:r>
          </w:p>
        </w:tc>
        <w:tc>
          <w:tcPr>
            <w:tcW w:w="5386" w:type="dxa"/>
            <w:vAlign w:val="center"/>
          </w:tcPr>
          <w:p>
            <w:pPr>
              <w:pStyle w:val="13"/>
            </w:pPr>
            <w:r>
              <w:t>保障居民正常取暖</w:t>
            </w:r>
          </w:p>
        </w:tc>
        <w:tc>
          <w:tcPr>
            <w:tcW w:w="2268" w:type="dxa"/>
            <w:vAlign w:val="center"/>
          </w:tcPr>
          <w:p>
            <w:pPr>
              <w:pStyle w:val="13"/>
            </w:pPr>
            <w:r>
              <w:t>燃气充足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取暖期内</w:t>
            </w:r>
          </w:p>
        </w:tc>
        <w:tc>
          <w:tcPr>
            <w:tcW w:w="5386" w:type="dxa"/>
            <w:vAlign w:val="center"/>
          </w:tcPr>
          <w:p>
            <w:pPr>
              <w:pStyle w:val="13"/>
            </w:pPr>
            <w:r>
              <w:t>取暖期内</w:t>
            </w:r>
          </w:p>
        </w:tc>
        <w:tc>
          <w:tcPr>
            <w:tcW w:w="2268" w:type="dxa"/>
            <w:vAlign w:val="center"/>
          </w:tcPr>
          <w:p>
            <w:pPr>
              <w:pStyle w:val="13"/>
            </w:pPr>
            <w:r>
              <w:t>冬季取暖期</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≤218.01万元</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降低企业运行成本</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提供优质取暖服务</w:t>
            </w:r>
          </w:p>
        </w:tc>
        <w:tc>
          <w:tcPr>
            <w:tcW w:w="2268" w:type="dxa"/>
            <w:vAlign w:val="center"/>
          </w:tcPr>
          <w:p>
            <w:pPr>
              <w:pStyle w:val="13"/>
            </w:pPr>
            <w:r>
              <w:t>保障居民取暖</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排放标准</w:t>
            </w:r>
          </w:p>
        </w:tc>
        <w:tc>
          <w:tcPr>
            <w:tcW w:w="5386" w:type="dxa"/>
            <w:vAlign w:val="center"/>
          </w:tcPr>
          <w:p>
            <w:pPr>
              <w:pStyle w:val="13"/>
            </w:pPr>
            <w:r>
              <w:t>减少大气物排放</w:t>
            </w:r>
          </w:p>
        </w:tc>
        <w:tc>
          <w:tcPr>
            <w:tcW w:w="2268" w:type="dxa"/>
            <w:vAlign w:val="center"/>
          </w:tcPr>
          <w:p>
            <w:pPr>
              <w:pStyle w:val="13"/>
            </w:pPr>
            <w:r>
              <w:t>减少大气污染排放</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冬季采暖季</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公众燃气价格的满意度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2、城燃企业气价倒挂补贴资金绩效目标表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13013026P00008910001A</w:t>
            </w:r>
          </w:p>
        </w:tc>
        <w:tc>
          <w:tcPr>
            <w:tcW w:w="2835" w:type="dxa"/>
            <w:vAlign w:val="center"/>
          </w:tcPr>
          <w:p>
            <w:pPr>
              <w:pStyle w:val="11"/>
            </w:pPr>
            <w:r>
              <w:t>项目名称</w:t>
            </w:r>
          </w:p>
        </w:tc>
        <w:tc>
          <w:tcPr>
            <w:tcW w:w="6095" w:type="dxa"/>
            <w:gridSpan w:val="3"/>
            <w:vAlign w:val="center"/>
          </w:tcPr>
          <w:p>
            <w:pPr>
              <w:pStyle w:val="13"/>
            </w:pPr>
            <w:r>
              <w:t>城燃企业气价倒挂补贴资金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2025-2026年采暖季城燃企业气价倒挂补贴。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1.2025-2026年采暖季城燃企业气价倒挂补贴。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天然气供应量</w:t>
            </w:r>
          </w:p>
        </w:tc>
        <w:tc>
          <w:tcPr>
            <w:tcW w:w="5386" w:type="dxa"/>
            <w:vAlign w:val="center"/>
          </w:tcPr>
          <w:p>
            <w:pPr>
              <w:pStyle w:val="13"/>
            </w:pPr>
            <w:r>
              <w:t>天然气供应量</w:t>
            </w:r>
          </w:p>
        </w:tc>
        <w:tc>
          <w:tcPr>
            <w:tcW w:w="2268" w:type="dxa"/>
            <w:vAlign w:val="center"/>
          </w:tcPr>
          <w:p>
            <w:pPr>
              <w:pStyle w:val="13"/>
            </w:pPr>
            <w:r>
              <w:t>保障气源充足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保障居民取暖</w:t>
            </w:r>
          </w:p>
        </w:tc>
        <w:tc>
          <w:tcPr>
            <w:tcW w:w="5386" w:type="dxa"/>
            <w:vAlign w:val="center"/>
          </w:tcPr>
          <w:p>
            <w:pPr>
              <w:pStyle w:val="13"/>
            </w:pPr>
            <w:r>
              <w:t>保障居民正常取暖</w:t>
            </w:r>
          </w:p>
        </w:tc>
        <w:tc>
          <w:tcPr>
            <w:tcW w:w="2268" w:type="dxa"/>
            <w:vAlign w:val="center"/>
          </w:tcPr>
          <w:p>
            <w:pPr>
              <w:pStyle w:val="13"/>
            </w:pPr>
            <w:r>
              <w:t>燃气充足</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取暖期内</w:t>
            </w:r>
          </w:p>
        </w:tc>
        <w:tc>
          <w:tcPr>
            <w:tcW w:w="5386" w:type="dxa"/>
            <w:vAlign w:val="center"/>
          </w:tcPr>
          <w:p>
            <w:pPr>
              <w:pStyle w:val="13"/>
            </w:pPr>
            <w:r>
              <w:t>取暖期内</w:t>
            </w:r>
          </w:p>
        </w:tc>
        <w:tc>
          <w:tcPr>
            <w:tcW w:w="2268" w:type="dxa"/>
            <w:vAlign w:val="center"/>
          </w:tcPr>
          <w:p>
            <w:pPr>
              <w:pStyle w:val="13"/>
            </w:pPr>
            <w:r>
              <w:t>冬季取暖期</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≤600万元</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降低企业运行成本</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提供优质取暖服务</w:t>
            </w:r>
          </w:p>
        </w:tc>
        <w:tc>
          <w:tcPr>
            <w:tcW w:w="2268" w:type="dxa"/>
            <w:vAlign w:val="center"/>
          </w:tcPr>
          <w:p>
            <w:pPr>
              <w:pStyle w:val="13"/>
            </w:pPr>
            <w:r>
              <w:t>保障居民取暖</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排放标准</w:t>
            </w:r>
          </w:p>
        </w:tc>
        <w:tc>
          <w:tcPr>
            <w:tcW w:w="5386" w:type="dxa"/>
            <w:vAlign w:val="center"/>
          </w:tcPr>
          <w:p>
            <w:pPr>
              <w:pStyle w:val="13"/>
            </w:pPr>
            <w:r>
              <w:t>减少大气物排放</w:t>
            </w:r>
          </w:p>
        </w:tc>
        <w:tc>
          <w:tcPr>
            <w:tcW w:w="2268" w:type="dxa"/>
            <w:vAlign w:val="center"/>
          </w:tcPr>
          <w:p>
            <w:pPr>
              <w:pStyle w:val="13"/>
            </w:pPr>
            <w:r>
              <w:t>减少大气污染排放</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冬季采暖季</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公众燃气价格的满意度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3、关于提前下达2026年农产品成本调查和价格监测补助资金预算的通知绩效目标表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13013026P00006410001F</w:t>
            </w:r>
          </w:p>
        </w:tc>
        <w:tc>
          <w:tcPr>
            <w:tcW w:w="2835" w:type="dxa"/>
            <w:vAlign w:val="center"/>
          </w:tcPr>
          <w:p>
            <w:pPr>
              <w:pStyle w:val="11"/>
            </w:pPr>
            <w:r>
              <w:t>项目名称</w:t>
            </w:r>
          </w:p>
        </w:tc>
        <w:tc>
          <w:tcPr>
            <w:tcW w:w="6095" w:type="dxa"/>
            <w:gridSpan w:val="3"/>
            <w:vAlign w:val="center"/>
          </w:tcPr>
          <w:p>
            <w:pPr>
              <w:pStyle w:val="13"/>
            </w:pPr>
            <w:r>
              <w:t>关于提前下达2026年农产品成本调查和价格监测补助资金预算的通知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7.68</w:t>
            </w:r>
          </w:p>
        </w:tc>
        <w:tc>
          <w:tcPr>
            <w:tcW w:w="2835" w:type="dxa"/>
            <w:vAlign w:val="center"/>
          </w:tcPr>
          <w:p>
            <w:pPr>
              <w:pStyle w:val="11"/>
            </w:pPr>
            <w:r>
              <w:t>其中：财政    资金</w:t>
            </w:r>
          </w:p>
        </w:tc>
        <w:tc>
          <w:tcPr>
            <w:tcW w:w="2551" w:type="dxa"/>
            <w:vAlign w:val="center"/>
          </w:tcPr>
          <w:p>
            <w:pPr>
              <w:pStyle w:val="13"/>
            </w:pPr>
            <w:r>
              <w:t>7.68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完成2026年度农产品成本调查。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1.农产品成本调查补助资金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调查点数量</w:t>
            </w:r>
          </w:p>
        </w:tc>
        <w:tc>
          <w:tcPr>
            <w:tcW w:w="5386" w:type="dxa"/>
            <w:vAlign w:val="center"/>
          </w:tcPr>
          <w:p>
            <w:pPr>
              <w:pStyle w:val="13"/>
            </w:pPr>
            <w:r>
              <w:t>调查点数量</w:t>
            </w:r>
          </w:p>
        </w:tc>
        <w:tc>
          <w:tcPr>
            <w:tcW w:w="2268" w:type="dxa"/>
            <w:vAlign w:val="center"/>
          </w:tcPr>
          <w:p>
            <w:pPr>
              <w:pStyle w:val="13"/>
            </w:pPr>
            <w:r>
              <w:t>30户</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完成全县农产品成本调查</w:t>
            </w:r>
          </w:p>
        </w:tc>
        <w:tc>
          <w:tcPr>
            <w:tcW w:w="5386" w:type="dxa"/>
            <w:vAlign w:val="center"/>
          </w:tcPr>
          <w:p>
            <w:pPr>
              <w:pStyle w:val="13"/>
            </w:pPr>
            <w:r>
              <w:t>完成全县农产品成本调查</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完成成本调查及时率</w:t>
            </w:r>
          </w:p>
        </w:tc>
        <w:tc>
          <w:tcPr>
            <w:tcW w:w="5386" w:type="dxa"/>
            <w:vAlign w:val="center"/>
          </w:tcPr>
          <w:p>
            <w:pPr>
              <w:pStyle w:val="13"/>
            </w:pPr>
            <w:r>
              <w:t>完成成本调查及时率</w:t>
            </w:r>
          </w:p>
        </w:tc>
        <w:tc>
          <w:tcPr>
            <w:tcW w:w="2268" w:type="dxa"/>
            <w:vAlign w:val="center"/>
          </w:tcPr>
          <w:p>
            <w:pPr>
              <w:pStyle w:val="13"/>
            </w:pPr>
            <w:r>
              <w:t>100%</w:t>
            </w:r>
          </w:p>
        </w:tc>
        <w:tc>
          <w:tcPr>
            <w:tcW w:w="1276" w:type="dxa"/>
            <w:vAlign w:val="center"/>
          </w:tcPr>
          <w:p>
            <w:pPr>
              <w:pStyle w:val="13"/>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7.68万元</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查看工作报告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一年</w:t>
            </w:r>
          </w:p>
        </w:tc>
        <w:tc>
          <w:tcPr>
            <w:tcW w:w="5386" w:type="dxa"/>
            <w:vAlign w:val="center"/>
          </w:tcPr>
          <w:p>
            <w:pPr>
              <w:pStyle w:val="13"/>
            </w:pPr>
            <w:r>
              <w:t>一年内价格成本</w:t>
            </w:r>
          </w:p>
        </w:tc>
        <w:tc>
          <w:tcPr>
            <w:tcW w:w="2268" w:type="dxa"/>
            <w:vAlign w:val="center"/>
          </w:tcPr>
          <w:p>
            <w:pPr>
              <w:pStyle w:val="13"/>
            </w:pPr>
            <w:r>
              <w:t>一年</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4、石家庄嘉盛新能源有限公司锅炉提升改造项目绩效目标表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13013025P00017610493J</w:t>
            </w:r>
          </w:p>
        </w:tc>
        <w:tc>
          <w:tcPr>
            <w:tcW w:w="2835" w:type="dxa"/>
            <w:vAlign w:val="center"/>
          </w:tcPr>
          <w:p>
            <w:pPr>
              <w:pStyle w:val="11"/>
            </w:pPr>
            <w:r>
              <w:t>项目名称</w:t>
            </w:r>
          </w:p>
        </w:tc>
        <w:tc>
          <w:tcPr>
            <w:tcW w:w="6095" w:type="dxa"/>
            <w:gridSpan w:val="3"/>
            <w:vAlign w:val="center"/>
          </w:tcPr>
          <w:p>
            <w:pPr>
              <w:pStyle w:val="13"/>
            </w:pPr>
            <w:r>
              <w:t>石家庄嘉盛新能源有限公司锅炉提升改造项目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w:t>
            </w:r>
          </w:p>
        </w:tc>
        <w:tc>
          <w:tcPr>
            <w:tcW w:w="2835" w:type="dxa"/>
            <w:vAlign w:val="center"/>
          </w:tcPr>
          <w:p>
            <w:pPr>
              <w:pStyle w:val="11"/>
            </w:pPr>
            <w:r>
              <w:t>其中：财政    资金</w:t>
            </w:r>
          </w:p>
        </w:tc>
        <w:tc>
          <w:tcPr>
            <w:tcW w:w="2551" w:type="dxa"/>
            <w:vAlign w:val="center"/>
          </w:tcPr>
          <w:p>
            <w:pPr>
              <w:pStyle w:val="13"/>
            </w:pPr>
            <w:r>
              <w:t>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石家庄嘉盛新能源有限公司锅炉提升改造项目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1.石家庄嘉盛新能源有限公司锅炉提升改造项目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支持项目数</w:t>
            </w:r>
          </w:p>
        </w:tc>
        <w:tc>
          <w:tcPr>
            <w:tcW w:w="5386" w:type="dxa"/>
            <w:vAlign w:val="center"/>
          </w:tcPr>
          <w:p>
            <w:pPr>
              <w:pStyle w:val="13"/>
            </w:pPr>
            <w:r>
              <w:t>支持企业数量</w:t>
            </w:r>
          </w:p>
        </w:tc>
        <w:tc>
          <w:tcPr>
            <w:tcW w:w="2268" w:type="dxa"/>
            <w:vAlign w:val="center"/>
          </w:tcPr>
          <w:p>
            <w:pPr>
              <w:pStyle w:val="13"/>
            </w:pPr>
            <w:r>
              <w:t>1家</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达到建设标准</w:t>
            </w:r>
          </w:p>
        </w:tc>
        <w:tc>
          <w:tcPr>
            <w:tcW w:w="5386" w:type="dxa"/>
            <w:vAlign w:val="center"/>
          </w:tcPr>
          <w:p>
            <w:pPr>
              <w:pStyle w:val="13"/>
            </w:pPr>
            <w:r>
              <w:t>达到项目建设标准</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2025年</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5000万</w:t>
            </w:r>
          </w:p>
        </w:tc>
        <w:tc>
          <w:tcPr>
            <w:tcW w:w="1276" w:type="dxa"/>
            <w:vAlign w:val="center"/>
          </w:tcPr>
          <w:p>
            <w:pPr>
              <w:pStyle w:val="13"/>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为企业节约经营成本金额</w:t>
            </w:r>
          </w:p>
        </w:tc>
        <w:tc>
          <w:tcPr>
            <w:tcW w:w="5386" w:type="dxa"/>
            <w:vAlign w:val="center"/>
          </w:tcPr>
          <w:p>
            <w:pPr>
              <w:pStyle w:val="13"/>
            </w:pPr>
            <w:r>
              <w:t>为企业节约经营成本金额</w:t>
            </w:r>
          </w:p>
        </w:tc>
        <w:tc>
          <w:tcPr>
            <w:tcW w:w="2268" w:type="dxa"/>
            <w:vAlign w:val="center"/>
          </w:tcPr>
          <w:p>
            <w:pPr>
              <w:pStyle w:val="13"/>
            </w:pPr>
            <w:r>
              <w:t>5000万</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促进地方经济发展</w:t>
            </w:r>
          </w:p>
        </w:tc>
        <w:tc>
          <w:tcPr>
            <w:tcW w:w="5386" w:type="dxa"/>
            <w:vAlign w:val="center"/>
          </w:tcPr>
          <w:p>
            <w:pPr>
              <w:pStyle w:val="13"/>
            </w:pPr>
            <w:r>
              <w:t>促进地方经济发展</w:t>
            </w:r>
          </w:p>
        </w:tc>
        <w:tc>
          <w:tcPr>
            <w:tcW w:w="2268" w:type="dxa"/>
            <w:vAlign w:val="center"/>
          </w:tcPr>
          <w:p>
            <w:pPr>
              <w:pStyle w:val="13"/>
            </w:pPr>
            <w:r>
              <w:t>促进了地方经济发展</w:t>
            </w:r>
          </w:p>
        </w:tc>
        <w:tc>
          <w:tcPr>
            <w:tcW w:w="1276" w:type="dxa"/>
            <w:vAlign w:val="center"/>
          </w:tcPr>
          <w:p>
            <w:pPr>
              <w:pStyle w:val="13"/>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影响期限</w:t>
            </w:r>
          </w:p>
        </w:tc>
        <w:tc>
          <w:tcPr>
            <w:tcW w:w="5386" w:type="dxa"/>
            <w:vAlign w:val="center"/>
          </w:tcPr>
          <w:p>
            <w:pPr>
              <w:pStyle w:val="13"/>
            </w:pPr>
            <w:r>
              <w:t>影响期限</w:t>
            </w:r>
          </w:p>
        </w:tc>
        <w:tc>
          <w:tcPr>
            <w:tcW w:w="2268" w:type="dxa"/>
            <w:vAlign w:val="center"/>
          </w:tcPr>
          <w:p>
            <w:pPr>
              <w:pStyle w:val="13"/>
            </w:pPr>
            <w:r>
              <w:t>≥10年</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w:t>
            </w:r>
          </w:p>
        </w:tc>
        <w:tc>
          <w:tcPr>
            <w:tcW w:w="1276" w:type="dxa"/>
            <w:vAlign w:val="center"/>
          </w:tcPr>
          <w:p>
            <w:pPr>
              <w:pStyle w:val="13"/>
            </w:pPr>
            <w:r>
              <w:t>资金使用满意度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5、无极县粮食和物资智慧储备库建设项目绩效目标表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13013023956KD2RVNDRDL</w:t>
            </w:r>
          </w:p>
        </w:tc>
        <w:tc>
          <w:tcPr>
            <w:tcW w:w="2835" w:type="dxa"/>
            <w:vAlign w:val="center"/>
          </w:tcPr>
          <w:p>
            <w:pPr>
              <w:pStyle w:val="11"/>
            </w:pPr>
            <w:r>
              <w:t>项目名称</w:t>
            </w:r>
          </w:p>
        </w:tc>
        <w:tc>
          <w:tcPr>
            <w:tcW w:w="6095" w:type="dxa"/>
            <w:gridSpan w:val="3"/>
            <w:vAlign w:val="center"/>
          </w:tcPr>
          <w:p>
            <w:pPr>
              <w:pStyle w:val="13"/>
            </w:pPr>
            <w:r>
              <w:t>无极县粮食和物资智慧储备库建设项目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拆除五个粮站的旧仓库，建设新仓库，对部分旧仓库进行改造。</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0.01</w:t>
            </w:r>
          </w:p>
        </w:tc>
        <w:tc>
          <w:tcPr>
            <w:tcW w:w="2835" w:type="dxa"/>
            <w:vAlign w:val="center"/>
          </w:tcPr>
          <w:p>
            <w:pPr>
              <w:pStyle w:val="14"/>
            </w:pPr>
            <w:r>
              <w:t>0.01</w:t>
            </w:r>
          </w:p>
        </w:tc>
        <w:tc>
          <w:tcPr>
            <w:tcW w:w="2551" w:type="dxa"/>
            <w:vAlign w:val="center"/>
          </w:tcPr>
          <w:p>
            <w:pPr>
              <w:pStyle w:val="14"/>
            </w:pPr>
            <w:r>
              <w:t>0.02</w:t>
            </w:r>
          </w:p>
        </w:tc>
        <w:tc>
          <w:tcPr>
            <w:tcW w:w="3544" w:type="dxa"/>
            <w:gridSpan w:val="2"/>
            <w:vAlign w:val="center"/>
          </w:tcPr>
          <w:p>
            <w:pPr>
              <w:pStyle w:val="14"/>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1.拆除五个粮站的旧仓库，建设新仓库，对部分旧仓库进行改造。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改建粮站数量</w:t>
            </w:r>
          </w:p>
        </w:tc>
        <w:tc>
          <w:tcPr>
            <w:tcW w:w="5386" w:type="dxa"/>
            <w:vAlign w:val="center"/>
          </w:tcPr>
          <w:p>
            <w:pPr>
              <w:pStyle w:val="13"/>
            </w:pPr>
            <w:r>
              <w:t>改建粮站数量</w:t>
            </w:r>
          </w:p>
        </w:tc>
        <w:tc>
          <w:tcPr>
            <w:tcW w:w="2268" w:type="dxa"/>
            <w:vAlign w:val="center"/>
          </w:tcPr>
          <w:p>
            <w:pPr>
              <w:pStyle w:val="13"/>
            </w:pPr>
            <w:r>
              <w:t>5个</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达到建设标准</w:t>
            </w:r>
          </w:p>
        </w:tc>
        <w:tc>
          <w:tcPr>
            <w:tcW w:w="5386" w:type="dxa"/>
            <w:vAlign w:val="center"/>
          </w:tcPr>
          <w:p>
            <w:pPr>
              <w:pStyle w:val="13"/>
            </w:pPr>
            <w:r>
              <w:t>达到设计标准</w:t>
            </w:r>
          </w:p>
        </w:tc>
        <w:tc>
          <w:tcPr>
            <w:tcW w:w="2268" w:type="dxa"/>
            <w:vAlign w:val="center"/>
          </w:tcPr>
          <w:p>
            <w:pPr>
              <w:pStyle w:val="13"/>
            </w:pPr>
            <w:r>
              <w:t>100%</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12个月</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≤2000万</w:t>
            </w:r>
          </w:p>
        </w:tc>
        <w:tc>
          <w:tcPr>
            <w:tcW w:w="1276" w:type="dxa"/>
            <w:vAlign w:val="center"/>
          </w:tcPr>
          <w:p>
            <w:pPr>
              <w:pStyle w:val="13"/>
            </w:pPr>
            <w:r>
              <w:t>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年营业收入</w:t>
            </w:r>
          </w:p>
        </w:tc>
        <w:tc>
          <w:tcPr>
            <w:tcW w:w="5386" w:type="dxa"/>
            <w:vAlign w:val="center"/>
          </w:tcPr>
          <w:p>
            <w:pPr>
              <w:pStyle w:val="13"/>
            </w:pPr>
            <w:r>
              <w:t>年营业收入</w:t>
            </w:r>
          </w:p>
        </w:tc>
        <w:tc>
          <w:tcPr>
            <w:tcW w:w="2268" w:type="dxa"/>
            <w:vAlign w:val="center"/>
          </w:tcPr>
          <w:p>
            <w:pPr>
              <w:pStyle w:val="13"/>
            </w:pPr>
            <w:r>
              <w:t>≥1040万</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增强了对粮食的宏观调控</w:t>
            </w:r>
          </w:p>
        </w:tc>
        <w:tc>
          <w:tcPr>
            <w:tcW w:w="5386" w:type="dxa"/>
            <w:vAlign w:val="center"/>
          </w:tcPr>
          <w:p>
            <w:pPr>
              <w:pStyle w:val="13"/>
            </w:pPr>
            <w:r>
              <w:t>增强了政府对粮食的宏观调控能力</w:t>
            </w:r>
          </w:p>
        </w:tc>
        <w:tc>
          <w:tcPr>
            <w:tcW w:w="2268" w:type="dxa"/>
            <w:vAlign w:val="center"/>
          </w:tcPr>
          <w:p>
            <w:pPr>
              <w:pStyle w:val="13"/>
            </w:pPr>
            <w:r>
              <w:t>增强了粮食储存能力</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≥50年</w:t>
            </w:r>
          </w:p>
        </w:tc>
        <w:tc>
          <w:tcPr>
            <w:tcW w:w="1276"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100%</w:t>
            </w:r>
          </w:p>
        </w:tc>
        <w:tc>
          <w:tcPr>
            <w:tcW w:w="1276" w:type="dxa"/>
            <w:vAlign w:val="center"/>
          </w:tcPr>
          <w:p>
            <w:pPr>
              <w:pStyle w:val="13"/>
            </w:pPr>
            <w:r>
              <w:t>实际调查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303无极县发展和改革局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无极县发展和改革局（含所属单位）上年末固定资产金额为1259.63万元（详见下表）。本年度拟购置固定资产总额为0.00万元，已按要求列入政府采购预算，详见政府采购预算表。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303无极县发展和改革局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11</w:t>
            </w:r>
          </w:p>
        </w:tc>
        <w:tc>
          <w:tcPr>
            <w:tcW w:w="2835" w:type="dxa"/>
            <w:vAlign w:val="center"/>
          </w:tcPr>
          <w:p>
            <w:pPr>
              <w:pStyle w:val="12"/>
            </w:pPr>
            <w:r>
              <w:t>456.45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1025</w:t>
            </w:r>
          </w:p>
        </w:tc>
        <w:tc>
          <w:tcPr>
            <w:tcW w:w="2835" w:type="dxa"/>
            <w:vAlign w:val="center"/>
          </w:tcPr>
          <w:p>
            <w:pPr>
              <w:pStyle w:val="12"/>
            </w:pPr>
            <w:r>
              <w:t>757.54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9F47C6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2026-02-02T14:55:00Z</dcterms:created>
  <dc:creator>Administrator</dc:creator>
  <cp:lastModifiedBy>Administrator</cp:lastModifiedBy>
  <dcterms:modified xsi:type="dcterms:W3CDTF">2026-02-27T07:02:53Z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FCB726C6541C4D4E8CCADEA1A28C4DF5</vt:lpwstr>
  </property>
</Properties>
</file>