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322无极县商务局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490.80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r>
              <w:t>469.95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490.80</w:t>
            </w:r>
          </w:p>
        </w:tc>
        <w:tc>
          <w:tcPr>
            <w:tcW w:w="4535" w:type="dxa"/>
            <w:vAlign w:val="center"/>
          </w:tcPr>
          <w:p>
            <w:pPr>
              <w:pStyle w:val="15"/>
            </w:pPr>
            <w:r>
              <w:t>本年支出合计</w:t>
            </w:r>
          </w:p>
        </w:tc>
        <w:tc>
          <w:tcPr>
            <w:tcW w:w="2126" w:type="dxa"/>
            <w:vAlign w:val="center"/>
          </w:tcPr>
          <w:p>
            <w:pPr>
              <w:pStyle w:val="16"/>
            </w:pPr>
            <w:r>
              <w:t>505.95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15.15</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505.95</w:t>
            </w:r>
          </w:p>
        </w:tc>
        <w:tc>
          <w:tcPr>
            <w:tcW w:w="4535" w:type="dxa"/>
            <w:vAlign w:val="center"/>
          </w:tcPr>
          <w:p>
            <w:pPr>
              <w:pStyle w:val="15"/>
            </w:pPr>
            <w:r>
              <w:t>支出总计</w:t>
            </w:r>
          </w:p>
        </w:tc>
        <w:tc>
          <w:tcPr>
            <w:tcW w:w="2126" w:type="dxa"/>
            <w:vAlign w:val="center"/>
          </w:tcPr>
          <w:p>
            <w:pPr>
              <w:pStyle w:val="16"/>
            </w:pPr>
            <w:r>
              <w:t>505.95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322无极县商务局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505.95</w:t>
            </w:r>
          </w:p>
        </w:tc>
        <w:tc>
          <w:tcPr>
            <w:tcW w:w="1134" w:type="dxa"/>
            <w:vAlign w:val="center"/>
          </w:tcPr>
          <w:p>
            <w:pPr>
              <w:pStyle w:val="16"/>
            </w:pPr>
            <w:r>
              <w:t>490.80</w:t>
            </w:r>
          </w:p>
        </w:tc>
        <w:tc>
          <w:tcPr>
            <w:tcW w:w="1134" w:type="dxa"/>
            <w:vAlign w:val="center"/>
          </w:tcPr>
          <w:p>
            <w:pPr>
              <w:pStyle w:val="16"/>
            </w:pPr>
            <w:r>
              <w:t>490.80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216</w:t>
            </w:r>
          </w:p>
        </w:tc>
        <w:tc>
          <w:tcPr>
            <w:tcW w:w="1559" w:type="dxa"/>
            <w:vAlign w:val="center"/>
          </w:tcPr>
          <w:p>
            <w:pPr>
              <w:pStyle w:val="13"/>
            </w:pPr>
            <w:r>
              <w:t>商业服务业等支出</w:t>
            </w:r>
          </w:p>
        </w:tc>
        <w:tc>
          <w:tcPr>
            <w:tcW w:w="1134" w:type="dxa"/>
            <w:vAlign w:val="center"/>
          </w:tcPr>
          <w:p>
            <w:pPr>
              <w:pStyle w:val="12"/>
            </w:pPr>
            <w:r>
              <w:t>469.95</w:t>
            </w:r>
          </w:p>
        </w:tc>
        <w:tc>
          <w:tcPr>
            <w:tcW w:w="1134" w:type="dxa"/>
            <w:vAlign w:val="center"/>
          </w:tcPr>
          <w:p>
            <w:pPr>
              <w:pStyle w:val="12"/>
            </w:pPr>
            <w:r>
              <w:t>454.80</w:t>
            </w:r>
          </w:p>
        </w:tc>
        <w:tc>
          <w:tcPr>
            <w:tcW w:w="1134" w:type="dxa"/>
            <w:vAlign w:val="center"/>
          </w:tcPr>
          <w:p>
            <w:pPr>
              <w:pStyle w:val="12"/>
            </w:pPr>
            <w:r>
              <w:t>454.80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21602</w:t>
            </w:r>
          </w:p>
        </w:tc>
        <w:tc>
          <w:tcPr>
            <w:tcW w:w="1559" w:type="dxa"/>
            <w:vAlign w:val="center"/>
          </w:tcPr>
          <w:p>
            <w:pPr>
              <w:pStyle w:val="13"/>
            </w:pPr>
            <w:r>
              <w:t>商业流通事务</w:t>
            </w:r>
          </w:p>
        </w:tc>
        <w:tc>
          <w:tcPr>
            <w:tcW w:w="1134" w:type="dxa"/>
            <w:vAlign w:val="center"/>
          </w:tcPr>
          <w:p>
            <w:pPr>
              <w:pStyle w:val="12"/>
            </w:pPr>
            <w:r>
              <w:t>454.80</w:t>
            </w:r>
          </w:p>
        </w:tc>
        <w:tc>
          <w:tcPr>
            <w:tcW w:w="1134" w:type="dxa"/>
            <w:vAlign w:val="center"/>
          </w:tcPr>
          <w:p>
            <w:pPr>
              <w:pStyle w:val="12"/>
            </w:pPr>
            <w:r>
              <w:t>454.80</w:t>
            </w:r>
          </w:p>
        </w:tc>
        <w:tc>
          <w:tcPr>
            <w:tcW w:w="1134" w:type="dxa"/>
            <w:vAlign w:val="center"/>
          </w:tcPr>
          <w:p>
            <w:pPr>
              <w:pStyle w:val="12"/>
            </w:pPr>
            <w:r>
              <w:t>454.80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2160201</w:t>
            </w:r>
          </w:p>
        </w:tc>
        <w:tc>
          <w:tcPr>
            <w:tcW w:w="1559" w:type="dxa"/>
            <w:vAlign w:val="center"/>
          </w:tcPr>
          <w:p>
            <w:pPr>
              <w:pStyle w:val="13"/>
            </w:pPr>
            <w:r>
              <w:t>行政运行</w:t>
            </w:r>
          </w:p>
        </w:tc>
        <w:tc>
          <w:tcPr>
            <w:tcW w:w="1134" w:type="dxa"/>
            <w:vAlign w:val="center"/>
          </w:tcPr>
          <w:p>
            <w:pPr>
              <w:pStyle w:val="12"/>
            </w:pPr>
            <w:r>
              <w:t>454.80</w:t>
            </w:r>
          </w:p>
        </w:tc>
        <w:tc>
          <w:tcPr>
            <w:tcW w:w="1134" w:type="dxa"/>
            <w:vAlign w:val="center"/>
          </w:tcPr>
          <w:p>
            <w:pPr>
              <w:pStyle w:val="12"/>
            </w:pPr>
            <w:r>
              <w:t>454.80</w:t>
            </w:r>
          </w:p>
        </w:tc>
        <w:tc>
          <w:tcPr>
            <w:tcW w:w="1134" w:type="dxa"/>
            <w:vAlign w:val="center"/>
          </w:tcPr>
          <w:p>
            <w:pPr>
              <w:pStyle w:val="12"/>
            </w:pPr>
            <w:r>
              <w:t>454.80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21606</w:t>
            </w:r>
          </w:p>
        </w:tc>
        <w:tc>
          <w:tcPr>
            <w:tcW w:w="1559" w:type="dxa"/>
            <w:vAlign w:val="center"/>
          </w:tcPr>
          <w:p>
            <w:pPr>
              <w:pStyle w:val="13"/>
            </w:pPr>
            <w:r>
              <w:t>涉外发展服务支出</w:t>
            </w:r>
          </w:p>
        </w:tc>
        <w:tc>
          <w:tcPr>
            <w:tcW w:w="1134" w:type="dxa"/>
            <w:vAlign w:val="center"/>
          </w:tcPr>
          <w:p>
            <w:pPr>
              <w:pStyle w:val="12"/>
            </w:pPr>
            <w:r>
              <w:t>15.15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2160699</w:t>
            </w:r>
          </w:p>
        </w:tc>
        <w:tc>
          <w:tcPr>
            <w:tcW w:w="1559" w:type="dxa"/>
            <w:vAlign w:val="center"/>
          </w:tcPr>
          <w:p>
            <w:pPr>
              <w:pStyle w:val="13"/>
            </w:pPr>
            <w:r>
              <w:t>其他涉外发展服务支出</w:t>
            </w:r>
          </w:p>
        </w:tc>
        <w:tc>
          <w:tcPr>
            <w:tcW w:w="1134" w:type="dxa"/>
            <w:vAlign w:val="center"/>
          </w:tcPr>
          <w:p>
            <w:pPr>
              <w:pStyle w:val="12"/>
            </w:pPr>
            <w:r>
              <w:t>15.15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15.15</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322无极县商务局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505.95</w:t>
            </w:r>
          </w:p>
        </w:tc>
        <w:tc>
          <w:tcPr>
            <w:tcW w:w="1361" w:type="dxa"/>
            <w:vAlign w:val="center"/>
          </w:tcPr>
          <w:p>
            <w:pPr>
              <w:pStyle w:val="16"/>
            </w:pPr>
            <w:r>
              <w:t>490.80</w:t>
            </w:r>
          </w:p>
        </w:tc>
        <w:tc>
          <w:tcPr>
            <w:tcW w:w="1361" w:type="dxa"/>
            <w:vAlign w:val="center"/>
          </w:tcPr>
          <w:p>
            <w:pPr>
              <w:pStyle w:val="16"/>
            </w:pPr>
            <w:r>
              <w:t>15.15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25.00</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25.00</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25.00</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11.00</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11.00</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11.00</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216</w:t>
            </w:r>
          </w:p>
        </w:tc>
        <w:tc>
          <w:tcPr>
            <w:tcW w:w="4535" w:type="dxa"/>
            <w:vAlign w:val="center"/>
          </w:tcPr>
          <w:p>
            <w:pPr>
              <w:pStyle w:val="13"/>
            </w:pPr>
            <w:r>
              <w:t>商业服务业等支出</w:t>
            </w:r>
          </w:p>
        </w:tc>
        <w:tc>
          <w:tcPr>
            <w:tcW w:w="1361" w:type="dxa"/>
            <w:vAlign w:val="center"/>
          </w:tcPr>
          <w:p>
            <w:pPr>
              <w:pStyle w:val="12"/>
            </w:pPr>
            <w:r>
              <w:t>469.95</w:t>
            </w:r>
          </w:p>
        </w:tc>
        <w:tc>
          <w:tcPr>
            <w:tcW w:w="1361" w:type="dxa"/>
            <w:vAlign w:val="center"/>
          </w:tcPr>
          <w:p>
            <w:pPr>
              <w:pStyle w:val="12"/>
            </w:pPr>
            <w:r>
              <w:t>454.80</w:t>
            </w:r>
          </w:p>
        </w:tc>
        <w:tc>
          <w:tcPr>
            <w:tcW w:w="1361" w:type="dxa"/>
            <w:vAlign w:val="center"/>
          </w:tcPr>
          <w:p>
            <w:pPr>
              <w:pStyle w:val="12"/>
            </w:pPr>
            <w:r>
              <w:t>15.15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9</w:t>
            </w:r>
          </w:p>
        </w:tc>
        <w:tc>
          <w:tcPr>
            <w:tcW w:w="992" w:type="dxa"/>
            <w:vAlign w:val="center"/>
          </w:tcPr>
          <w:p>
            <w:pPr>
              <w:pStyle w:val="13"/>
            </w:pPr>
            <w:r>
              <w:t>21602</w:t>
            </w:r>
          </w:p>
        </w:tc>
        <w:tc>
          <w:tcPr>
            <w:tcW w:w="4535" w:type="dxa"/>
            <w:vAlign w:val="center"/>
          </w:tcPr>
          <w:p>
            <w:pPr>
              <w:pStyle w:val="13"/>
            </w:pPr>
            <w:r>
              <w:t>商业流通事务</w:t>
            </w:r>
          </w:p>
        </w:tc>
        <w:tc>
          <w:tcPr>
            <w:tcW w:w="1361" w:type="dxa"/>
            <w:vAlign w:val="center"/>
          </w:tcPr>
          <w:p>
            <w:pPr>
              <w:pStyle w:val="12"/>
            </w:pPr>
            <w:r>
              <w:t>454.80</w:t>
            </w:r>
          </w:p>
        </w:tc>
        <w:tc>
          <w:tcPr>
            <w:tcW w:w="1361" w:type="dxa"/>
            <w:vAlign w:val="center"/>
          </w:tcPr>
          <w:p>
            <w:pPr>
              <w:pStyle w:val="12"/>
            </w:pPr>
            <w:r>
              <w:t>454.80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2160201</w:t>
            </w:r>
          </w:p>
        </w:tc>
        <w:tc>
          <w:tcPr>
            <w:tcW w:w="4535" w:type="dxa"/>
            <w:vAlign w:val="center"/>
          </w:tcPr>
          <w:p>
            <w:pPr>
              <w:pStyle w:val="13"/>
            </w:pPr>
            <w:r>
              <w:t>行政运行</w:t>
            </w:r>
          </w:p>
        </w:tc>
        <w:tc>
          <w:tcPr>
            <w:tcW w:w="1361" w:type="dxa"/>
            <w:vAlign w:val="center"/>
          </w:tcPr>
          <w:p>
            <w:pPr>
              <w:pStyle w:val="12"/>
            </w:pPr>
            <w:r>
              <w:t>454.80</w:t>
            </w:r>
          </w:p>
        </w:tc>
        <w:tc>
          <w:tcPr>
            <w:tcW w:w="1361" w:type="dxa"/>
            <w:vAlign w:val="center"/>
          </w:tcPr>
          <w:p>
            <w:pPr>
              <w:pStyle w:val="12"/>
            </w:pPr>
            <w:r>
              <w:t>454.80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21606</w:t>
            </w:r>
          </w:p>
        </w:tc>
        <w:tc>
          <w:tcPr>
            <w:tcW w:w="4535" w:type="dxa"/>
            <w:vAlign w:val="center"/>
          </w:tcPr>
          <w:p>
            <w:pPr>
              <w:pStyle w:val="13"/>
            </w:pPr>
            <w:r>
              <w:t>涉外发展服务支出</w:t>
            </w:r>
          </w:p>
        </w:tc>
        <w:tc>
          <w:tcPr>
            <w:tcW w:w="1361" w:type="dxa"/>
            <w:vAlign w:val="center"/>
          </w:tcPr>
          <w:p>
            <w:pPr>
              <w:pStyle w:val="12"/>
            </w:pPr>
            <w:r>
              <w:t>15.15</w:t>
            </w:r>
          </w:p>
        </w:tc>
        <w:tc>
          <w:tcPr>
            <w:tcW w:w="1361" w:type="dxa"/>
            <w:vAlign w:val="center"/>
          </w:tcPr>
          <w:p>
            <w:pPr>
              <w:pStyle w:val="12"/>
            </w:pPr>
          </w:p>
        </w:tc>
        <w:tc>
          <w:tcPr>
            <w:tcW w:w="1361" w:type="dxa"/>
            <w:vAlign w:val="center"/>
          </w:tcPr>
          <w:p>
            <w:pPr>
              <w:pStyle w:val="12"/>
            </w:pPr>
            <w:r>
              <w:t>15.15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2160699</w:t>
            </w:r>
          </w:p>
        </w:tc>
        <w:tc>
          <w:tcPr>
            <w:tcW w:w="4535" w:type="dxa"/>
            <w:vAlign w:val="center"/>
          </w:tcPr>
          <w:p>
            <w:pPr>
              <w:pStyle w:val="13"/>
            </w:pPr>
            <w:r>
              <w:t>其他涉外发展服务支出</w:t>
            </w:r>
          </w:p>
        </w:tc>
        <w:tc>
          <w:tcPr>
            <w:tcW w:w="1361" w:type="dxa"/>
            <w:vAlign w:val="center"/>
          </w:tcPr>
          <w:p>
            <w:pPr>
              <w:pStyle w:val="12"/>
            </w:pPr>
            <w:r>
              <w:t>15.15</w:t>
            </w:r>
          </w:p>
        </w:tc>
        <w:tc>
          <w:tcPr>
            <w:tcW w:w="1361" w:type="dxa"/>
            <w:vAlign w:val="center"/>
          </w:tcPr>
          <w:p>
            <w:pPr>
              <w:pStyle w:val="12"/>
            </w:pPr>
          </w:p>
        </w:tc>
        <w:tc>
          <w:tcPr>
            <w:tcW w:w="1361" w:type="dxa"/>
            <w:vAlign w:val="center"/>
          </w:tcPr>
          <w:p>
            <w:pPr>
              <w:pStyle w:val="12"/>
            </w:pPr>
            <w:r>
              <w:t>15.15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322无极县商务局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490.80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25.00</w:t>
            </w:r>
          </w:p>
        </w:tc>
        <w:tc>
          <w:tcPr>
            <w:tcW w:w="1474" w:type="dxa"/>
            <w:vAlign w:val="center"/>
          </w:tcPr>
          <w:p>
            <w:pPr>
              <w:pStyle w:val="12"/>
            </w:pPr>
            <w:r>
              <w:t>25.00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11.00</w:t>
            </w:r>
          </w:p>
        </w:tc>
        <w:tc>
          <w:tcPr>
            <w:tcW w:w="1474" w:type="dxa"/>
            <w:vAlign w:val="center"/>
          </w:tcPr>
          <w:p>
            <w:pPr>
              <w:pStyle w:val="12"/>
            </w:pPr>
            <w:r>
              <w:t>11.00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r>
              <w:t>469.95</w:t>
            </w:r>
          </w:p>
        </w:tc>
        <w:tc>
          <w:tcPr>
            <w:tcW w:w="1474" w:type="dxa"/>
            <w:vAlign w:val="center"/>
          </w:tcPr>
          <w:p>
            <w:pPr>
              <w:pStyle w:val="12"/>
            </w:pPr>
            <w:r>
              <w:t>469.95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490.80</w:t>
            </w:r>
          </w:p>
        </w:tc>
        <w:tc>
          <w:tcPr>
            <w:tcW w:w="3402" w:type="dxa"/>
            <w:vAlign w:val="center"/>
          </w:tcPr>
          <w:p>
            <w:pPr>
              <w:pStyle w:val="15"/>
            </w:pPr>
            <w:r>
              <w:t>本年支出合计</w:t>
            </w:r>
          </w:p>
        </w:tc>
        <w:tc>
          <w:tcPr>
            <w:tcW w:w="1474" w:type="dxa"/>
            <w:vAlign w:val="center"/>
          </w:tcPr>
          <w:p>
            <w:pPr>
              <w:pStyle w:val="16"/>
            </w:pPr>
            <w:r>
              <w:t>505.95</w:t>
            </w:r>
          </w:p>
        </w:tc>
        <w:tc>
          <w:tcPr>
            <w:tcW w:w="1474" w:type="dxa"/>
            <w:vAlign w:val="center"/>
          </w:tcPr>
          <w:p>
            <w:pPr>
              <w:pStyle w:val="16"/>
            </w:pPr>
            <w:r>
              <w:t>505.95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15.15</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15.15</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505.95</w:t>
            </w:r>
          </w:p>
        </w:tc>
        <w:tc>
          <w:tcPr>
            <w:tcW w:w="3402" w:type="dxa"/>
            <w:vAlign w:val="center"/>
          </w:tcPr>
          <w:p>
            <w:pPr>
              <w:pStyle w:val="15"/>
            </w:pPr>
            <w:r>
              <w:t>支出总计</w:t>
            </w:r>
          </w:p>
        </w:tc>
        <w:tc>
          <w:tcPr>
            <w:tcW w:w="1474" w:type="dxa"/>
            <w:vAlign w:val="center"/>
          </w:tcPr>
          <w:p>
            <w:pPr>
              <w:pStyle w:val="16"/>
            </w:pPr>
            <w:r>
              <w:t>505.95</w:t>
            </w:r>
          </w:p>
        </w:tc>
        <w:tc>
          <w:tcPr>
            <w:tcW w:w="1474" w:type="dxa"/>
            <w:vAlign w:val="center"/>
          </w:tcPr>
          <w:p>
            <w:pPr>
              <w:pStyle w:val="16"/>
            </w:pPr>
            <w:r>
              <w:t>505.95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322无极县商务局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505.95</w:t>
            </w:r>
          </w:p>
        </w:tc>
        <w:tc>
          <w:tcPr>
            <w:tcW w:w="2551" w:type="dxa"/>
            <w:vAlign w:val="center"/>
          </w:tcPr>
          <w:p>
            <w:pPr>
              <w:pStyle w:val="16"/>
            </w:pPr>
            <w:r>
              <w:t>490.80</w:t>
            </w:r>
          </w:p>
        </w:tc>
        <w:tc>
          <w:tcPr>
            <w:tcW w:w="2551" w:type="dxa"/>
            <w:vAlign w:val="center"/>
          </w:tcPr>
          <w:p>
            <w:pPr>
              <w:pStyle w:val="16"/>
            </w:pPr>
            <w:r>
              <w:t>15.15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11.00</w:t>
            </w:r>
          </w:p>
        </w:tc>
        <w:tc>
          <w:tcPr>
            <w:tcW w:w="2551" w:type="dxa"/>
            <w:vAlign w:val="center"/>
          </w:tcPr>
          <w:p>
            <w:pPr>
              <w:pStyle w:val="12"/>
            </w:pPr>
            <w:r>
              <w:t>11.00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11.00</w:t>
            </w:r>
          </w:p>
        </w:tc>
        <w:tc>
          <w:tcPr>
            <w:tcW w:w="2551" w:type="dxa"/>
            <w:vAlign w:val="center"/>
          </w:tcPr>
          <w:p>
            <w:pPr>
              <w:pStyle w:val="12"/>
            </w:pPr>
            <w:r>
              <w:t>11.00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11.00</w:t>
            </w:r>
          </w:p>
        </w:tc>
        <w:tc>
          <w:tcPr>
            <w:tcW w:w="2551" w:type="dxa"/>
            <w:vAlign w:val="center"/>
          </w:tcPr>
          <w:p>
            <w:pPr>
              <w:pStyle w:val="12"/>
            </w:pPr>
            <w:r>
              <w:t>11.00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216</w:t>
            </w:r>
          </w:p>
        </w:tc>
        <w:tc>
          <w:tcPr>
            <w:tcW w:w="4535" w:type="dxa"/>
            <w:vAlign w:val="center"/>
          </w:tcPr>
          <w:p>
            <w:pPr>
              <w:pStyle w:val="13"/>
            </w:pPr>
            <w:r>
              <w:t>商业服务业等支出</w:t>
            </w:r>
          </w:p>
        </w:tc>
        <w:tc>
          <w:tcPr>
            <w:tcW w:w="2551" w:type="dxa"/>
            <w:vAlign w:val="center"/>
          </w:tcPr>
          <w:p>
            <w:pPr>
              <w:pStyle w:val="12"/>
            </w:pPr>
            <w:r>
              <w:t>469.95</w:t>
            </w:r>
          </w:p>
        </w:tc>
        <w:tc>
          <w:tcPr>
            <w:tcW w:w="2551" w:type="dxa"/>
            <w:vAlign w:val="center"/>
          </w:tcPr>
          <w:p>
            <w:pPr>
              <w:pStyle w:val="12"/>
            </w:pPr>
            <w:r>
              <w:t>454.80</w:t>
            </w:r>
          </w:p>
        </w:tc>
        <w:tc>
          <w:tcPr>
            <w:tcW w:w="2551" w:type="dxa"/>
            <w:vAlign w:val="center"/>
          </w:tcPr>
          <w:p>
            <w:pPr>
              <w:pStyle w:val="12"/>
            </w:pPr>
            <w:r>
              <w:t>15.15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21602</w:t>
            </w:r>
          </w:p>
        </w:tc>
        <w:tc>
          <w:tcPr>
            <w:tcW w:w="4535" w:type="dxa"/>
            <w:vAlign w:val="center"/>
          </w:tcPr>
          <w:p>
            <w:pPr>
              <w:pStyle w:val="13"/>
            </w:pPr>
            <w:r>
              <w:t>商业流通事务</w:t>
            </w:r>
          </w:p>
        </w:tc>
        <w:tc>
          <w:tcPr>
            <w:tcW w:w="2551" w:type="dxa"/>
            <w:vAlign w:val="center"/>
          </w:tcPr>
          <w:p>
            <w:pPr>
              <w:pStyle w:val="12"/>
            </w:pPr>
            <w:r>
              <w:t>454.80</w:t>
            </w:r>
          </w:p>
        </w:tc>
        <w:tc>
          <w:tcPr>
            <w:tcW w:w="2551" w:type="dxa"/>
            <w:vAlign w:val="center"/>
          </w:tcPr>
          <w:p>
            <w:pPr>
              <w:pStyle w:val="12"/>
            </w:pPr>
            <w:r>
              <w:t>454.80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2160201</w:t>
            </w:r>
          </w:p>
        </w:tc>
        <w:tc>
          <w:tcPr>
            <w:tcW w:w="4535" w:type="dxa"/>
            <w:vAlign w:val="center"/>
          </w:tcPr>
          <w:p>
            <w:pPr>
              <w:pStyle w:val="13"/>
            </w:pPr>
            <w:r>
              <w:t>行政运行</w:t>
            </w:r>
          </w:p>
        </w:tc>
        <w:tc>
          <w:tcPr>
            <w:tcW w:w="2551" w:type="dxa"/>
            <w:vAlign w:val="center"/>
          </w:tcPr>
          <w:p>
            <w:pPr>
              <w:pStyle w:val="12"/>
            </w:pPr>
            <w:r>
              <w:t>454.80</w:t>
            </w:r>
          </w:p>
        </w:tc>
        <w:tc>
          <w:tcPr>
            <w:tcW w:w="2551" w:type="dxa"/>
            <w:vAlign w:val="center"/>
          </w:tcPr>
          <w:p>
            <w:pPr>
              <w:pStyle w:val="12"/>
            </w:pPr>
            <w:r>
              <w:t>454.80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21606</w:t>
            </w:r>
          </w:p>
        </w:tc>
        <w:tc>
          <w:tcPr>
            <w:tcW w:w="4535" w:type="dxa"/>
            <w:vAlign w:val="center"/>
          </w:tcPr>
          <w:p>
            <w:pPr>
              <w:pStyle w:val="13"/>
            </w:pPr>
            <w:r>
              <w:t>涉外发展服务支出</w:t>
            </w:r>
          </w:p>
        </w:tc>
        <w:tc>
          <w:tcPr>
            <w:tcW w:w="2551" w:type="dxa"/>
            <w:vAlign w:val="center"/>
          </w:tcPr>
          <w:p>
            <w:pPr>
              <w:pStyle w:val="12"/>
            </w:pPr>
            <w:r>
              <w:t>15.15</w:t>
            </w:r>
          </w:p>
        </w:tc>
        <w:tc>
          <w:tcPr>
            <w:tcW w:w="2551" w:type="dxa"/>
            <w:vAlign w:val="center"/>
          </w:tcPr>
          <w:p>
            <w:pPr>
              <w:pStyle w:val="12"/>
            </w:pPr>
          </w:p>
        </w:tc>
        <w:tc>
          <w:tcPr>
            <w:tcW w:w="2551" w:type="dxa"/>
            <w:vAlign w:val="center"/>
          </w:tcPr>
          <w:p>
            <w:pPr>
              <w:pStyle w:val="12"/>
            </w:pPr>
            <w:r>
              <w:t>15.15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2160699</w:t>
            </w:r>
          </w:p>
        </w:tc>
        <w:tc>
          <w:tcPr>
            <w:tcW w:w="4535" w:type="dxa"/>
            <w:vAlign w:val="center"/>
          </w:tcPr>
          <w:p>
            <w:pPr>
              <w:pStyle w:val="13"/>
            </w:pPr>
            <w:r>
              <w:t>其他涉外发展服务支出</w:t>
            </w:r>
          </w:p>
        </w:tc>
        <w:tc>
          <w:tcPr>
            <w:tcW w:w="2551" w:type="dxa"/>
            <w:vAlign w:val="center"/>
          </w:tcPr>
          <w:p>
            <w:pPr>
              <w:pStyle w:val="12"/>
            </w:pPr>
            <w:r>
              <w:t>15.15</w:t>
            </w:r>
          </w:p>
        </w:tc>
        <w:tc>
          <w:tcPr>
            <w:tcW w:w="2551" w:type="dxa"/>
            <w:vAlign w:val="center"/>
          </w:tcPr>
          <w:p>
            <w:pPr>
              <w:pStyle w:val="12"/>
            </w:pPr>
          </w:p>
        </w:tc>
        <w:tc>
          <w:tcPr>
            <w:tcW w:w="2551" w:type="dxa"/>
            <w:vAlign w:val="center"/>
          </w:tcPr>
          <w:p>
            <w:pPr>
              <w:pStyle w:val="12"/>
            </w:pPr>
            <w:r>
              <w:t>15.15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322无极县商务局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490.80</w:t>
            </w:r>
          </w:p>
        </w:tc>
        <w:tc>
          <w:tcPr>
            <w:tcW w:w="2551" w:type="dxa"/>
            <w:vAlign w:val="center"/>
          </w:tcPr>
          <w:p>
            <w:pPr>
              <w:pStyle w:val="16"/>
            </w:pPr>
            <w:r>
              <w:t>466.80</w:t>
            </w:r>
          </w:p>
        </w:tc>
        <w:tc>
          <w:tcPr>
            <w:tcW w:w="2551" w:type="dxa"/>
            <w:vAlign w:val="center"/>
          </w:tcPr>
          <w:p>
            <w:pPr>
              <w:pStyle w:val="16"/>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348.20</w:t>
            </w:r>
          </w:p>
        </w:tc>
        <w:tc>
          <w:tcPr>
            <w:tcW w:w="2551" w:type="dxa"/>
            <w:vAlign w:val="center"/>
          </w:tcPr>
          <w:p>
            <w:pPr>
              <w:pStyle w:val="12"/>
            </w:pPr>
            <w:r>
              <w:t>348.20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232.00</w:t>
            </w:r>
          </w:p>
        </w:tc>
        <w:tc>
          <w:tcPr>
            <w:tcW w:w="2551" w:type="dxa"/>
            <w:vAlign w:val="center"/>
          </w:tcPr>
          <w:p>
            <w:pPr>
              <w:pStyle w:val="12"/>
            </w:pPr>
            <w:r>
              <w:t>232.00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24.20</w:t>
            </w:r>
          </w:p>
        </w:tc>
        <w:tc>
          <w:tcPr>
            <w:tcW w:w="2551" w:type="dxa"/>
            <w:vAlign w:val="center"/>
          </w:tcPr>
          <w:p>
            <w:pPr>
              <w:pStyle w:val="12"/>
            </w:pPr>
            <w:r>
              <w:t>24.20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17.40</w:t>
            </w:r>
          </w:p>
        </w:tc>
        <w:tc>
          <w:tcPr>
            <w:tcW w:w="2551" w:type="dxa"/>
            <w:vAlign w:val="center"/>
          </w:tcPr>
          <w:p>
            <w:pPr>
              <w:pStyle w:val="12"/>
            </w:pPr>
            <w:r>
              <w:t>17.40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37.30</w:t>
            </w:r>
          </w:p>
        </w:tc>
        <w:tc>
          <w:tcPr>
            <w:tcW w:w="2551" w:type="dxa"/>
            <w:vAlign w:val="center"/>
          </w:tcPr>
          <w:p>
            <w:pPr>
              <w:pStyle w:val="12"/>
            </w:pPr>
            <w:r>
              <w:t>37.30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11.00</w:t>
            </w:r>
          </w:p>
        </w:tc>
        <w:tc>
          <w:tcPr>
            <w:tcW w:w="2551" w:type="dxa"/>
            <w:vAlign w:val="center"/>
          </w:tcPr>
          <w:p>
            <w:pPr>
              <w:pStyle w:val="12"/>
            </w:pPr>
            <w:r>
              <w:t>11.00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1.30</w:t>
            </w:r>
          </w:p>
        </w:tc>
        <w:tc>
          <w:tcPr>
            <w:tcW w:w="2551" w:type="dxa"/>
            <w:vAlign w:val="center"/>
          </w:tcPr>
          <w:p>
            <w:pPr>
              <w:pStyle w:val="12"/>
            </w:pPr>
            <w:r>
              <w:t>1.30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24.00</w:t>
            </w:r>
          </w:p>
        </w:tc>
        <w:tc>
          <w:tcPr>
            <w:tcW w:w="2551" w:type="dxa"/>
            <w:vAlign w:val="center"/>
          </w:tcPr>
          <w:p>
            <w:pPr>
              <w:pStyle w:val="12"/>
            </w:pPr>
          </w:p>
        </w:tc>
        <w:tc>
          <w:tcPr>
            <w:tcW w:w="2551" w:type="dxa"/>
            <w:vAlign w:val="center"/>
          </w:tcPr>
          <w:p>
            <w:pPr>
              <w:pStyle w:val="12"/>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118.60</w:t>
            </w:r>
          </w:p>
        </w:tc>
        <w:tc>
          <w:tcPr>
            <w:tcW w:w="2551" w:type="dxa"/>
            <w:vAlign w:val="center"/>
          </w:tcPr>
          <w:p>
            <w:pPr>
              <w:pStyle w:val="12"/>
            </w:pPr>
            <w:r>
              <w:t>118.60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17.50</w:t>
            </w:r>
          </w:p>
        </w:tc>
        <w:tc>
          <w:tcPr>
            <w:tcW w:w="2551" w:type="dxa"/>
            <w:vAlign w:val="center"/>
          </w:tcPr>
          <w:p>
            <w:pPr>
              <w:pStyle w:val="12"/>
            </w:pPr>
            <w:r>
              <w:t>17.50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101.10</w:t>
            </w:r>
          </w:p>
        </w:tc>
        <w:tc>
          <w:tcPr>
            <w:tcW w:w="2551" w:type="dxa"/>
            <w:vAlign w:val="center"/>
          </w:tcPr>
          <w:p>
            <w:pPr>
              <w:pStyle w:val="12"/>
            </w:pPr>
            <w:r>
              <w:t>101.10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322无极县商务局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322无极县商务局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322无极县商务局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无极县商务局2026年部门预算信息公开情况说明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无极县商务局2026年部门预算信息公开情况说明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按照《中华人民共和国预算法》、《地方预决算公开操作规程》和《关于进一步推进预算公开工作的实施意见》规定，现将无极县商务局2026年部门预算公开如下：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 xml:space="preserve">（一）贯彻落实国家有关国内外贸易、国际经济合作的发展战略、方针、政策和法规。拟定全县商务发展规划、政策措施和年度计划并组织实施，研究区域经济合作、现代流通方式的发展趋势并提出建议。        </w:t>
      </w:r>
    </w:p>
    <w:p>
      <w:pPr>
        <w:pStyle w:val="18"/>
      </w:pPr>
      <w:r>
        <w:t>（二）拟定全县国内贸易发展规则。促进城乡市场发展，提出引导国内外资金投向市场体系建设的政策建议；负责大宗产品批发市场建设和城市商业网点规划、商业体系建设工作；推进农村市场体系建设，组织实施农村现代流通网络工程。</w:t>
      </w:r>
    </w:p>
    <w:p>
      <w:pPr>
        <w:pStyle w:val="18"/>
      </w:pPr>
      <w:r>
        <w:t>（三）提出流通体制改革建议。负责推进流通产业结构调整，培育商贸流通主体，推动流通企业改革、商贸服务业和社区商业发展，提出促进商贸中小企业发展的建议，推动流通标准化和连锁经营、商业特许经营、商贸物流配送、电子商务等现代化流通方式的发展，负责全县流通领域信息网络和电子商务建设。</w:t>
      </w:r>
    </w:p>
    <w:p>
      <w:pPr>
        <w:pStyle w:val="18"/>
      </w:pPr>
      <w:r>
        <w:t>（四）牵头推动商务领域诚信体系建设，建立商务诚信公共服务平台。规范商贸企业交易行为，按照有关规定对拍卖等特殊流通行业进行监督管理，按照有关规定对成品油经营等进行监督管理；指导督促商贸流通行业安全生产：牵头推动重要产品追溯体系建设，对酒类流通发展进行指导。</w:t>
      </w:r>
    </w:p>
    <w:p>
      <w:pPr>
        <w:pStyle w:val="18"/>
      </w:pPr>
      <w:r>
        <w:t>（五）组织实施重要消费品市场调控。负责建立健全生活必须凭市场供应应急管理机制，监测分析市场运行、商品供求状况，调查分析商品价格信息，进行预测预警和信息指导；按分工负责重要消费品储备管理和市场调控工作。</w:t>
      </w:r>
    </w:p>
    <w:p>
      <w:pPr>
        <w:pStyle w:val="18"/>
      </w:pPr>
      <w:r>
        <w:t>（六）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pPr>
        <w:pStyle w:val="18"/>
      </w:pPr>
      <w:r>
        <w:t>（七）贯彻执行国家对外技术贸易、进出口管制以及鼓励技术和成套设备进出口的贸易政策。拟订和推进全县科技兴贸战略，依法监督技术引进、设备进口、国家限制出口技术。</w:t>
      </w:r>
    </w:p>
    <w:p>
      <w:pPr>
        <w:pStyle w:val="18"/>
      </w:pPr>
      <w:r>
        <w:t>（八）会同有关部门贯彻执行国家促进服务出口和服务外包发展的规划、政策，牵头拟订全县服务贸易发展规划并组织实施。</w:t>
      </w:r>
    </w:p>
    <w:p>
      <w:pPr>
        <w:pStyle w:val="18"/>
      </w:pPr>
      <w:r>
        <w:t>（九）负责全县对外投资和经济合作工作。拟订并执行对外经济合作政策，依法管理和监督对外投资、对外承包工程等，负责外派劳务和境外就业人员的权益保护工作；拟订全县对外投资管理办法，指导境外经贸园区有关工作，负责对外援助有关工作，负责对外投资和经济合作促进工作：</w:t>
      </w:r>
    </w:p>
    <w:p>
      <w:pPr>
        <w:pStyle w:val="18"/>
      </w:pPr>
      <w:r>
        <w:t>（十）负责与全县物流企业的沟通与协调；为口岸各检验单位提供服务和帮助；对出入境交通工具、货物进行协调服务；协调处理本县进出口在通关过程中遇到的问题；为检验检疫和报关、通关、清关等工作提供帮助和服务。</w:t>
      </w:r>
    </w:p>
    <w:p>
      <w:pPr>
        <w:pStyle w:val="18"/>
      </w:pPr>
      <w:r>
        <w:t>（十一）配合上级部门调查国（境）外对我国出口商品实施的歧视性贸易政策、法律法规及做法。组织协调反倾销、反补贴和保障措施等贸易救济调查以及进出口公平贸易相关工作，指导协调出口产品贸易摩擦应对和进口贸易救济申诉工作，跟踪调查反倾销、反补贴和保障措施等贸易救济措施对全县产业的影响，建立产业安全预警机制。</w:t>
      </w:r>
    </w:p>
    <w:p>
      <w:pPr>
        <w:pStyle w:val="18"/>
      </w:pPr>
      <w:r>
        <w:t>（十二）负责上级交办的涉及世贸组织相关工作。贯彻执行上级制定的对自由贸易区国家和地区的经贸规划、政策并组织实施。</w:t>
      </w:r>
    </w:p>
    <w:p>
      <w:pPr>
        <w:pStyle w:val="18"/>
      </w:pPr>
      <w:r>
        <w:t>（十三）负责会展业促进和管理工作，拟订会展发展规划、政策措施并组织实施，组织指导境内技术展览会和赴境外非商业性办展活动。</w:t>
      </w:r>
    </w:p>
    <w:p>
      <w:pPr>
        <w:pStyle w:val="18"/>
      </w:pPr>
      <w:r>
        <w:t>（十四）负责经贸交流合作工作。建立联系国内友好关系城市、负责县外单位在我县设立办事机构的备案工作。</w:t>
      </w:r>
    </w:p>
    <w:p>
      <w:pPr>
        <w:pStyle w:val="18"/>
      </w:pPr>
      <w:r>
        <w:t>（十五）监测分析全县商务运行情况，承担全县商务系统对外宣传和信息发布工作。</w:t>
      </w:r>
    </w:p>
    <w:p>
      <w:pPr>
        <w:pStyle w:val="18"/>
      </w:pPr>
      <w:r>
        <w:t>（十六）负责原商务、粮食系统改制企业资产、人员管理，处理原商务、粮食系统遗留问题，确保稳定，确保国有资产保值不流失。</w:t>
      </w:r>
    </w:p>
    <w:p>
      <w:pPr>
        <w:pStyle w:val="18"/>
      </w:pPr>
      <w:r>
        <w:t>（十七）负责拟订招商引资、利用外资、区域协作中长期发展规划、年度计划并组织实施；研究拟订投资促进政策，承担县投资促进工作领导小组日常工作。</w:t>
      </w:r>
    </w:p>
    <w:p>
      <w:pPr>
        <w:pStyle w:val="18"/>
      </w:pPr>
      <w:r>
        <w:t>（十八）负责建立投资促进工作体系、工作机制，对利用国内外资金和经济技术合作进行统计、汇总、分析。</w:t>
      </w:r>
    </w:p>
    <w:p>
      <w:pPr>
        <w:pStyle w:val="18"/>
      </w:pPr>
      <w:r>
        <w:t>（十九）负责促进资金、技术、人才、项目引进和产业对接，争取招商引资相关政策、资金和项目支持。</w:t>
      </w:r>
    </w:p>
    <w:p>
      <w:pPr>
        <w:pStyle w:val="18"/>
      </w:pPr>
      <w:r>
        <w:t>（二十）负责投资环境营销和宣传推广，负责重点区域、重点产业、重大招商引资项目谋划、包装、推介；负责国（境）内外投资项目信息的收集、筛选工作，建立投资促进工作平台和信息网络；负责对国（境）外重要招商项目的谋划、包装、发布、推介工作，建立项目库。</w:t>
      </w:r>
    </w:p>
    <w:p>
      <w:pPr>
        <w:pStyle w:val="18"/>
      </w:pPr>
      <w:r>
        <w:t>（二十一）负责国（境）内外重大投资促进活动的谋划、方案制定和组织实施；牵头组织专业性、行业性投资促进活动；指导协调各乡镇开展招商活动。</w:t>
      </w:r>
    </w:p>
    <w:p>
      <w:pPr>
        <w:pStyle w:val="18"/>
      </w:pPr>
      <w:r>
        <w:t>（二十二）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w:t>
      </w:r>
    </w:p>
    <w:p>
      <w:pPr>
        <w:pStyle w:val="18"/>
      </w:pPr>
      <w:r>
        <w:t>（二十三）负责对国（境）内外重要客户的联络拓展、重要团组和客户来访考察、洽谈的组织。</w:t>
      </w:r>
    </w:p>
    <w:p>
      <w:pPr>
        <w:pStyle w:val="18"/>
      </w:pPr>
      <w:r>
        <w:t>（二十四）组织和促进委托招商、代理招商、中介招商、专业招商、网上招商等多种形式的招商活动，制订并落实奖励政策；加强招商引资专业人才队伍建设。</w:t>
      </w:r>
    </w:p>
    <w:p>
      <w:pPr>
        <w:pStyle w:val="18"/>
      </w:pPr>
      <w:r>
        <w:t>（二十五）负责引进央企资金、项目及各项合作，促进合作项目的建设，负责为央企服务工作；负责外商投资项目建设的跟踪、协调和服务工作，负责引进资金到位统计工作。</w:t>
      </w:r>
    </w:p>
    <w:p>
      <w:pPr>
        <w:pStyle w:val="18"/>
      </w:pPr>
      <w:r>
        <w:t>（二十六）负责指导全县经济技术交流与区域经济技术合作工作；负责区域间资金、项目、人才、科研成果及产业合作工作，开展与重点大专院校、科研院所合作。</w:t>
      </w:r>
    </w:p>
    <w:p>
      <w:pPr>
        <w:pStyle w:val="18"/>
      </w:pPr>
      <w:r>
        <w:t>（二十七）有关职责分工。与县市场监督管理局的有关职责分工。县招商服务中心负责指导外商投资项目核准和备案工作，指导、监督、检查外商投资企业设立及变更的备案工作。县市场监督管理局负责外商投资企业注册登记、监督管理工作。</w:t>
      </w:r>
    </w:p>
    <w:p>
      <w:pPr>
        <w:pStyle w:val="18"/>
      </w:pPr>
      <w:r>
        <w:t>（二十八）完成县委、县政府交办的其他任务。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无极县商务局本级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bookmarkStart w:id="20" w:name="_GoBack"/>
      <w:bookmarkEnd w:id="20"/>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按照预算管理有关规定，目前部门预算的编制实行综合预算管理，即全部收入和支出都反映在预算中。无极县商务局机关及所属事业单位的收支包含在部门预算中。</w:t>
      </w:r>
    </w:p>
    <w:p>
      <w:pPr>
        <w:pStyle w:val="19"/>
      </w:pPr>
      <w:r>
        <w:t>1、收入说明</w:t>
      </w:r>
    </w:p>
    <w:p>
      <w:pPr>
        <w:pStyle w:val="19"/>
      </w:pPr>
      <w:r>
        <w:t>反映本部门当年全部收入。2026年预算收入505.95万元，其中：一般公共预算收入490.80万元，基金预算收入0.00万元，国有资本经营预算收入0.00万元，财政专户核拨收入0.00万元，单位资金收入0.00万元，上年结转结余15.15万元。</w:t>
      </w:r>
    </w:p>
    <w:p>
      <w:pPr>
        <w:pStyle w:val="19"/>
      </w:pPr>
      <w:r>
        <w:t>2、支出说明</w:t>
      </w:r>
    </w:p>
    <w:p>
      <w:pPr>
        <w:pStyle w:val="19"/>
      </w:pPr>
      <w:r>
        <w:t>收支预算总表支出栏、基本支出表、项目支出表按经济分类和支出功能分类科目编制，反映无极县商务局年度部门预算中支出预算的总体情况。2026年支出预算505.95万元，其中基本支出490.80万元，包括人员经费466.80万元和日常公用经费24.00万元；项目支出15.15万元，主要为关于调整2025年中央外经贸发展资金（支持地方统筹推外经贸发展）；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2026年预算收支安排505.95万元，较2025年预算减少365.21万元</w:t>
      </w:r>
      <w:r>
        <w:rPr>
          <w:rFonts w:hint="eastAsia"/>
          <w:lang w:eastAsia="zh-CN"/>
        </w:rPr>
        <w:t>。基本支出中</w:t>
      </w:r>
      <w:r>
        <w:t>公用经费一</w:t>
      </w:r>
      <w:r>
        <w:rPr>
          <w:rFonts w:hint="eastAsia"/>
          <w:lang w:eastAsia="zh-CN"/>
        </w:rPr>
        <w:t>为</w:t>
      </w:r>
      <w:r>
        <w:t>186万元</w:t>
      </w:r>
      <w:r>
        <w:rPr>
          <w:rFonts w:hint="eastAsia"/>
          <w:lang w:eastAsia="zh-CN"/>
        </w:rPr>
        <w:t>，其中：</w:t>
      </w:r>
      <w:r>
        <w:t>机关事业单位基本养老保险缴费支出27万元</w:t>
      </w:r>
      <w:r>
        <w:rPr>
          <w:rFonts w:hint="eastAsia"/>
          <w:lang w:eastAsia="zh-CN"/>
        </w:rPr>
        <w:t>，</w:t>
      </w:r>
      <w:r>
        <w:t>行政单位医疗11万元</w:t>
      </w:r>
      <w:r>
        <w:rPr>
          <w:rFonts w:hint="eastAsia"/>
          <w:lang w:eastAsia="zh-CN"/>
        </w:rPr>
        <w:t>，</w:t>
      </w:r>
      <w:r>
        <w:t>离休费17万元</w:t>
      </w:r>
      <w:r>
        <w:rPr>
          <w:rFonts w:hint="eastAsia"/>
          <w:lang w:eastAsia="zh-CN"/>
        </w:rPr>
        <w:t>，</w:t>
      </w:r>
      <w:r>
        <w:t>绩效工资19万元</w:t>
      </w:r>
      <w:r>
        <w:rPr>
          <w:rFonts w:hint="eastAsia"/>
          <w:lang w:eastAsia="zh-CN"/>
        </w:rPr>
        <w:t>，</w:t>
      </w:r>
      <w:r>
        <w:t>其他社会保障缴费2万元</w:t>
      </w:r>
      <w:r>
        <w:rPr>
          <w:rFonts w:hint="eastAsia"/>
          <w:lang w:eastAsia="zh-CN"/>
        </w:rPr>
        <w:t>，</w:t>
      </w:r>
      <w:r>
        <w:t>奖金18万元</w:t>
      </w:r>
      <w:r>
        <w:rPr>
          <w:rFonts w:hint="eastAsia"/>
          <w:lang w:eastAsia="zh-CN"/>
        </w:rPr>
        <w:t>，</w:t>
      </w:r>
      <w:r>
        <w:t>基本工资80万元</w:t>
      </w:r>
      <w:r>
        <w:rPr>
          <w:rFonts w:hint="eastAsia"/>
          <w:lang w:eastAsia="zh-CN"/>
        </w:rPr>
        <w:t>，</w:t>
      </w:r>
      <w:r>
        <w:t>津贴补贴12万元</w:t>
      </w:r>
      <w:r>
        <w:rPr>
          <w:rFonts w:hint="eastAsia"/>
          <w:lang w:eastAsia="zh-CN"/>
        </w:rPr>
        <w:t>。</w:t>
      </w:r>
      <w:r>
        <w:t>人员公用经费二286万元</w:t>
      </w:r>
      <w:r>
        <w:rPr>
          <w:rFonts w:hint="eastAsia"/>
          <w:lang w:eastAsia="zh-CN"/>
        </w:rPr>
        <w:t>，其中：</w:t>
      </w:r>
      <w:r>
        <w:t>基本工资150万元</w:t>
      </w:r>
      <w:r>
        <w:rPr>
          <w:rFonts w:hint="eastAsia"/>
          <w:lang w:eastAsia="zh-CN"/>
        </w:rPr>
        <w:t>，</w:t>
      </w:r>
      <w:r>
        <w:t>津贴补贴13万元</w:t>
      </w:r>
      <w:r>
        <w:rPr>
          <w:rFonts w:hint="eastAsia"/>
          <w:lang w:eastAsia="zh-CN"/>
        </w:rPr>
        <w:t>，</w:t>
      </w:r>
      <w:r>
        <w:t>绩效工资18万元</w:t>
      </w:r>
      <w:r>
        <w:rPr>
          <w:rFonts w:hint="eastAsia"/>
          <w:lang w:eastAsia="zh-CN"/>
        </w:rPr>
        <w:t>，</w:t>
      </w:r>
      <w:r>
        <w:t>离休费3万元</w:t>
      </w:r>
      <w:r>
        <w:rPr>
          <w:rFonts w:hint="eastAsia"/>
          <w:lang w:eastAsia="zh-CN"/>
        </w:rPr>
        <w:t>，</w:t>
      </w:r>
      <w:r>
        <w:t>退休费102万元</w:t>
      </w:r>
      <w:r>
        <w:rPr>
          <w:rFonts w:hint="eastAsia"/>
          <w:lang w:eastAsia="zh-CN"/>
        </w:rPr>
        <w:t>。</w:t>
      </w:r>
      <w:r>
        <w:t>公用经费一</w:t>
      </w:r>
      <w:r>
        <w:rPr>
          <w:rFonts w:hint="eastAsia"/>
          <w:lang w:val="en-US" w:eastAsia="zh-CN"/>
        </w:rPr>
        <w:t>17.91</w:t>
      </w:r>
      <w:r>
        <w:t>万元</w:t>
      </w:r>
      <w:r>
        <w:rPr>
          <w:rFonts w:hint="eastAsia"/>
          <w:lang w:eastAsia="zh-CN"/>
        </w:rPr>
        <w:t>，其中：</w:t>
      </w:r>
      <w:r>
        <w:t>公务用车运行维护费</w:t>
      </w:r>
      <w:r>
        <w:rPr>
          <w:rFonts w:hint="eastAsia"/>
          <w:lang w:val="en-US" w:eastAsia="zh-CN"/>
        </w:rPr>
        <w:t>2.91</w:t>
      </w:r>
      <w:r>
        <w:t>万元、日常办公费15万元</w:t>
      </w:r>
      <w:r>
        <w:rPr>
          <w:rFonts w:hint="eastAsia"/>
          <w:lang w:eastAsia="zh-CN"/>
        </w:rPr>
        <w:t>。</w:t>
      </w:r>
      <w:r>
        <w:t>公用经费二8.1万元</w:t>
      </w:r>
      <w:r>
        <w:rPr>
          <w:rFonts w:hint="eastAsia"/>
          <w:lang w:eastAsia="zh-CN"/>
        </w:rPr>
        <w:t>，</w:t>
      </w:r>
      <w:r>
        <w:t>其中</w:t>
      </w:r>
      <w:r>
        <w:rPr>
          <w:rFonts w:hint="eastAsia"/>
          <w:lang w:eastAsia="zh-CN"/>
        </w:rPr>
        <w:t>：</w:t>
      </w:r>
      <w:r>
        <w:t>其他交通费用4.5万元、邮电费3.6万元。项目支出减少345.91万元，</w:t>
      </w:r>
      <w:r>
        <w:rPr>
          <w:rFonts w:hint="eastAsia"/>
          <w:lang w:eastAsia="zh-CN"/>
        </w:rPr>
        <w:t>项目支出</w:t>
      </w:r>
      <w:r>
        <w:t>主要为关于调整2025年中央外经贸发展资金（支持地方统筹推外经贸发展）、2026年北京木门展资金、2026年限上汽车企业促消费资金、保税仓海关经费、冬季取暖电费。预计下年使用的单位资金结余增加0.00万元。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2026年，我部门机关运行经费共计安排24.00万元，主要用于日常维修、办公用房水电费、办公用房取暖费、办公用房物业管理费等日常运行支出。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减少3.00万元，增减变化的主要原因是“三公”经费预算安排2.91万元，与2025年相比减少0.09万元， 增减变化的主要原因是严格按照公务用车相关制度执行，厉行节约。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无极县商务局总体绩效目标</w:t>
      </w:r>
    </w:p>
    <w:p>
      <w:pPr>
        <w:pStyle w:val="22"/>
      </w:pPr>
      <w:r>
        <w:t>2025年，商务局紧紧围绕县委、县政府中心工作，大力推进外贸与电子商务发展，认真督导商贸项目及市场建设，加强成品油市场监督，进一步整顿和规范市场经济秩序，搞好安全生产和信坊稳定，确保全年无事故，努力完成全年各项工作任务，为我县经济社会大发展做出更大贡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无极县商务局分项绩效目标</w:t>
      </w:r>
    </w:p>
    <w:p>
      <w:pPr>
        <w:pStyle w:val="23"/>
      </w:pPr>
      <w:r>
        <w:t>规范活动程序，提高学习质量。</w:t>
      </w:r>
    </w:p>
    <w:p>
      <w:pPr>
        <w:pStyle w:val="23"/>
      </w:pPr>
      <w:r>
        <w:t>1、开拓国内市场</w:t>
      </w:r>
    </w:p>
    <w:p>
      <w:pPr>
        <w:pStyle w:val="23"/>
      </w:pPr>
      <w:r>
        <w:t>绩效目标：扩大我县产品的知名度，增加国内市场份额。</w:t>
      </w:r>
    </w:p>
    <w:p>
      <w:pPr>
        <w:pStyle w:val="23"/>
      </w:pPr>
      <w:r>
        <w:t>绩效指标：参展企业数量（家）〉3。</w:t>
      </w:r>
    </w:p>
    <w:p>
      <w:pPr>
        <w:pStyle w:val="23"/>
      </w:pPr>
      <w:r>
        <w:t>2、促进商贸流通</w:t>
      </w:r>
    </w:p>
    <w:p>
      <w:pPr>
        <w:pStyle w:val="23"/>
      </w:pPr>
      <w:r>
        <w:t>绩效目标：完善农产品流通和农村市场体系。</w:t>
      </w:r>
    </w:p>
    <w:p>
      <w:pPr>
        <w:pStyle w:val="23"/>
      </w:pPr>
      <w:r>
        <w:t>绩效指标：投资的农产品市场或农村市场销售额增长率〉10%。</w:t>
      </w:r>
    </w:p>
    <w:p>
      <w:pPr>
        <w:pStyle w:val="23"/>
      </w:pPr>
      <w:r>
        <w:t>3、农村电子商务建设</w:t>
      </w:r>
    </w:p>
    <w:p>
      <w:pPr>
        <w:pStyle w:val="23"/>
      </w:pPr>
      <w:r>
        <w:t>绩效目标：推动农村电子商务基础设施建设。</w:t>
      </w:r>
    </w:p>
    <w:p>
      <w:pPr>
        <w:pStyle w:val="23"/>
      </w:pPr>
      <w:r>
        <w:t>绩效指标：农村电商企业营业额增长率〉10%。</w:t>
      </w:r>
    </w:p>
    <w:p>
      <w:pPr>
        <w:pStyle w:val="23"/>
      </w:pPr>
      <w:r>
        <w:t>4、消费市场调控</w:t>
      </w:r>
    </w:p>
    <w:p>
      <w:pPr>
        <w:pStyle w:val="23"/>
      </w:pPr>
      <w:r>
        <w:t>绩效目标：准确监测市场运行情况，及时预测预警。</w:t>
      </w:r>
    </w:p>
    <w:p>
      <w:pPr>
        <w:pStyle w:val="23"/>
      </w:pPr>
      <w:r>
        <w:t>绩效指标：监测信息报送率〉80%。</w:t>
      </w:r>
    </w:p>
    <w:p>
      <w:pPr>
        <w:pStyle w:val="23"/>
      </w:pPr>
      <w:r>
        <w:t>5、招商引资</w:t>
      </w:r>
    </w:p>
    <w:p>
      <w:pPr>
        <w:pStyle w:val="23"/>
      </w:pPr>
      <w:r>
        <w:t>绩效目标：在重点产业引进一批战略支撑项目、龙头企业和协力配套企业。</w:t>
      </w:r>
    </w:p>
    <w:p>
      <w:pPr>
        <w:pStyle w:val="23"/>
      </w:pPr>
      <w:r>
        <w:t>绩效指标：招商引资规模增长率〉1%。</w:t>
      </w:r>
    </w:p>
    <w:p>
      <w:pPr>
        <w:pStyle w:val="23"/>
      </w:pPr>
      <w:r>
        <w:t>6、高新产品进出品管理</w:t>
      </w:r>
    </w:p>
    <w:p>
      <w:pPr>
        <w:pStyle w:val="23"/>
      </w:pPr>
      <w:r>
        <w:t>绩效目标：积极开拓国际、国内两个市场，不断优化产品结构和市场结构。</w:t>
      </w:r>
    </w:p>
    <w:p>
      <w:pPr>
        <w:pStyle w:val="23"/>
      </w:pPr>
      <w:r>
        <w:t>绩效指标：高新产品出口额增长率〉1%。</w:t>
      </w:r>
    </w:p>
    <w:p>
      <w:pPr>
        <w:pStyle w:val="23"/>
      </w:pPr>
      <w:r>
        <w:t xml:space="preserve">7、发展服务贸易和服务外包 </w:t>
      </w:r>
    </w:p>
    <w:p>
      <w:pPr>
        <w:pStyle w:val="23"/>
      </w:pPr>
      <w:r>
        <w:t>绩效目标：转变对外贸易发展方式，提升服务贸易对全县外贸增长的拉动作用。</w:t>
      </w:r>
    </w:p>
    <w:p>
      <w:pPr>
        <w:pStyle w:val="23"/>
      </w:pPr>
      <w:r>
        <w:t xml:space="preserve">绩效指标：组织参展个数（个）〉9。 </w:t>
      </w:r>
    </w:p>
    <w:p>
      <w:pPr>
        <w:pStyle w:val="23"/>
      </w:pPr>
      <w:r>
        <w:t>8、促进对外经贸服务</w:t>
      </w:r>
    </w:p>
    <w:p>
      <w:pPr>
        <w:pStyle w:val="23"/>
      </w:pPr>
      <w:r>
        <w:t xml:space="preserve">绩效目标：确保对外经济合作业务稳定增长。 </w:t>
      </w:r>
    </w:p>
    <w:p>
      <w:pPr>
        <w:pStyle w:val="23"/>
      </w:pPr>
      <w:r>
        <w:t>绩效指标：中小企业出口额增长率持平。</w:t>
      </w:r>
    </w:p>
    <w:p>
      <w:pPr>
        <w:pStyle w:val="23"/>
      </w:pPr>
      <w:r>
        <w:t>9、加快培育外贸竞争新优势</w:t>
      </w:r>
    </w:p>
    <w:p>
      <w:pPr>
        <w:pStyle w:val="23"/>
      </w:pPr>
      <w:r>
        <w:t>绩效目标：优化外贸商品结构、市场结构、主体结构、贸易方式结构。</w:t>
      </w:r>
    </w:p>
    <w:p>
      <w:pPr>
        <w:pStyle w:val="23"/>
      </w:pPr>
      <w:r>
        <w:t xml:space="preserve">绩效指标：外贸综合服务企业增长率持平。 </w:t>
      </w:r>
    </w:p>
    <w:p>
      <w:pPr>
        <w:pStyle w:val="23"/>
      </w:pPr>
      <w:r>
        <w:t>10、综合业务管理</w:t>
      </w:r>
    </w:p>
    <w:p>
      <w:pPr>
        <w:pStyle w:val="23"/>
      </w:pPr>
      <w:r>
        <w:t>绩效目标：保障各项业务工作畅通。</w:t>
      </w:r>
    </w:p>
    <w:p>
      <w:pPr>
        <w:pStyle w:val="23"/>
      </w:pPr>
      <w:r>
        <w:t>绩效指标：综合事务管理工作完成率〉90%。</w:t>
      </w:r>
    </w:p>
    <w:p>
      <w:pPr>
        <w:pStyle w:val="23"/>
      </w:pPr>
      <w:r>
        <w:t>11、综合事务管理</w:t>
      </w:r>
    </w:p>
    <w:p>
      <w:pPr>
        <w:pStyle w:val="23"/>
      </w:pPr>
      <w:r>
        <w:t>绩效目标：保障机关正常工作有效运转。</w:t>
      </w:r>
    </w:p>
    <w:p>
      <w:pPr>
        <w:pStyle w:val="23"/>
      </w:pPr>
      <w:r>
        <w:t>绩效指标：综合事务管理工作完成率〉90%.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全面实施预算绩效管理。预算收入支出纳入绩效管理。从本单位职责实际出发，预衡资金社会效益。增加预算资金的合理性。认真执行上级工会资金管理办法。严格按照工会法实施办法执行。建立工作保障制度。按照上级要求推行内控制度。</w:t>
      </w:r>
    </w:p>
    <w:p>
      <w:pPr>
        <w:pStyle w:val="24"/>
      </w:pPr>
      <w:r>
        <w:t>加强支出管理，优化支出结构。严格按照预算执行</w:t>
      </w:r>
      <w:r>
        <w:rPr>
          <w:rFonts w:hint="eastAsia"/>
          <w:lang w:eastAsia="zh-CN"/>
        </w:rPr>
        <w:t>，</w:t>
      </w:r>
      <w:r>
        <w:t>没预算的坚决不予支出。有预算的项目细化、量化。</w:t>
      </w:r>
    </w:p>
    <w:p>
      <w:pPr>
        <w:pStyle w:val="24"/>
      </w:pPr>
      <w:r>
        <w:t>加强绩效运行监控。根据预算从拨付、使用、社会效果全程监控。发现问题及时采取措施。全部绩效目标如期保值实现。</w:t>
      </w:r>
    </w:p>
    <w:p>
      <w:pPr>
        <w:pStyle w:val="24"/>
      </w:pPr>
      <w:r>
        <w:t>做好绩效自评。根据上年度预算绩效自评和重点评价工作，在今年的预算执行中及时调整，优化今年的支出结构，提高2023年度资金使用效益率。</w:t>
      </w:r>
    </w:p>
    <w:p>
      <w:pPr>
        <w:pStyle w:val="24"/>
      </w:pPr>
      <w:r>
        <w:t>规范财务资产管理。通过完善财务管理制度，推行内控制度，严格资金支出审批程序，加强固定资产各项管理工作，确保固定资产登记、使用和报废处置管理。</w:t>
      </w:r>
    </w:p>
    <w:p>
      <w:pPr>
        <w:pStyle w:val="24"/>
      </w:pPr>
      <w:r>
        <w:t>加强内部监督。加强财务管理内部监督制度建设，监控绩效目标的运行情况。对会计资料内部监督和审计。</w:t>
      </w:r>
    </w:p>
    <w:p>
      <w:pPr>
        <w:pStyle w:val="24"/>
        <w:sectPr>
          <w:pgSz w:w="16840" w:h="11900" w:orient="landscape"/>
          <w:pgMar w:top="1361" w:right="1020" w:bottom="1361" w:left="1020" w:header="720" w:footer="720" w:gutter="0"/>
          <w:cols w:space="720" w:num="1"/>
        </w:sectPr>
      </w:pPr>
      <w:r>
        <w:t xml:space="preserve">加强培训宣传调研。加强会计人员培训和自我学习，提高财务人员素质。加强优化资金配置，提高资金使用效益。        </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bidi w:val="0"/>
        <w:rPr>
          <w:rFonts w:ascii="Times New Roman" w:hAnsi="Times New Roman" w:eastAsiaTheme="minorEastAsia" w:cstheme="minorBidi"/>
          <w:sz w:val="24"/>
          <w:szCs w:val="24"/>
          <w:lang w:val="en-US" w:eastAsia="uk-UA" w:bidi="ar-SA"/>
        </w:rPr>
      </w:pPr>
    </w:p>
    <w:p>
      <w:pPr>
        <w:bidi w:val="0"/>
        <w:rPr>
          <w:lang w:val="en-US" w:eastAsia="uk-UA"/>
        </w:rPr>
      </w:pPr>
    </w:p>
    <w:p>
      <w:pPr>
        <w:bidi w:val="0"/>
        <w:rPr>
          <w:lang w:val="en-US" w:eastAsia="uk-UA"/>
        </w:rPr>
      </w:pPr>
    </w:p>
    <w:p>
      <w:pPr>
        <w:tabs>
          <w:tab w:val="left" w:pos="1626"/>
        </w:tabs>
        <w:bidi w:val="0"/>
        <w:jc w:val="left"/>
        <w:rPr>
          <w:rFonts w:hint="default" w:eastAsiaTheme="minorEastAsia"/>
          <w:lang w:val="en-US" w:eastAsia="zh-CN"/>
        </w:rPr>
        <w:sectPr>
          <w:pgSz w:w="16840" w:h="11900" w:orient="landscape"/>
          <w:pgMar w:top="1361" w:right="1020" w:bottom="1134" w:left="1020" w:header="720" w:footer="720" w:gutter="0"/>
          <w:cols w:space="720" w:num="1"/>
        </w:sectPr>
      </w:pPr>
      <w:r>
        <w:rPr>
          <w:rFonts w:hint="eastAsia"/>
          <w:lang w:val="en-US" w:eastAsia="zh-CN"/>
        </w:rPr>
        <w:tab/>
      </w:r>
      <w:r>
        <w:rPr>
          <w:rFonts w:hint="eastAsia"/>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1、关于调整2025年中央外经贸发展资金（支持地方统筹推进外经贸发展）的通知绩效目标表</w:t>
      </w:r>
    </w:p>
    <w:tbl>
      <w:tblPr>
        <w:tblStyle w:val="5"/>
        <w:tblpPr w:leftFromText="180" w:rightFromText="180" w:vertAnchor="page" w:horzAnchor="page" w:tblpX="916" w:tblpY="2455"/>
        <w:tblOverlap w:val="never"/>
        <w:tblW w:w="15518" w:type="dxa"/>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90"/>
        <w:gridCol w:w="2295"/>
        <w:gridCol w:w="2879"/>
        <w:gridCol w:w="2872"/>
        <w:gridCol w:w="2586"/>
        <w:gridCol w:w="2295"/>
        <w:gridCol w:w="130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4" w:hRule="atLeast"/>
        </w:trPr>
        <w:tc>
          <w:tcPr>
            <w:tcW w:w="1290" w:type="dxa"/>
            <w:vAlign w:val="center"/>
          </w:tcPr>
          <w:p>
            <w:pPr>
              <w:pStyle w:val="11"/>
            </w:pPr>
            <w:r>
              <w:t>项目编码</w:t>
            </w:r>
          </w:p>
        </w:tc>
        <w:tc>
          <w:tcPr>
            <w:tcW w:w="5174" w:type="dxa"/>
            <w:gridSpan w:val="2"/>
            <w:vAlign w:val="center"/>
          </w:tcPr>
          <w:p>
            <w:pPr>
              <w:pStyle w:val="13"/>
            </w:pPr>
            <w:r>
              <w:t>13013025P00000210262P</w:t>
            </w:r>
          </w:p>
        </w:tc>
        <w:tc>
          <w:tcPr>
            <w:tcW w:w="2872" w:type="dxa"/>
            <w:vAlign w:val="center"/>
          </w:tcPr>
          <w:p>
            <w:pPr>
              <w:pStyle w:val="11"/>
            </w:pPr>
            <w:r>
              <w:t>项目名称</w:t>
            </w:r>
          </w:p>
        </w:tc>
        <w:tc>
          <w:tcPr>
            <w:tcW w:w="6182" w:type="dxa"/>
            <w:gridSpan w:val="3"/>
            <w:vAlign w:val="center"/>
          </w:tcPr>
          <w:p>
            <w:pPr>
              <w:pStyle w:val="13"/>
            </w:pPr>
            <w:r>
              <w:t>关于调整2025年中央外经贸发展资金（支持地方统筹推进外经贸发展）的通知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4" w:hRule="atLeast"/>
        </w:trPr>
        <w:tc>
          <w:tcPr>
            <w:tcW w:w="1290" w:type="dxa"/>
            <w:vMerge w:val="restart"/>
            <w:vAlign w:val="center"/>
          </w:tcPr>
          <w:p>
            <w:pPr>
              <w:pStyle w:val="11"/>
            </w:pPr>
            <w:r>
              <w:t>预算规模及资金用途</w:t>
            </w:r>
          </w:p>
        </w:tc>
        <w:tc>
          <w:tcPr>
            <w:tcW w:w="2295" w:type="dxa"/>
            <w:vAlign w:val="center"/>
          </w:tcPr>
          <w:p>
            <w:pPr>
              <w:pStyle w:val="11"/>
            </w:pPr>
            <w:r>
              <w:t>预算数</w:t>
            </w:r>
          </w:p>
        </w:tc>
        <w:tc>
          <w:tcPr>
            <w:tcW w:w="2879" w:type="dxa"/>
            <w:vAlign w:val="center"/>
          </w:tcPr>
          <w:p>
            <w:pPr>
              <w:pStyle w:val="13"/>
            </w:pPr>
            <w:r>
              <w:t>15.15</w:t>
            </w:r>
          </w:p>
        </w:tc>
        <w:tc>
          <w:tcPr>
            <w:tcW w:w="2872" w:type="dxa"/>
            <w:vAlign w:val="center"/>
          </w:tcPr>
          <w:p>
            <w:pPr>
              <w:pStyle w:val="11"/>
            </w:pPr>
            <w:r>
              <w:t>其中：财政    资金</w:t>
            </w:r>
          </w:p>
        </w:tc>
        <w:tc>
          <w:tcPr>
            <w:tcW w:w="2586" w:type="dxa"/>
            <w:vAlign w:val="center"/>
          </w:tcPr>
          <w:p>
            <w:pPr>
              <w:pStyle w:val="13"/>
            </w:pPr>
            <w:r>
              <w:t>15.15</w:t>
            </w:r>
          </w:p>
        </w:tc>
        <w:tc>
          <w:tcPr>
            <w:tcW w:w="2295" w:type="dxa"/>
            <w:vAlign w:val="center"/>
          </w:tcPr>
          <w:p>
            <w:pPr>
              <w:pStyle w:val="11"/>
            </w:pPr>
            <w:r>
              <w:t>其他资金</w:t>
            </w:r>
          </w:p>
        </w:tc>
        <w:tc>
          <w:tcPr>
            <w:tcW w:w="1301"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7" w:hRule="atLeast"/>
        </w:trPr>
        <w:tc>
          <w:tcPr>
            <w:tcW w:w="1290" w:type="dxa"/>
            <w:vMerge w:val="continue"/>
          </w:tcPr>
          <w:p/>
        </w:tc>
        <w:tc>
          <w:tcPr>
            <w:tcW w:w="14228" w:type="dxa"/>
            <w:gridSpan w:val="6"/>
            <w:vAlign w:val="center"/>
          </w:tcPr>
          <w:p>
            <w:pPr>
              <w:pStyle w:val="13"/>
            </w:pPr>
            <w:r>
              <w:t>助力企业拓市场、扩渠道、抓订单。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4" w:hRule="atLeast"/>
        </w:trPr>
        <w:tc>
          <w:tcPr>
            <w:tcW w:w="1290" w:type="dxa"/>
            <w:vMerge w:val="restart"/>
            <w:vAlign w:val="center"/>
          </w:tcPr>
          <w:p>
            <w:pPr>
              <w:pStyle w:val="11"/>
            </w:pPr>
            <w:r>
              <w:t>资金支出计划（%）</w:t>
            </w:r>
          </w:p>
        </w:tc>
        <w:tc>
          <w:tcPr>
            <w:tcW w:w="5174" w:type="dxa"/>
            <w:gridSpan w:val="2"/>
            <w:vAlign w:val="center"/>
          </w:tcPr>
          <w:p>
            <w:pPr>
              <w:pStyle w:val="11"/>
            </w:pPr>
            <w:r>
              <w:t>3月底</w:t>
            </w:r>
          </w:p>
        </w:tc>
        <w:tc>
          <w:tcPr>
            <w:tcW w:w="2872" w:type="dxa"/>
            <w:vAlign w:val="center"/>
          </w:tcPr>
          <w:p>
            <w:pPr>
              <w:pStyle w:val="11"/>
            </w:pPr>
            <w:r>
              <w:t>6月底</w:t>
            </w:r>
          </w:p>
        </w:tc>
        <w:tc>
          <w:tcPr>
            <w:tcW w:w="2586" w:type="dxa"/>
            <w:vAlign w:val="center"/>
          </w:tcPr>
          <w:p>
            <w:pPr>
              <w:pStyle w:val="11"/>
            </w:pPr>
            <w:r>
              <w:t>10月底</w:t>
            </w:r>
          </w:p>
        </w:tc>
        <w:tc>
          <w:tcPr>
            <w:tcW w:w="3596"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4" w:hRule="atLeast"/>
        </w:trPr>
        <w:tc>
          <w:tcPr>
            <w:tcW w:w="1290" w:type="dxa"/>
            <w:vMerge w:val="continue"/>
          </w:tcPr>
          <w:p/>
        </w:tc>
        <w:tc>
          <w:tcPr>
            <w:tcW w:w="5174" w:type="dxa"/>
            <w:gridSpan w:val="2"/>
            <w:vAlign w:val="center"/>
          </w:tcPr>
          <w:p>
            <w:pPr>
              <w:pStyle w:val="14"/>
            </w:pPr>
            <w:r>
              <w:t xml:space="preserve"> </w:t>
            </w:r>
          </w:p>
        </w:tc>
        <w:tc>
          <w:tcPr>
            <w:tcW w:w="2872" w:type="dxa"/>
            <w:vAlign w:val="center"/>
          </w:tcPr>
          <w:p>
            <w:pPr>
              <w:pStyle w:val="14"/>
            </w:pPr>
            <w:r>
              <w:t xml:space="preserve"> </w:t>
            </w:r>
          </w:p>
        </w:tc>
        <w:tc>
          <w:tcPr>
            <w:tcW w:w="2586" w:type="dxa"/>
            <w:vAlign w:val="center"/>
          </w:tcPr>
          <w:p>
            <w:pPr>
              <w:pStyle w:val="14"/>
            </w:pPr>
            <w:r>
              <w:t xml:space="preserve"> </w:t>
            </w:r>
          </w:p>
        </w:tc>
        <w:tc>
          <w:tcPr>
            <w:tcW w:w="3596" w:type="dxa"/>
            <w:gridSpan w:val="2"/>
            <w:vAlign w:val="center"/>
          </w:tcPr>
          <w:p>
            <w:pPr>
              <w:pStyle w:val="14"/>
            </w:pPr>
            <w:r>
              <w:t>15.15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9" w:hRule="atLeast"/>
        </w:trPr>
        <w:tc>
          <w:tcPr>
            <w:tcW w:w="1290" w:type="dxa"/>
            <w:vAlign w:val="center"/>
          </w:tcPr>
          <w:p>
            <w:pPr>
              <w:pStyle w:val="11"/>
            </w:pPr>
            <w:r>
              <w:t>绩效目标</w:t>
            </w:r>
          </w:p>
        </w:tc>
        <w:tc>
          <w:tcPr>
            <w:tcW w:w="14228" w:type="dxa"/>
            <w:gridSpan w:val="6"/>
            <w:vAlign w:val="center"/>
          </w:tcPr>
          <w:p>
            <w:pPr>
              <w:pStyle w:val="13"/>
              <w:ind w:firstLine="420" w:firstLineChars="200"/>
            </w:pPr>
            <w:r>
              <w:t>1.助力企业拓市场、扩渠道、抓订单。</w:t>
            </w:r>
            <w:r>
              <w:tab/>
            </w:r>
            <w:r>
              <w:tab/>
            </w:r>
            <w:r>
              <w:tab/>
            </w:r>
            <w:r>
              <w:tab/>
            </w:r>
            <w:r>
              <w:tab/>
            </w:r>
            <w:r>
              <w:tab/>
            </w:r>
          </w:p>
          <w:p>
            <w:pPr>
              <w:pStyle w:val="13"/>
              <w:ind w:firstLine="420" w:firstLineChars="200"/>
            </w:pPr>
            <w:r>
              <w:t>2.助力企业拓市场、扩渠道、抓订单。</w:t>
            </w:r>
            <w:r>
              <w:tab/>
            </w:r>
            <w:r>
              <w:tab/>
            </w:r>
            <w:r>
              <w:tab/>
            </w:r>
            <w:r>
              <w:tab/>
            </w:r>
            <w:r>
              <w:tab/>
            </w:r>
            <w:r>
              <w:tab/>
            </w:r>
          </w:p>
          <w:p>
            <w:pPr>
              <w:pStyle w:val="13"/>
              <w:ind w:firstLine="420" w:firstLineChars="200"/>
            </w:pPr>
            <w:r>
              <w:t>3.助力企业拓市场、扩渠道、抓订单。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pPr w:leftFromText="180" w:rightFromText="180" w:vertAnchor="page" w:horzAnchor="page" w:tblpX="916" w:tblpY="5690"/>
        <w:tblOverlap w:val="never"/>
        <w:tblW w:w="15537"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94"/>
        <w:gridCol w:w="2301"/>
        <w:gridCol w:w="2877"/>
        <w:gridCol w:w="5470"/>
        <w:gridCol w:w="2301"/>
        <w:gridCol w:w="12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8" w:hRule="atLeast"/>
          <w:tblHeader/>
        </w:trPr>
        <w:tc>
          <w:tcPr>
            <w:tcW w:w="1294" w:type="dxa"/>
            <w:vAlign w:val="center"/>
          </w:tcPr>
          <w:p>
            <w:pPr>
              <w:pStyle w:val="11"/>
            </w:pPr>
            <w:r>
              <w:t>一级指标</w:t>
            </w:r>
          </w:p>
        </w:tc>
        <w:tc>
          <w:tcPr>
            <w:tcW w:w="2301" w:type="dxa"/>
            <w:vAlign w:val="center"/>
          </w:tcPr>
          <w:p>
            <w:pPr>
              <w:pStyle w:val="11"/>
            </w:pPr>
            <w:r>
              <w:t>二级指标</w:t>
            </w:r>
          </w:p>
        </w:tc>
        <w:tc>
          <w:tcPr>
            <w:tcW w:w="2877" w:type="dxa"/>
            <w:vAlign w:val="center"/>
          </w:tcPr>
          <w:p>
            <w:pPr>
              <w:pStyle w:val="11"/>
            </w:pPr>
            <w:r>
              <w:t>三级指标</w:t>
            </w:r>
          </w:p>
        </w:tc>
        <w:tc>
          <w:tcPr>
            <w:tcW w:w="5470" w:type="dxa"/>
            <w:vAlign w:val="center"/>
          </w:tcPr>
          <w:p>
            <w:pPr>
              <w:pStyle w:val="11"/>
            </w:pPr>
            <w:r>
              <w:t>绩效指标描述</w:t>
            </w:r>
          </w:p>
        </w:tc>
        <w:tc>
          <w:tcPr>
            <w:tcW w:w="2301" w:type="dxa"/>
            <w:vAlign w:val="center"/>
          </w:tcPr>
          <w:p>
            <w:pPr>
              <w:pStyle w:val="11"/>
            </w:pPr>
            <w:r>
              <w:t>指标值</w:t>
            </w:r>
          </w:p>
        </w:tc>
        <w:tc>
          <w:tcPr>
            <w:tcW w:w="129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4" w:hRule="atLeast"/>
        </w:trPr>
        <w:tc>
          <w:tcPr>
            <w:tcW w:w="1294" w:type="dxa"/>
            <w:vMerge w:val="restart"/>
            <w:vAlign w:val="center"/>
          </w:tcPr>
          <w:p>
            <w:pPr>
              <w:pStyle w:val="14"/>
              <w:keepNext w:val="0"/>
              <w:keepLines w:val="0"/>
              <w:pageBreakBefore w:val="0"/>
              <w:widowControl/>
              <w:kinsoku/>
              <w:wordWrap/>
              <w:overflowPunct/>
              <w:topLinePunct w:val="0"/>
              <w:autoSpaceDE/>
              <w:autoSpaceDN/>
              <w:bidi w:val="0"/>
              <w:adjustRightInd/>
              <w:snapToGrid/>
              <w:spacing w:line="200" w:lineRule="exact"/>
              <w:textAlignment w:val="auto"/>
            </w:pPr>
            <w:r>
              <w:t>产出指标</w:t>
            </w:r>
          </w:p>
        </w:tc>
        <w:tc>
          <w:tcPr>
            <w:tcW w:w="2301"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数量指标</w:t>
            </w:r>
          </w:p>
        </w:tc>
        <w:tc>
          <w:tcPr>
            <w:tcW w:w="2877"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支持中小企业开拓国内国际市场</w:t>
            </w:r>
          </w:p>
        </w:tc>
        <w:tc>
          <w:tcPr>
            <w:tcW w:w="5470"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支持中小企业开拓国内国际市场</w:t>
            </w:r>
          </w:p>
        </w:tc>
        <w:tc>
          <w:tcPr>
            <w:tcW w:w="2301"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支持中小企业开拓国内国际市场</w:t>
            </w:r>
          </w:p>
        </w:tc>
        <w:tc>
          <w:tcPr>
            <w:tcW w:w="1294"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冀财建（2025）246号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1" w:hRule="atLeast"/>
        </w:trPr>
        <w:tc>
          <w:tcPr>
            <w:tcW w:w="1294" w:type="dxa"/>
            <w:vMerge w:val="continue"/>
            <w:vAlign w:val="center"/>
          </w:tcPr>
          <w:p>
            <w:pPr>
              <w:keepNext w:val="0"/>
              <w:keepLines w:val="0"/>
              <w:pageBreakBefore w:val="0"/>
              <w:widowControl/>
              <w:kinsoku/>
              <w:wordWrap/>
              <w:overflowPunct/>
              <w:topLinePunct w:val="0"/>
              <w:autoSpaceDE/>
              <w:autoSpaceDN/>
              <w:bidi w:val="0"/>
              <w:adjustRightInd/>
              <w:snapToGrid/>
              <w:spacing w:line="200" w:lineRule="exact"/>
              <w:textAlignment w:val="auto"/>
            </w:pPr>
          </w:p>
        </w:tc>
        <w:tc>
          <w:tcPr>
            <w:tcW w:w="2301"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成本指标</w:t>
            </w:r>
          </w:p>
        </w:tc>
        <w:tc>
          <w:tcPr>
            <w:tcW w:w="2877"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成本控制</w:t>
            </w:r>
          </w:p>
        </w:tc>
        <w:tc>
          <w:tcPr>
            <w:tcW w:w="5470"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成本控制</w:t>
            </w:r>
          </w:p>
        </w:tc>
        <w:tc>
          <w:tcPr>
            <w:tcW w:w="2301"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≤15.15万元</w:t>
            </w:r>
          </w:p>
        </w:tc>
        <w:tc>
          <w:tcPr>
            <w:tcW w:w="1294"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冀财建（2025）246号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4" w:hRule="atLeast"/>
        </w:trPr>
        <w:tc>
          <w:tcPr>
            <w:tcW w:w="1294" w:type="dxa"/>
            <w:vMerge w:val="continue"/>
            <w:vAlign w:val="center"/>
          </w:tcPr>
          <w:p>
            <w:pPr>
              <w:keepNext w:val="0"/>
              <w:keepLines w:val="0"/>
              <w:pageBreakBefore w:val="0"/>
              <w:widowControl/>
              <w:kinsoku/>
              <w:wordWrap/>
              <w:overflowPunct/>
              <w:topLinePunct w:val="0"/>
              <w:autoSpaceDE/>
              <w:autoSpaceDN/>
              <w:bidi w:val="0"/>
              <w:adjustRightInd/>
              <w:snapToGrid/>
              <w:spacing w:line="200" w:lineRule="exact"/>
              <w:textAlignment w:val="auto"/>
            </w:pPr>
          </w:p>
        </w:tc>
        <w:tc>
          <w:tcPr>
            <w:tcW w:w="2301"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质量指标</w:t>
            </w:r>
          </w:p>
        </w:tc>
        <w:tc>
          <w:tcPr>
            <w:tcW w:w="2877"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拨付质量</w:t>
            </w:r>
          </w:p>
        </w:tc>
        <w:tc>
          <w:tcPr>
            <w:tcW w:w="5470"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拨付质量</w:t>
            </w:r>
          </w:p>
        </w:tc>
        <w:tc>
          <w:tcPr>
            <w:tcW w:w="2301"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拨付质量</w:t>
            </w:r>
          </w:p>
        </w:tc>
        <w:tc>
          <w:tcPr>
            <w:tcW w:w="1294"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冀财建（2025）246号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4" w:hRule="atLeast"/>
        </w:trPr>
        <w:tc>
          <w:tcPr>
            <w:tcW w:w="1294" w:type="dxa"/>
            <w:vMerge w:val="continue"/>
            <w:vAlign w:val="center"/>
          </w:tcPr>
          <w:p>
            <w:pPr>
              <w:keepNext w:val="0"/>
              <w:keepLines w:val="0"/>
              <w:pageBreakBefore w:val="0"/>
              <w:widowControl/>
              <w:kinsoku/>
              <w:wordWrap/>
              <w:overflowPunct/>
              <w:topLinePunct w:val="0"/>
              <w:autoSpaceDE/>
              <w:autoSpaceDN/>
              <w:bidi w:val="0"/>
              <w:adjustRightInd/>
              <w:snapToGrid/>
              <w:spacing w:line="200" w:lineRule="exact"/>
              <w:textAlignment w:val="auto"/>
            </w:pPr>
          </w:p>
        </w:tc>
        <w:tc>
          <w:tcPr>
            <w:tcW w:w="2301"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时效指标</w:t>
            </w:r>
          </w:p>
        </w:tc>
        <w:tc>
          <w:tcPr>
            <w:tcW w:w="2877"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资金拨付及时性</w:t>
            </w:r>
          </w:p>
        </w:tc>
        <w:tc>
          <w:tcPr>
            <w:tcW w:w="5470"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资金拨付及时性</w:t>
            </w:r>
          </w:p>
        </w:tc>
        <w:tc>
          <w:tcPr>
            <w:tcW w:w="2301"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资金拨付及时</w:t>
            </w:r>
          </w:p>
        </w:tc>
        <w:tc>
          <w:tcPr>
            <w:tcW w:w="1294"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冀财建（2025）246号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4" w:hRule="atLeast"/>
        </w:trPr>
        <w:tc>
          <w:tcPr>
            <w:tcW w:w="1294" w:type="dxa"/>
            <w:vAlign w:val="center"/>
          </w:tcPr>
          <w:p>
            <w:pPr>
              <w:pStyle w:val="14"/>
              <w:keepNext w:val="0"/>
              <w:keepLines w:val="0"/>
              <w:pageBreakBefore w:val="0"/>
              <w:widowControl/>
              <w:kinsoku/>
              <w:wordWrap/>
              <w:overflowPunct/>
              <w:topLinePunct w:val="0"/>
              <w:autoSpaceDE/>
              <w:autoSpaceDN/>
              <w:bidi w:val="0"/>
              <w:adjustRightInd/>
              <w:snapToGrid/>
              <w:spacing w:line="200" w:lineRule="exact"/>
              <w:textAlignment w:val="auto"/>
            </w:pPr>
            <w:r>
              <w:t>效益指标</w:t>
            </w:r>
          </w:p>
        </w:tc>
        <w:tc>
          <w:tcPr>
            <w:tcW w:w="2301"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社会效益指标</w:t>
            </w:r>
          </w:p>
        </w:tc>
        <w:tc>
          <w:tcPr>
            <w:tcW w:w="2877"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中小外贸企业国际化经营能力</w:t>
            </w:r>
          </w:p>
        </w:tc>
        <w:tc>
          <w:tcPr>
            <w:tcW w:w="5470"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中小外贸企业国际化经营能力</w:t>
            </w:r>
          </w:p>
        </w:tc>
        <w:tc>
          <w:tcPr>
            <w:tcW w:w="2301"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中小外贸企业国际化经营能力</w:t>
            </w:r>
          </w:p>
        </w:tc>
        <w:tc>
          <w:tcPr>
            <w:tcW w:w="1294"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冀财建（2025）246号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7" w:hRule="atLeast"/>
        </w:trPr>
        <w:tc>
          <w:tcPr>
            <w:tcW w:w="1294" w:type="dxa"/>
            <w:vAlign w:val="center"/>
          </w:tcPr>
          <w:p>
            <w:pPr>
              <w:pStyle w:val="14"/>
              <w:keepNext w:val="0"/>
              <w:keepLines w:val="0"/>
              <w:pageBreakBefore w:val="0"/>
              <w:widowControl/>
              <w:kinsoku/>
              <w:wordWrap/>
              <w:overflowPunct/>
              <w:topLinePunct w:val="0"/>
              <w:autoSpaceDE/>
              <w:autoSpaceDN/>
              <w:bidi w:val="0"/>
              <w:adjustRightInd/>
              <w:snapToGrid/>
              <w:spacing w:line="200" w:lineRule="exact"/>
              <w:textAlignment w:val="auto"/>
            </w:pPr>
            <w:r>
              <w:t>满意度指标</w:t>
            </w:r>
          </w:p>
        </w:tc>
        <w:tc>
          <w:tcPr>
            <w:tcW w:w="2301"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服务对象满意度指标</w:t>
            </w:r>
          </w:p>
        </w:tc>
        <w:tc>
          <w:tcPr>
            <w:tcW w:w="2877"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获得专项资金支持的外经贸企业满意度</w:t>
            </w:r>
          </w:p>
        </w:tc>
        <w:tc>
          <w:tcPr>
            <w:tcW w:w="5470"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获得专项资金支持的外经贸企业满意度</w:t>
            </w:r>
          </w:p>
        </w:tc>
        <w:tc>
          <w:tcPr>
            <w:tcW w:w="2301"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获得专项资金支持的外经贸企业满意度</w:t>
            </w:r>
          </w:p>
        </w:tc>
        <w:tc>
          <w:tcPr>
            <w:tcW w:w="1294" w:type="dxa"/>
            <w:vAlign w:val="center"/>
          </w:tcPr>
          <w:p>
            <w:pPr>
              <w:pStyle w:val="13"/>
              <w:keepNext w:val="0"/>
              <w:keepLines w:val="0"/>
              <w:pageBreakBefore w:val="0"/>
              <w:widowControl/>
              <w:kinsoku/>
              <w:wordWrap/>
              <w:overflowPunct/>
              <w:topLinePunct w:val="0"/>
              <w:autoSpaceDE/>
              <w:autoSpaceDN/>
              <w:bidi w:val="0"/>
              <w:adjustRightInd/>
              <w:snapToGrid/>
              <w:spacing w:line="200" w:lineRule="exact"/>
              <w:textAlignment w:val="auto"/>
            </w:pPr>
            <w:r>
              <w:t>冀财建（2025）246号</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322无极县商务局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无极县商务局（含所属单位）上年末固定资产金额为213.74万元（详见下表）。本年度拟购置固定资产总额为0.00万元，已按要求列入政府采购预算，详见政府采购预算表。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322无极县商务局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680</w:t>
            </w:r>
          </w:p>
        </w:tc>
        <w:tc>
          <w:tcPr>
            <w:tcW w:w="2835" w:type="dxa"/>
            <w:vAlign w:val="center"/>
          </w:tcPr>
          <w:p>
            <w:pPr>
              <w:pStyle w:val="12"/>
            </w:pPr>
            <w:r>
              <w:t>63.31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680</w:t>
            </w:r>
          </w:p>
        </w:tc>
        <w:tc>
          <w:tcPr>
            <w:tcW w:w="2835" w:type="dxa"/>
            <w:vAlign w:val="center"/>
          </w:tcPr>
          <w:p>
            <w:pPr>
              <w:pStyle w:val="12"/>
            </w:pPr>
            <w:r>
              <w:t>63.31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259</w:t>
            </w:r>
          </w:p>
        </w:tc>
        <w:tc>
          <w:tcPr>
            <w:tcW w:w="2835" w:type="dxa"/>
            <w:vAlign w:val="center"/>
          </w:tcPr>
          <w:p>
            <w:pPr>
              <w:pStyle w:val="12"/>
            </w:pPr>
            <w:r>
              <w:t>135.93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586FEC"/>
    <w:rsid w:val="06BA27AF"/>
    <w:rsid w:val="07864339"/>
    <w:rsid w:val="0B2C2184"/>
    <w:rsid w:val="0B9811C3"/>
    <w:rsid w:val="0EBC2BE2"/>
    <w:rsid w:val="10036F74"/>
    <w:rsid w:val="23AC3027"/>
    <w:rsid w:val="31012C04"/>
    <w:rsid w:val="386817BB"/>
    <w:rsid w:val="3BDA08EC"/>
    <w:rsid w:val="4E3B72FE"/>
    <w:rsid w:val="63C51148"/>
    <w:rsid w:val="6E9D3265"/>
    <w:rsid w:val="6FE3114C"/>
    <w:rsid w:val="752367E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Words>1647</Words>
  <Characters>2160</Characters>
  <TotalTime>13</TotalTime>
  <ScaleCrop>false</ScaleCrop>
  <LinksUpToDate>false</LinksUpToDate>
  <CharactersWithSpaces>2208</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2026-02-26T11:26:00Z</dcterms:created>
  <dc:creator>Administrator</dc:creator>
  <cp:lastModifiedBy>雾野sama公子白?</cp:lastModifiedBy>
  <dcterms:modified xsi:type="dcterms:W3CDTF">2026-03-03T07:41:07Z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0F48DC84FB15468A9D0703D49F865F4D_13</vt:lpwstr>
  </property>
  <property fmtid="{D5CDD505-2E9C-101B-9397-08002B2CF9AE}" pid="4" name="KSOTemplateDocerSaveRecord">
    <vt:lpwstr>eyJoZGlkIjoiZDY2YzM3ZmRmNzQyNDkyNDYyYzVmYjM1NmMzYzUzYTgiLCJ1c2VySWQiOiIxNTk4OTA2MjQzIn0=</vt:lpwstr>
  </property>
</Properties>
</file>