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一、无极县城市管理综合行政执法局本级收支预算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一、无极县城市管理综合行政执法局本级收支预算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9184.04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7706.74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5587.55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1140.00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2600.00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9184.04</w:t>
            </w:r>
          </w:p>
        </w:tc>
        <w:tc>
          <w:tcPr>
            <w:tcW w:w="4535" w:type="dxa"/>
            <w:vAlign w:val="center"/>
          </w:tcPr>
          <w:p>
            <w:pPr>
              <w:pStyle w:val="14"/>
            </w:pPr>
            <w:r>
              <w:t>本年支出合计</w:t>
            </w:r>
          </w:p>
        </w:tc>
        <w:tc>
          <w:tcPr>
            <w:tcW w:w="2126" w:type="dxa"/>
            <w:vAlign w:val="center"/>
          </w:tcPr>
          <w:p>
            <w:pPr>
              <w:pStyle w:val="15"/>
            </w:pPr>
            <w:r>
              <w:t>17112.29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7928.25</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17112.29</w:t>
            </w:r>
          </w:p>
        </w:tc>
        <w:tc>
          <w:tcPr>
            <w:tcW w:w="4535" w:type="dxa"/>
            <w:vAlign w:val="center"/>
          </w:tcPr>
          <w:p>
            <w:pPr>
              <w:pStyle w:val="14"/>
            </w:pPr>
            <w:r>
              <w:t>支出总计</w:t>
            </w:r>
          </w:p>
        </w:tc>
        <w:tc>
          <w:tcPr>
            <w:tcW w:w="2126" w:type="dxa"/>
            <w:vAlign w:val="center"/>
          </w:tcPr>
          <w:p>
            <w:pPr>
              <w:pStyle w:val="15"/>
            </w:pPr>
            <w:r>
              <w:t>17112.29</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17112.29</w:t>
            </w:r>
          </w:p>
        </w:tc>
        <w:tc>
          <w:tcPr>
            <w:tcW w:w="1134" w:type="dxa"/>
            <w:vAlign w:val="center"/>
          </w:tcPr>
          <w:p>
            <w:pPr>
              <w:pStyle w:val="15"/>
            </w:pPr>
            <w:r>
              <w:t>9184.04</w:t>
            </w:r>
          </w:p>
        </w:tc>
        <w:tc>
          <w:tcPr>
            <w:tcW w:w="1134" w:type="dxa"/>
            <w:vAlign w:val="center"/>
          </w:tcPr>
          <w:p>
            <w:pPr>
              <w:pStyle w:val="15"/>
            </w:pPr>
            <w:r>
              <w:t>9184.04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7928.25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7706.74</w:t>
            </w:r>
          </w:p>
        </w:tc>
        <w:tc>
          <w:tcPr>
            <w:tcW w:w="1134" w:type="dxa"/>
            <w:vAlign w:val="center"/>
          </w:tcPr>
          <w:p>
            <w:pPr>
              <w:pStyle w:val="11"/>
            </w:pPr>
            <w:r>
              <w:t>5588.74</w:t>
            </w:r>
          </w:p>
        </w:tc>
        <w:tc>
          <w:tcPr>
            <w:tcW w:w="1134" w:type="dxa"/>
            <w:vAlign w:val="center"/>
          </w:tcPr>
          <w:p>
            <w:pPr>
              <w:pStyle w:val="11"/>
            </w:pPr>
            <w:r>
              <w:t>5588.74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7706.74</w:t>
            </w:r>
          </w:p>
        </w:tc>
        <w:tc>
          <w:tcPr>
            <w:tcW w:w="1134" w:type="dxa"/>
            <w:vAlign w:val="center"/>
          </w:tcPr>
          <w:p>
            <w:pPr>
              <w:pStyle w:val="11"/>
            </w:pPr>
            <w:r>
              <w:t>5588.74</w:t>
            </w:r>
          </w:p>
        </w:tc>
        <w:tc>
          <w:tcPr>
            <w:tcW w:w="1134" w:type="dxa"/>
            <w:vAlign w:val="center"/>
          </w:tcPr>
          <w:p>
            <w:pPr>
              <w:pStyle w:val="11"/>
            </w:pPr>
            <w:r>
              <w:t>5588.74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4706.74</w:t>
            </w:r>
          </w:p>
        </w:tc>
        <w:tc>
          <w:tcPr>
            <w:tcW w:w="1134" w:type="dxa"/>
            <w:vAlign w:val="center"/>
          </w:tcPr>
          <w:p>
            <w:pPr>
              <w:pStyle w:val="11"/>
            </w:pPr>
            <w:r>
              <w:t>2588.74</w:t>
            </w:r>
          </w:p>
        </w:tc>
        <w:tc>
          <w:tcPr>
            <w:tcW w:w="1134" w:type="dxa"/>
            <w:vAlign w:val="center"/>
          </w:tcPr>
          <w:p>
            <w:pPr>
              <w:pStyle w:val="11"/>
            </w:pPr>
            <w:r>
              <w:t>2588.74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2110302</w:t>
            </w:r>
          </w:p>
        </w:tc>
        <w:tc>
          <w:tcPr>
            <w:tcW w:w="1559" w:type="dxa"/>
            <w:vAlign w:val="center"/>
          </w:tcPr>
          <w:p>
            <w:pPr>
              <w:pStyle w:val="12"/>
            </w:pPr>
            <w:r>
              <w:t>水体</w:t>
            </w:r>
          </w:p>
        </w:tc>
        <w:tc>
          <w:tcPr>
            <w:tcW w:w="1134" w:type="dxa"/>
            <w:vAlign w:val="center"/>
          </w:tcPr>
          <w:p>
            <w:pPr>
              <w:pStyle w:val="11"/>
            </w:pPr>
            <w:r>
              <w:t>3000.00</w:t>
            </w:r>
          </w:p>
        </w:tc>
        <w:tc>
          <w:tcPr>
            <w:tcW w:w="1134" w:type="dxa"/>
            <w:vAlign w:val="center"/>
          </w:tcPr>
          <w:p>
            <w:pPr>
              <w:pStyle w:val="11"/>
            </w:pPr>
            <w:r>
              <w:t>3000.00</w:t>
            </w:r>
          </w:p>
        </w:tc>
        <w:tc>
          <w:tcPr>
            <w:tcW w:w="1134" w:type="dxa"/>
            <w:vAlign w:val="center"/>
          </w:tcPr>
          <w:p>
            <w:pPr>
              <w:pStyle w:val="11"/>
            </w:pPr>
            <w:r>
              <w:t>3000.00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5587.55</w:t>
            </w:r>
          </w:p>
        </w:tc>
        <w:tc>
          <w:tcPr>
            <w:tcW w:w="1134" w:type="dxa"/>
            <w:vAlign w:val="center"/>
          </w:tcPr>
          <w:p>
            <w:pPr>
              <w:pStyle w:val="11"/>
            </w:pPr>
            <w:r>
              <w:t>3517.30</w:t>
            </w:r>
          </w:p>
        </w:tc>
        <w:tc>
          <w:tcPr>
            <w:tcW w:w="1134" w:type="dxa"/>
            <w:vAlign w:val="center"/>
          </w:tcPr>
          <w:p>
            <w:pPr>
              <w:pStyle w:val="11"/>
            </w:pPr>
            <w:r>
              <w:t>3517.30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2070.25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1797.30</w:t>
            </w:r>
          </w:p>
        </w:tc>
        <w:tc>
          <w:tcPr>
            <w:tcW w:w="1134" w:type="dxa"/>
            <w:vAlign w:val="center"/>
          </w:tcPr>
          <w:p>
            <w:pPr>
              <w:pStyle w:val="11"/>
            </w:pPr>
            <w:r>
              <w:t>1797.30</w:t>
            </w:r>
          </w:p>
        </w:tc>
        <w:tc>
          <w:tcPr>
            <w:tcW w:w="1134" w:type="dxa"/>
            <w:vAlign w:val="center"/>
          </w:tcPr>
          <w:p>
            <w:pPr>
              <w:pStyle w:val="11"/>
            </w:pPr>
            <w:r>
              <w:t>1797.30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2120104</w:t>
            </w:r>
          </w:p>
        </w:tc>
        <w:tc>
          <w:tcPr>
            <w:tcW w:w="1559" w:type="dxa"/>
            <w:vAlign w:val="center"/>
          </w:tcPr>
          <w:p>
            <w:pPr>
              <w:pStyle w:val="12"/>
            </w:pPr>
            <w:r>
              <w:t>城管执法</w:t>
            </w:r>
          </w:p>
        </w:tc>
        <w:tc>
          <w:tcPr>
            <w:tcW w:w="1134" w:type="dxa"/>
            <w:vAlign w:val="center"/>
          </w:tcPr>
          <w:p>
            <w:pPr>
              <w:pStyle w:val="11"/>
            </w:pPr>
            <w:r>
              <w:t>1797.30</w:t>
            </w:r>
          </w:p>
        </w:tc>
        <w:tc>
          <w:tcPr>
            <w:tcW w:w="1134" w:type="dxa"/>
            <w:vAlign w:val="center"/>
          </w:tcPr>
          <w:p>
            <w:pPr>
              <w:pStyle w:val="11"/>
            </w:pPr>
            <w:r>
              <w:t>1797.30</w:t>
            </w:r>
          </w:p>
        </w:tc>
        <w:tc>
          <w:tcPr>
            <w:tcW w:w="1134" w:type="dxa"/>
            <w:vAlign w:val="center"/>
          </w:tcPr>
          <w:p>
            <w:pPr>
              <w:pStyle w:val="11"/>
            </w:pPr>
            <w:r>
              <w:t>1797.30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2336.46</w:t>
            </w:r>
          </w:p>
        </w:tc>
        <w:tc>
          <w:tcPr>
            <w:tcW w:w="1134" w:type="dxa"/>
            <w:vAlign w:val="center"/>
          </w:tcPr>
          <w:p>
            <w:pPr>
              <w:pStyle w:val="11"/>
            </w:pPr>
            <w:r>
              <w:t>1720.00</w:t>
            </w:r>
          </w:p>
        </w:tc>
        <w:tc>
          <w:tcPr>
            <w:tcW w:w="1134" w:type="dxa"/>
            <w:vAlign w:val="center"/>
          </w:tcPr>
          <w:p>
            <w:pPr>
              <w:pStyle w:val="11"/>
            </w:pPr>
            <w:r>
              <w:t>1720.00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2336.46</w:t>
            </w:r>
          </w:p>
        </w:tc>
        <w:tc>
          <w:tcPr>
            <w:tcW w:w="1134" w:type="dxa"/>
            <w:vAlign w:val="center"/>
          </w:tcPr>
          <w:p>
            <w:pPr>
              <w:pStyle w:val="11"/>
            </w:pPr>
            <w:r>
              <w:t>1720.00</w:t>
            </w:r>
          </w:p>
        </w:tc>
        <w:tc>
          <w:tcPr>
            <w:tcW w:w="1134" w:type="dxa"/>
            <w:vAlign w:val="center"/>
          </w:tcPr>
          <w:p>
            <w:pPr>
              <w:pStyle w:val="11"/>
            </w:pPr>
            <w:r>
              <w:t>1720.00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21298</w:t>
            </w:r>
          </w:p>
        </w:tc>
        <w:tc>
          <w:tcPr>
            <w:tcW w:w="1559" w:type="dxa"/>
            <w:vAlign w:val="center"/>
          </w:tcPr>
          <w:p>
            <w:pPr>
              <w:pStyle w:val="12"/>
            </w:pPr>
            <w:r>
              <w:t>超长期特别国债安排的支出</w:t>
            </w:r>
          </w:p>
        </w:tc>
        <w:tc>
          <w:tcPr>
            <w:tcW w:w="1134" w:type="dxa"/>
            <w:vAlign w:val="center"/>
          </w:tcPr>
          <w:p>
            <w:pPr>
              <w:pStyle w:val="11"/>
            </w:pPr>
            <w:r>
              <w:t>1453.79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1453.79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2129899</w:t>
            </w:r>
          </w:p>
        </w:tc>
        <w:tc>
          <w:tcPr>
            <w:tcW w:w="1559" w:type="dxa"/>
            <w:vAlign w:val="center"/>
          </w:tcPr>
          <w:p>
            <w:pPr>
              <w:pStyle w:val="12"/>
            </w:pPr>
            <w:r>
              <w:t>其他城乡社区支出</w:t>
            </w:r>
          </w:p>
        </w:tc>
        <w:tc>
          <w:tcPr>
            <w:tcW w:w="1134" w:type="dxa"/>
            <w:vAlign w:val="center"/>
          </w:tcPr>
          <w:p>
            <w:pPr>
              <w:pStyle w:val="11"/>
            </w:pPr>
            <w:r>
              <w:t>1453.79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1453.79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1140.00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pPr>
            <w:r>
              <w:t>1140.00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2240704</w:t>
            </w:r>
          </w:p>
        </w:tc>
        <w:tc>
          <w:tcPr>
            <w:tcW w:w="1559" w:type="dxa"/>
            <w:vAlign w:val="center"/>
          </w:tcPr>
          <w:p>
            <w:pPr>
              <w:pStyle w:val="12"/>
            </w:pPr>
            <w:r>
              <w:t>自然灾害灾后重建补助</w:t>
            </w:r>
          </w:p>
        </w:tc>
        <w:tc>
          <w:tcPr>
            <w:tcW w:w="1134" w:type="dxa"/>
            <w:vAlign w:val="center"/>
          </w:tcPr>
          <w:p>
            <w:pPr>
              <w:pStyle w:val="11"/>
            </w:pPr>
            <w:r>
              <w:t>1140.00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2600.00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2600.00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2600.00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2600.00</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17112.29</w:t>
            </w:r>
          </w:p>
        </w:tc>
        <w:tc>
          <w:tcPr>
            <w:tcW w:w="1361" w:type="dxa"/>
            <w:vAlign w:val="center"/>
          </w:tcPr>
          <w:p>
            <w:pPr>
              <w:pStyle w:val="15"/>
            </w:pPr>
            <w:r>
              <w:t>2175.30</w:t>
            </w:r>
          </w:p>
        </w:tc>
        <w:tc>
          <w:tcPr>
            <w:tcW w:w="1361" w:type="dxa"/>
            <w:vAlign w:val="center"/>
          </w:tcPr>
          <w:p>
            <w:pPr>
              <w:pStyle w:val="15"/>
            </w:pPr>
            <w:r>
              <w:t>14936.99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55.00</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55.00</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55.00</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7706.74</w:t>
            </w:r>
          </w:p>
        </w:tc>
        <w:tc>
          <w:tcPr>
            <w:tcW w:w="1361" w:type="dxa"/>
            <w:vAlign w:val="center"/>
          </w:tcPr>
          <w:p>
            <w:pPr>
              <w:pStyle w:val="11"/>
            </w:pPr>
          </w:p>
        </w:tc>
        <w:tc>
          <w:tcPr>
            <w:tcW w:w="1361" w:type="dxa"/>
            <w:vAlign w:val="center"/>
          </w:tcPr>
          <w:p>
            <w:pPr>
              <w:pStyle w:val="11"/>
            </w:pPr>
            <w:r>
              <w:t>7706.74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7706.74</w:t>
            </w:r>
          </w:p>
        </w:tc>
        <w:tc>
          <w:tcPr>
            <w:tcW w:w="1361" w:type="dxa"/>
            <w:vAlign w:val="center"/>
          </w:tcPr>
          <w:p>
            <w:pPr>
              <w:pStyle w:val="11"/>
            </w:pPr>
          </w:p>
        </w:tc>
        <w:tc>
          <w:tcPr>
            <w:tcW w:w="1361" w:type="dxa"/>
            <w:vAlign w:val="center"/>
          </w:tcPr>
          <w:p>
            <w:pPr>
              <w:pStyle w:val="11"/>
            </w:pPr>
            <w:r>
              <w:t>7706.74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4706.74</w:t>
            </w:r>
          </w:p>
        </w:tc>
        <w:tc>
          <w:tcPr>
            <w:tcW w:w="1361" w:type="dxa"/>
            <w:vAlign w:val="center"/>
          </w:tcPr>
          <w:p>
            <w:pPr>
              <w:pStyle w:val="11"/>
            </w:pPr>
          </w:p>
        </w:tc>
        <w:tc>
          <w:tcPr>
            <w:tcW w:w="1361" w:type="dxa"/>
            <w:vAlign w:val="center"/>
          </w:tcPr>
          <w:p>
            <w:pPr>
              <w:pStyle w:val="11"/>
            </w:pPr>
            <w:r>
              <w:t>4706.74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2110302</w:t>
            </w:r>
          </w:p>
        </w:tc>
        <w:tc>
          <w:tcPr>
            <w:tcW w:w="4535" w:type="dxa"/>
            <w:vAlign w:val="center"/>
          </w:tcPr>
          <w:p>
            <w:pPr>
              <w:pStyle w:val="12"/>
            </w:pPr>
            <w:r>
              <w:t>水体</w:t>
            </w: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5587.55</w:t>
            </w:r>
          </w:p>
        </w:tc>
        <w:tc>
          <w:tcPr>
            <w:tcW w:w="1361" w:type="dxa"/>
            <w:vAlign w:val="center"/>
          </w:tcPr>
          <w:p>
            <w:pPr>
              <w:pStyle w:val="11"/>
            </w:pPr>
            <w:r>
              <w:t>2097.30</w:t>
            </w:r>
          </w:p>
        </w:tc>
        <w:tc>
          <w:tcPr>
            <w:tcW w:w="1361" w:type="dxa"/>
            <w:vAlign w:val="center"/>
          </w:tcPr>
          <w:p>
            <w:pPr>
              <w:pStyle w:val="11"/>
            </w:pPr>
            <w:r>
              <w:t>3490.25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1797.30</w:t>
            </w:r>
          </w:p>
        </w:tc>
        <w:tc>
          <w:tcPr>
            <w:tcW w:w="1361" w:type="dxa"/>
            <w:vAlign w:val="center"/>
          </w:tcPr>
          <w:p>
            <w:pPr>
              <w:pStyle w:val="11"/>
            </w:pPr>
            <w:r>
              <w:t>1797.30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2120104</w:t>
            </w:r>
          </w:p>
        </w:tc>
        <w:tc>
          <w:tcPr>
            <w:tcW w:w="4535" w:type="dxa"/>
            <w:vAlign w:val="center"/>
          </w:tcPr>
          <w:p>
            <w:pPr>
              <w:pStyle w:val="12"/>
            </w:pPr>
            <w:r>
              <w:t>城管执法</w:t>
            </w:r>
          </w:p>
        </w:tc>
        <w:tc>
          <w:tcPr>
            <w:tcW w:w="1361" w:type="dxa"/>
            <w:vAlign w:val="center"/>
          </w:tcPr>
          <w:p>
            <w:pPr>
              <w:pStyle w:val="11"/>
            </w:pPr>
            <w:r>
              <w:t>1797.30</w:t>
            </w:r>
          </w:p>
        </w:tc>
        <w:tc>
          <w:tcPr>
            <w:tcW w:w="1361" w:type="dxa"/>
            <w:vAlign w:val="center"/>
          </w:tcPr>
          <w:p>
            <w:pPr>
              <w:pStyle w:val="11"/>
            </w:pPr>
            <w:r>
              <w:t>1797.30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2336.46</w:t>
            </w:r>
          </w:p>
        </w:tc>
        <w:tc>
          <w:tcPr>
            <w:tcW w:w="1361" w:type="dxa"/>
            <w:vAlign w:val="center"/>
          </w:tcPr>
          <w:p>
            <w:pPr>
              <w:pStyle w:val="11"/>
            </w:pPr>
            <w:r>
              <w:t>300.00</w:t>
            </w:r>
          </w:p>
        </w:tc>
        <w:tc>
          <w:tcPr>
            <w:tcW w:w="1361" w:type="dxa"/>
            <w:vAlign w:val="center"/>
          </w:tcPr>
          <w:p>
            <w:pPr>
              <w:pStyle w:val="11"/>
            </w:pPr>
            <w:r>
              <w:t>2036.46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2336.46</w:t>
            </w:r>
          </w:p>
        </w:tc>
        <w:tc>
          <w:tcPr>
            <w:tcW w:w="1361" w:type="dxa"/>
            <w:vAlign w:val="center"/>
          </w:tcPr>
          <w:p>
            <w:pPr>
              <w:pStyle w:val="11"/>
            </w:pPr>
            <w:r>
              <w:t>300.00</w:t>
            </w:r>
          </w:p>
        </w:tc>
        <w:tc>
          <w:tcPr>
            <w:tcW w:w="1361" w:type="dxa"/>
            <w:vAlign w:val="center"/>
          </w:tcPr>
          <w:p>
            <w:pPr>
              <w:pStyle w:val="11"/>
            </w:pPr>
            <w:r>
              <w:t>2036.46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21298</w:t>
            </w:r>
          </w:p>
        </w:tc>
        <w:tc>
          <w:tcPr>
            <w:tcW w:w="4535" w:type="dxa"/>
            <w:vAlign w:val="center"/>
          </w:tcPr>
          <w:p>
            <w:pPr>
              <w:pStyle w:val="12"/>
            </w:pPr>
            <w:r>
              <w:t>超长期特别国债安排的支出</w:t>
            </w:r>
          </w:p>
        </w:tc>
        <w:tc>
          <w:tcPr>
            <w:tcW w:w="1361" w:type="dxa"/>
            <w:vAlign w:val="center"/>
          </w:tcPr>
          <w:p>
            <w:pPr>
              <w:pStyle w:val="11"/>
            </w:pPr>
            <w:r>
              <w:t>1453.79</w:t>
            </w:r>
          </w:p>
        </w:tc>
        <w:tc>
          <w:tcPr>
            <w:tcW w:w="1361" w:type="dxa"/>
            <w:vAlign w:val="center"/>
          </w:tcPr>
          <w:p>
            <w:pPr>
              <w:pStyle w:val="11"/>
            </w:pPr>
          </w:p>
        </w:tc>
        <w:tc>
          <w:tcPr>
            <w:tcW w:w="1361" w:type="dxa"/>
            <w:vAlign w:val="center"/>
          </w:tcPr>
          <w:p>
            <w:pPr>
              <w:pStyle w:val="11"/>
            </w:pPr>
            <w:r>
              <w:t>1453.79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2129899</w:t>
            </w:r>
          </w:p>
        </w:tc>
        <w:tc>
          <w:tcPr>
            <w:tcW w:w="4535" w:type="dxa"/>
            <w:vAlign w:val="center"/>
          </w:tcPr>
          <w:p>
            <w:pPr>
              <w:pStyle w:val="12"/>
            </w:pPr>
            <w:r>
              <w:t>其他城乡社区支出</w:t>
            </w:r>
          </w:p>
        </w:tc>
        <w:tc>
          <w:tcPr>
            <w:tcW w:w="1361" w:type="dxa"/>
            <w:vAlign w:val="center"/>
          </w:tcPr>
          <w:p>
            <w:pPr>
              <w:pStyle w:val="11"/>
            </w:pPr>
            <w:r>
              <w:t>1453.79</w:t>
            </w:r>
          </w:p>
        </w:tc>
        <w:tc>
          <w:tcPr>
            <w:tcW w:w="1361" w:type="dxa"/>
            <w:vAlign w:val="center"/>
          </w:tcPr>
          <w:p>
            <w:pPr>
              <w:pStyle w:val="11"/>
            </w:pPr>
          </w:p>
        </w:tc>
        <w:tc>
          <w:tcPr>
            <w:tcW w:w="1361" w:type="dxa"/>
            <w:vAlign w:val="center"/>
          </w:tcPr>
          <w:p>
            <w:pPr>
              <w:pStyle w:val="11"/>
            </w:pPr>
            <w:r>
              <w:t>1453.79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1140.00</w:t>
            </w:r>
          </w:p>
        </w:tc>
        <w:tc>
          <w:tcPr>
            <w:tcW w:w="1361" w:type="dxa"/>
            <w:vAlign w:val="center"/>
          </w:tcPr>
          <w:p>
            <w:pPr>
              <w:pStyle w:val="11"/>
            </w:pPr>
          </w:p>
        </w:tc>
        <w:tc>
          <w:tcPr>
            <w:tcW w:w="1361" w:type="dxa"/>
            <w:vAlign w:val="center"/>
          </w:tcPr>
          <w:p>
            <w:pPr>
              <w:pStyle w:val="11"/>
            </w:pPr>
            <w:r>
              <w:t>1140.00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pStyle w:val="11"/>
            </w:pPr>
            <w:r>
              <w:t>1140.00</w:t>
            </w:r>
          </w:p>
        </w:tc>
        <w:tc>
          <w:tcPr>
            <w:tcW w:w="1361" w:type="dxa"/>
            <w:vAlign w:val="center"/>
          </w:tcPr>
          <w:p>
            <w:pPr>
              <w:pStyle w:val="11"/>
            </w:pPr>
          </w:p>
        </w:tc>
        <w:tc>
          <w:tcPr>
            <w:tcW w:w="1361" w:type="dxa"/>
            <w:vAlign w:val="center"/>
          </w:tcPr>
          <w:p>
            <w:pPr>
              <w:pStyle w:val="11"/>
            </w:pPr>
            <w:r>
              <w:t>1140.00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2240704</w:t>
            </w:r>
          </w:p>
        </w:tc>
        <w:tc>
          <w:tcPr>
            <w:tcW w:w="4535" w:type="dxa"/>
            <w:vAlign w:val="center"/>
          </w:tcPr>
          <w:p>
            <w:pPr>
              <w:pStyle w:val="12"/>
            </w:pPr>
            <w:r>
              <w:t>自然灾害灾后重建补助</w:t>
            </w:r>
          </w:p>
        </w:tc>
        <w:tc>
          <w:tcPr>
            <w:tcW w:w="1361" w:type="dxa"/>
            <w:vAlign w:val="center"/>
          </w:tcPr>
          <w:p>
            <w:pPr>
              <w:pStyle w:val="11"/>
            </w:pPr>
            <w:r>
              <w:t>1140.00</w:t>
            </w:r>
          </w:p>
        </w:tc>
        <w:tc>
          <w:tcPr>
            <w:tcW w:w="1361" w:type="dxa"/>
            <w:vAlign w:val="center"/>
          </w:tcPr>
          <w:p>
            <w:pPr>
              <w:pStyle w:val="11"/>
            </w:pPr>
          </w:p>
        </w:tc>
        <w:tc>
          <w:tcPr>
            <w:tcW w:w="1361" w:type="dxa"/>
            <w:vAlign w:val="center"/>
          </w:tcPr>
          <w:p>
            <w:pPr>
              <w:pStyle w:val="11"/>
            </w:pPr>
            <w:r>
              <w:t>1140.00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2600.00</w:t>
            </w:r>
          </w:p>
        </w:tc>
        <w:tc>
          <w:tcPr>
            <w:tcW w:w="1361" w:type="dxa"/>
            <w:vAlign w:val="center"/>
          </w:tcPr>
          <w:p>
            <w:pPr>
              <w:pStyle w:val="11"/>
            </w:pPr>
          </w:p>
        </w:tc>
        <w:tc>
          <w:tcPr>
            <w:tcW w:w="1361" w:type="dxa"/>
            <w:vAlign w:val="center"/>
          </w:tcPr>
          <w:p>
            <w:pPr>
              <w:pStyle w:val="11"/>
            </w:pPr>
            <w:r>
              <w:t>2600.00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2600.00</w:t>
            </w:r>
          </w:p>
        </w:tc>
        <w:tc>
          <w:tcPr>
            <w:tcW w:w="1361" w:type="dxa"/>
            <w:vAlign w:val="center"/>
          </w:tcPr>
          <w:p>
            <w:pPr>
              <w:pStyle w:val="11"/>
            </w:pPr>
          </w:p>
        </w:tc>
        <w:tc>
          <w:tcPr>
            <w:tcW w:w="1361" w:type="dxa"/>
            <w:vAlign w:val="center"/>
          </w:tcPr>
          <w:p>
            <w:pPr>
              <w:pStyle w:val="11"/>
            </w:pPr>
            <w:r>
              <w:t>2600.00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2600.00</w:t>
            </w:r>
          </w:p>
        </w:tc>
        <w:tc>
          <w:tcPr>
            <w:tcW w:w="1361" w:type="dxa"/>
            <w:vAlign w:val="center"/>
          </w:tcPr>
          <w:p>
            <w:pPr>
              <w:pStyle w:val="11"/>
            </w:pPr>
          </w:p>
        </w:tc>
        <w:tc>
          <w:tcPr>
            <w:tcW w:w="1361" w:type="dxa"/>
            <w:vAlign w:val="center"/>
          </w:tcPr>
          <w:p>
            <w:pPr>
              <w:pStyle w:val="11"/>
            </w:pPr>
            <w:r>
              <w:t>2600.00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9184.04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55.00</w:t>
            </w:r>
          </w:p>
        </w:tc>
        <w:tc>
          <w:tcPr>
            <w:tcW w:w="1474" w:type="dxa"/>
            <w:vAlign w:val="center"/>
          </w:tcPr>
          <w:p>
            <w:pPr>
              <w:pStyle w:val="11"/>
            </w:pPr>
            <w:r>
              <w:t>55.00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23.00</w:t>
            </w:r>
          </w:p>
        </w:tc>
        <w:tc>
          <w:tcPr>
            <w:tcW w:w="1474" w:type="dxa"/>
            <w:vAlign w:val="center"/>
          </w:tcPr>
          <w:p>
            <w:pPr>
              <w:pStyle w:val="11"/>
            </w:pPr>
            <w:r>
              <w:t>23.00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7706.74</w:t>
            </w:r>
          </w:p>
        </w:tc>
        <w:tc>
          <w:tcPr>
            <w:tcW w:w="1474" w:type="dxa"/>
            <w:vAlign w:val="center"/>
          </w:tcPr>
          <w:p>
            <w:pPr>
              <w:pStyle w:val="11"/>
            </w:pPr>
            <w:r>
              <w:t>7706.74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5587.55</w:t>
            </w:r>
          </w:p>
        </w:tc>
        <w:tc>
          <w:tcPr>
            <w:tcW w:w="1474" w:type="dxa"/>
            <w:vAlign w:val="center"/>
          </w:tcPr>
          <w:p>
            <w:pPr>
              <w:pStyle w:val="11"/>
            </w:pPr>
            <w:r>
              <w:t>4133.76</w:t>
            </w:r>
          </w:p>
        </w:tc>
        <w:tc>
          <w:tcPr>
            <w:tcW w:w="1474" w:type="dxa"/>
            <w:vAlign w:val="center"/>
          </w:tcPr>
          <w:p>
            <w:pPr>
              <w:pStyle w:val="11"/>
            </w:pPr>
            <w:r>
              <w:t>1453.79</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1140.00</w:t>
            </w:r>
          </w:p>
        </w:tc>
        <w:tc>
          <w:tcPr>
            <w:tcW w:w="1474" w:type="dxa"/>
            <w:vAlign w:val="center"/>
          </w:tcPr>
          <w:p>
            <w:pPr>
              <w:pStyle w:val="11"/>
            </w:pPr>
            <w:r>
              <w:t>1140.00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2600.00</w:t>
            </w:r>
          </w:p>
        </w:tc>
        <w:tc>
          <w:tcPr>
            <w:tcW w:w="1474" w:type="dxa"/>
            <w:vAlign w:val="center"/>
          </w:tcPr>
          <w:p>
            <w:pPr>
              <w:pStyle w:val="11"/>
            </w:pPr>
          </w:p>
        </w:tc>
        <w:tc>
          <w:tcPr>
            <w:tcW w:w="1474" w:type="dxa"/>
            <w:vAlign w:val="center"/>
          </w:tcPr>
          <w:p>
            <w:pPr>
              <w:pStyle w:val="11"/>
            </w:pPr>
            <w:r>
              <w:t>2600.00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9184.04</w:t>
            </w:r>
          </w:p>
        </w:tc>
        <w:tc>
          <w:tcPr>
            <w:tcW w:w="3402" w:type="dxa"/>
            <w:vAlign w:val="center"/>
          </w:tcPr>
          <w:p>
            <w:pPr>
              <w:pStyle w:val="14"/>
            </w:pPr>
            <w:r>
              <w:t>本年支出合计</w:t>
            </w:r>
          </w:p>
        </w:tc>
        <w:tc>
          <w:tcPr>
            <w:tcW w:w="1474" w:type="dxa"/>
            <w:vAlign w:val="center"/>
          </w:tcPr>
          <w:p>
            <w:pPr>
              <w:pStyle w:val="15"/>
            </w:pPr>
            <w:r>
              <w:t>17112.29</w:t>
            </w:r>
          </w:p>
        </w:tc>
        <w:tc>
          <w:tcPr>
            <w:tcW w:w="1474" w:type="dxa"/>
            <w:vAlign w:val="center"/>
          </w:tcPr>
          <w:p>
            <w:pPr>
              <w:pStyle w:val="15"/>
            </w:pPr>
            <w:r>
              <w:t>13058.50</w:t>
            </w:r>
          </w:p>
        </w:tc>
        <w:tc>
          <w:tcPr>
            <w:tcW w:w="1474" w:type="dxa"/>
            <w:vAlign w:val="center"/>
          </w:tcPr>
          <w:p>
            <w:pPr>
              <w:pStyle w:val="15"/>
            </w:pPr>
            <w:r>
              <w:t>4053.79</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7928.25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3874.46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4053.79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17112.29</w:t>
            </w:r>
          </w:p>
        </w:tc>
        <w:tc>
          <w:tcPr>
            <w:tcW w:w="3402" w:type="dxa"/>
            <w:vAlign w:val="center"/>
          </w:tcPr>
          <w:p>
            <w:pPr>
              <w:pStyle w:val="14"/>
            </w:pPr>
            <w:r>
              <w:t>支出总计</w:t>
            </w:r>
          </w:p>
        </w:tc>
        <w:tc>
          <w:tcPr>
            <w:tcW w:w="1474" w:type="dxa"/>
            <w:vAlign w:val="center"/>
          </w:tcPr>
          <w:p>
            <w:pPr>
              <w:pStyle w:val="15"/>
            </w:pPr>
            <w:r>
              <w:t>17112.29</w:t>
            </w:r>
          </w:p>
        </w:tc>
        <w:tc>
          <w:tcPr>
            <w:tcW w:w="1474" w:type="dxa"/>
            <w:vAlign w:val="center"/>
          </w:tcPr>
          <w:p>
            <w:pPr>
              <w:pStyle w:val="15"/>
            </w:pPr>
            <w:r>
              <w:t>13058.50</w:t>
            </w:r>
          </w:p>
        </w:tc>
        <w:tc>
          <w:tcPr>
            <w:tcW w:w="1474" w:type="dxa"/>
            <w:vAlign w:val="center"/>
          </w:tcPr>
          <w:p>
            <w:pPr>
              <w:pStyle w:val="15"/>
            </w:pPr>
            <w:r>
              <w:t>4053.79</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13058.50</w:t>
            </w:r>
          </w:p>
        </w:tc>
        <w:tc>
          <w:tcPr>
            <w:tcW w:w="2551" w:type="dxa"/>
            <w:vAlign w:val="center"/>
          </w:tcPr>
          <w:p>
            <w:pPr>
              <w:pStyle w:val="15"/>
            </w:pPr>
            <w:r>
              <w:t>2175.30</w:t>
            </w:r>
          </w:p>
        </w:tc>
        <w:tc>
          <w:tcPr>
            <w:tcW w:w="2551" w:type="dxa"/>
            <w:vAlign w:val="center"/>
          </w:tcPr>
          <w:p>
            <w:pPr>
              <w:pStyle w:val="15"/>
            </w:pPr>
            <w:r>
              <w:t>10883.20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7706.74</w:t>
            </w:r>
          </w:p>
        </w:tc>
        <w:tc>
          <w:tcPr>
            <w:tcW w:w="2551" w:type="dxa"/>
            <w:vAlign w:val="center"/>
          </w:tcPr>
          <w:p>
            <w:pPr>
              <w:pStyle w:val="11"/>
            </w:pPr>
          </w:p>
        </w:tc>
        <w:tc>
          <w:tcPr>
            <w:tcW w:w="2551" w:type="dxa"/>
            <w:vAlign w:val="center"/>
          </w:tcPr>
          <w:p>
            <w:pPr>
              <w:pStyle w:val="11"/>
            </w:pPr>
            <w:r>
              <w:t>7706.74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7706.74</w:t>
            </w:r>
          </w:p>
        </w:tc>
        <w:tc>
          <w:tcPr>
            <w:tcW w:w="2551" w:type="dxa"/>
            <w:vAlign w:val="center"/>
          </w:tcPr>
          <w:p>
            <w:pPr>
              <w:pStyle w:val="11"/>
            </w:pPr>
          </w:p>
        </w:tc>
        <w:tc>
          <w:tcPr>
            <w:tcW w:w="2551" w:type="dxa"/>
            <w:vAlign w:val="center"/>
          </w:tcPr>
          <w:p>
            <w:pPr>
              <w:pStyle w:val="11"/>
            </w:pPr>
            <w:r>
              <w:t>7706.74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4706.74</w:t>
            </w:r>
          </w:p>
        </w:tc>
        <w:tc>
          <w:tcPr>
            <w:tcW w:w="2551" w:type="dxa"/>
            <w:vAlign w:val="center"/>
          </w:tcPr>
          <w:p>
            <w:pPr>
              <w:pStyle w:val="11"/>
            </w:pPr>
          </w:p>
        </w:tc>
        <w:tc>
          <w:tcPr>
            <w:tcW w:w="2551" w:type="dxa"/>
            <w:vAlign w:val="center"/>
          </w:tcPr>
          <w:p>
            <w:pPr>
              <w:pStyle w:val="11"/>
            </w:pPr>
            <w:r>
              <w:t>4706.74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2110302</w:t>
            </w:r>
          </w:p>
        </w:tc>
        <w:tc>
          <w:tcPr>
            <w:tcW w:w="4535" w:type="dxa"/>
            <w:vAlign w:val="center"/>
          </w:tcPr>
          <w:p>
            <w:pPr>
              <w:pStyle w:val="12"/>
            </w:pPr>
            <w:r>
              <w:t>水体</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4133.76</w:t>
            </w:r>
          </w:p>
        </w:tc>
        <w:tc>
          <w:tcPr>
            <w:tcW w:w="2551" w:type="dxa"/>
            <w:vAlign w:val="center"/>
          </w:tcPr>
          <w:p>
            <w:pPr>
              <w:pStyle w:val="11"/>
            </w:pPr>
            <w:r>
              <w:t>2097.30</w:t>
            </w:r>
          </w:p>
        </w:tc>
        <w:tc>
          <w:tcPr>
            <w:tcW w:w="2551" w:type="dxa"/>
            <w:vAlign w:val="center"/>
          </w:tcPr>
          <w:p>
            <w:pPr>
              <w:pStyle w:val="11"/>
            </w:pPr>
            <w:r>
              <w:t>2036.46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1797.30</w:t>
            </w:r>
          </w:p>
        </w:tc>
        <w:tc>
          <w:tcPr>
            <w:tcW w:w="2551" w:type="dxa"/>
            <w:vAlign w:val="center"/>
          </w:tcPr>
          <w:p>
            <w:pPr>
              <w:pStyle w:val="11"/>
            </w:pPr>
            <w:r>
              <w:t>1797.30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2120104</w:t>
            </w:r>
          </w:p>
        </w:tc>
        <w:tc>
          <w:tcPr>
            <w:tcW w:w="4535" w:type="dxa"/>
            <w:vAlign w:val="center"/>
          </w:tcPr>
          <w:p>
            <w:pPr>
              <w:pStyle w:val="12"/>
            </w:pPr>
            <w:r>
              <w:t>城管执法</w:t>
            </w:r>
          </w:p>
        </w:tc>
        <w:tc>
          <w:tcPr>
            <w:tcW w:w="2551" w:type="dxa"/>
            <w:vAlign w:val="center"/>
          </w:tcPr>
          <w:p>
            <w:pPr>
              <w:pStyle w:val="11"/>
            </w:pPr>
            <w:r>
              <w:t>1797.30</w:t>
            </w:r>
          </w:p>
        </w:tc>
        <w:tc>
          <w:tcPr>
            <w:tcW w:w="2551" w:type="dxa"/>
            <w:vAlign w:val="center"/>
          </w:tcPr>
          <w:p>
            <w:pPr>
              <w:pStyle w:val="11"/>
            </w:pPr>
            <w:r>
              <w:t>1797.30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2336.46</w:t>
            </w:r>
          </w:p>
        </w:tc>
        <w:tc>
          <w:tcPr>
            <w:tcW w:w="2551" w:type="dxa"/>
            <w:vAlign w:val="center"/>
          </w:tcPr>
          <w:p>
            <w:pPr>
              <w:pStyle w:val="11"/>
            </w:pPr>
            <w:r>
              <w:t>300.00</w:t>
            </w:r>
          </w:p>
        </w:tc>
        <w:tc>
          <w:tcPr>
            <w:tcW w:w="2551" w:type="dxa"/>
            <w:vAlign w:val="center"/>
          </w:tcPr>
          <w:p>
            <w:pPr>
              <w:pStyle w:val="11"/>
            </w:pPr>
            <w:r>
              <w:t>2036.46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2336.46</w:t>
            </w:r>
          </w:p>
        </w:tc>
        <w:tc>
          <w:tcPr>
            <w:tcW w:w="2551" w:type="dxa"/>
            <w:vAlign w:val="center"/>
          </w:tcPr>
          <w:p>
            <w:pPr>
              <w:pStyle w:val="11"/>
            </w:pPr>
            <w:r>
              <w:t>300.00</w:t>
            </w:r>
          </w:p>
        </w:tc>
        <w:tc>
          <w:tcPr>
            <w:tcW w:w="2551" w:type="dxa"/>
            <w:vAlign w:val="center"/>
          </w:tcPr>
          <w:p>
            <w:pPr>
              <w:pStyle w:val="11"/>
            </w:pPr>
            <w:r>
              <w:t>2036.46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1140.00</w:t>
            </w:r>
          </w:p>
        </w:tc>
        <w:tc>
          <w:tcPr>
            <w:tcW w:w="2551" w:type="dxa"/>
            <w:vAlign w:val="center"/>
          </w:tcPr>
          <w:p>
            <w:pPr>
              <w:pStyle w:val="11"/>
            </w:pPr>
          </w:p>
        </w:tc>
        <w:tc>
          <w:tcPr>
            <w:tcW w:w="2551" w:type="dxa"/>
            <w:vAlign w:val="center"/>
          </w:tcPr>
          <w:p>
            <w:pPr>
              <w:pStyle w:val="11"/>
            </w:pPr>
            <w:r>
              <w:t>1140.00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t>1140.00</w:t>
            </w:r>
          </w:p>
        </w:tc>
        <w:tc>
          <w:tcPr>
            <w:tcW w:w="2551" w:type="dxa"/>
            <w:vAlign w:val="center"/>
          </w:tcPr>
          <w:p>
            <w:pPr>
              <w:pStyle w:val="11"/>
            </w:pPr>
          </w:p>
        </w:tc>
        <w:tc>
          <w:tcPr>
            <w:tcW w:w="2551" w:type="dxa"/>
            <w:vAlign w:val="center"/>
          </w:tcPr>
          <w:p>
            <w:pPr>
              <w:pStyle w:val="11"/>
            </w:pPr>
            <w:r>
              <w:t>1140.00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2240704</w:t>
            </w:r>
          </w:p>
        </w:tc>
        <w:tc>
          <w:tcPr>
            <w:tcW w:w="4535" w:type="dxa"/>
            <w:vAlign w:val="center"/>
          </w:tcPr>
          <w:p>
            <w:pPr>
              <w:pStyle w:val="12"/>
            </w:pPr>
            <w:r>
              <w:t>自然灾害灾后重建补助</w:t>
            </w:r>
          </w:p>
        </w:tc>
        <w:tc>
          <w:tcPr>
            <w:tcW w:w="2551" w:type="dxa"/>
            <w:vAlign w:val="center"/>
          </w:tcPr>
          <w:p>
            <w:pPr>
              <w:pStyle w:val="11"/>
            </w:pPr>
            <w:r>
              <w:t>1140.00</w:t>
            </w:r>
          </w:p>
        </w:tc>
        <w:tc>
          <w:tcPr>
            <w:tcW w:w="2551" w:type="dxa"/>
            <w:vAlign w:val="center"/>
          </w:tcPr>
          <w:p>
            <w:pPr>
              <w:pStyle w:val="11"/>
            </w:pPr>
          </w:p>
        </w:tc>
        <w:tc>
          <w:tcPr>
            <w:tcW w:w="2551" w:type="dxa"/>
            <w:vAlign w:val="center"/>
          </w:tcPr>
          <w:p>
            <w:pPr>
              <w:pStyle w:val="11"/>
            </w:pPr>
            <w:r>
              <w:t>1140.00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2175.30</w:t>
            </w:r>
          </w:p>
        </w:tc>
        <w:tc>
          <w:tcPr>
            <w:tcW w:w="2551" w:type="dxa"/>
            <w:vAlign w:val="center"/>
          </w:tcPr>
          <w:p>
            <w:pPr>
              <w:pStyle w:val="15"/>
            </w:pPr>
            <w:r>
              <w:t>2158.30</w:t>
            </w:r>
          </w:p>
        </w:tc>
        <w:tc>
          <w:tcPr>
            <w:tcW w:w="2551" w:type="dxa"/>
            <w:vAlign w:val="center"/>
          </w:tcPr>
          <w:p>
            <w:pPr>
              <w:pStyle w:val="15"/>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2142.40</w:t>
            </w:r>
          </w:p>
        </w:tc>
        <w:tc>
          <w:tcPr>
            <w:tcW w:w="2551" w:type="dxa"/>
            <w:vAlign w:val="center"/>
          </w:tcPr>
          <w:p>
            <w:pPr>
              <w:pStyle w:val="11"/>
            </w:pPr>
            <w:r>
              <w:t>2142.40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1879.00</w:t>
            </w:r>
          </w:p>
        </w:tc>
        <w:tc>
          <w:tcPr>
            <w:tcW w:w="2551" w:type="dxa"/>
            <w:vAlign w:val="center"/>
          </w:tcPr>
          <w:p>
            <w:pPr>
              <w:pStyle w:val="11"/>
            </w:pPr>
            <w:r>
              <w:t>1879.00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30.70</w:t>
            </w:r>
          </w:p>
        </w:tc>
        <w:tc>
          <w:tcPr>
            <w:tcW w:w="2551" w:type="dxa"/>
            <w:vAlign w:val="center"/>
          </w:tcPr>
          <w:p>
            <w:pPr>
              <w:pStyle w:val="11"/>
            </w:pPr>
            <w:r>
              <w:t>30.70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100.70</w:t>
            </w:r>
          </w:p>
        </w:tc>
        <w:tc>
          <w:tcPr>
            <w:tcW w:w="2551" w:type="dxa"/>
            <w:vAlign w:val="center"/>
          </w:tcPr>
          <w:p>
            <w:pPr>
              <w:pStyle w:val="11"/>
            </w:pPr>
            <w:r>
              <w:t>100.70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55.00</w:t>
            </w:r>
          </w:p>
        </w:tc>
        <w:tc>
          <w:tcPr>
            <w:tcW w:w="2551" w:type="dxa"/>
            <w:vAlign w:val="center"/>
          </w:tcPr>
          <w:p>
            <w:pPr>
              <w:pStyle w:val="11"/>
            </w:pPr>
            <w:r>
              <w:t>55.00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15.90</w:t>
            </w:r>
          </w:p>
        </w:tc>
        <w:tc>
          <w:tcPr>
            <w:tcW w:w="2551" w:type="dxa"/>
            <w:vAlign w:val="center"/>
          </w:tcPr>
          <w:p>
            <w:pPr>
              <w:pStyle w:val="11"/>
            </w:pPr>
            <w:r>
              <w:t>15.90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15.90</w:t>
            </w:r>
          </w:p>
        </w:tc>
        <w:tc>
          <w:tcPr>
            <w:tcW w:w="2551" w:type="dxa"/>
            <w:vAlign w:val="center"/>
          </w:tcPr>
          <w:p>
            <w:pPr>
              <w:pStyle w:val="11"/>
            </w:pPr>
            <w:r>
              <w:t>15.90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4053.79</w:t>
            </w:r>
          </w:p>
        </w:tc>
        <w:tc>
          <w:tcPr>
            <w:tcW w:w="2551" w:type="dxa"/>
            <w:vAlign w:val="center"/>
          </w:tcPr>
          <w:p>
            <w:pPr>
              <w:pStyle w:val="15"/>
            </w:pPr>
          </w:p>
        </w:tc>
        <w:tc>
          <w:tcPr>
            <w:tcW w:w="2551" w:type="dxa"/>
            <w:vAlign w:val="center"/>
          </w:tcPr>
          <w:p>
            <w:pPr>
              <w:pStyle w:val="15"/>
            </w:pPr>
            <w:r>
              <w:t>4053.79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1453.79</w:t>
            </w:r>
          </w:p>
        </w:tc>
        <w:tc>
          <w:tcPr>
            <w:tcW w:w="2551" w:type="dxa"/>
            <w:vAlign w:val="center"/>
          </w:tcPr>
          <w:p>
            <w:pPr>
              <w:pStyle w:val="11"/>
            </w:pPr>
          </w:p>
        </w:tc>
        <w:tc>
          <w:tcPr>
            <w:tcW w:w="2551" w:type="dxa"/>
            <w:vAlign w:val="center"/>
          </w:tcPr>
          <w:p>
            <w:pPr>
              <w:pStyle w:val="11"/>
            </w:pPr>
            <w:r>
              <w:t>1453.79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21298</w:t>
            </w:r>
          </w:p>
        </w:tc>
        <w:tc>
          <w:tcPr>
            <w:tcW w:w="4535" w:type="dxa"/>
            <w:vAlign w:val="center"/>
          </w:tcPr>
          <w:p>
            <w:pPr>
              <w:pStyle w:val="12"/>
            </w:pPr>
            <w:r>
              <w:t>超长期特别国债安排的支出</w:t>
            </w:r>
          </w:p>
        </w:tc>
        <w:tc>
          <w:tcPr>
            <w:tcW w:w="2551" w:type="dxa"/>
            <w:vAlign w:val="center"/>
          </w:tcPr>
          <w:p>
            <w:pPr>
              <w:pStyle w:val="11"/>
            </w:pPr>
            <w:r>
              <w:t>1453.79</w:t>
            </w:r>
          </w:p>
        </w:tc>
        <w:tc>
          <w:tcPr>
            <w:tcW w:w="2551" w:type="dxa"/>
            <w:vAlign w:val="center"/>
          </w:tcPr>
          <w:p>
            <w:pPr>
              <w:pStyle w:val="11"/>
            </w:pPr>
          </w:p>
        </w:tc>
        <w:tc>
          <w:tcPr>
            <w:tcW w:w="2551" w:type="dxa"/>
            <w:vAlign w:val="center"/>
          </w:tcPr>
          <w:p>
            <w:pPr>
              <w:pStyle w:val="11"/>
            </w:pPr>
            <w:r>
              <w:t>1453.79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2129899</w:t>
            </w:r>
          </w:p>
        </w:tc>
        <w:tc>
          <w:tcPr>
            <w:tcW w:w="4535" w:type="dxa"/>
            <w:vAlign w:val="center"/>
          </w:tcPr>
          <w:p>
            <w:pPr>
              <w:pStyle w:val="12"/>
            </w:pPr>
            <w:r>
              <w:t>其他城乡社区支出</w:t>
            </w:r>
          </w:p>
        </w:tc>
        <w:tc>
          <w:tcPr>
            <w:tcW w:w="2551" w:type="dxa"/>
            <w:vAlign w:val="center"/>
          </w:tcPr>
          <w:p>
            <w:pPr>
              <w:pStyle w:val="11"/>
            </w:pPr>
            <w:r>
              <w:t>1453.79</w:t>
            </w:r>
          </w:p>
        </w:tc>
        <w:tc>
          <w:tcPr>
            <w:tcW w:w="2551" w:type="dxa"/>
            <w:vAlign w:val="center"/>
          </w:tcPr>
          <w:p>
            <w:pPr>
              <w:pStyle w:val="11"/>
            </w:pPr>
          </w:p>
        </w:tc>
        <w:tc>
          <w:tcPr>
            <w:tcW w:w="2551" w:type="dxa"/>
            <w:vAlign w:val="center"/>
          </w:tcPr>
          <w:p>
            <w:pPr>
              <w:pStyle w:val="11"/>
            </w:pPr>
            <w:r>
              <w:t>1453.79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2600.00</w:t>
            </w:r>
          </w:p>
        </w:tc>
        <w:tc>
          <w:tcPr>
            <w:tcW w:w="2551" w:type="dxa"/>
            <w:vAlign w:val="center"/>
          </w:tcPr>
          <w:p>
            <w:pPr>
              <w:pStyle w:val="11"/>
            </w:pPr>
          </w:p>
        </w:tc>
        <w:tc>
          <w:tcPr>
            <w:tcW w:w="2551" w:type="dxa"/>
            <w:vAlign w:val="center"/>
          </w:tcPr>
          <w:p>
            <w:pPr>
              <w:pStyle w:val="11"/>
            </w:pPr>
            <w:r>
              <w:t>2600.00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2600.00</w:t>
            </w:r>
          </w:p>
        </w:tc>
        <w:tc>
          <w:tcPr>
            <w:tcW w:w="2551" w:type="dxa"/>
            <w:vAlign w:val="center"/>
          </w:tcPr>
          <w:p>
            <w:pPr>
              <w:pStyle w:val="11"/>
            </w:pPr>
          </w:p>
        </w:tc>
        <w:tc>
          <w:tcPr>
            <w:tcW w:w="2551" w:type="dxa"/>
            <w:vAlign w:val="center"/>
          </w:tcPr>
          <w:p>
            <w:pPr>
              <w:pStyle w:val="11"/>
            </w:pPr>
            <w:r>
              <w:t>2600.00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2600.00</w:t>
            </w:r>
          </w:p>
        </w:tc>
        <w:tc>
          <w:tcPr>
            <w:tcW w:w="2551" w:type="dxa"/>
            <w:vAlign w:val="center"/>
          </w:tcPr>
          <w:p>
            <w:pPr>
              <w:pStyle w:val="11"/>
            </w:pPr>
          </w:p>
        </w:tc>
        <w:tc>
          <w:tcPr>
            <w:tcW w:w="2551" w:type="dxa"/>
            <w:vAlign w:val="center"/>
          </w:tcPr>
          <w:p>
            <w:pPr>
              <w:pStyle w:val="11"/>
            </w:pPr>
            <w:r>
              <w:t>2600.00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无极县城市管理综合行政执法局本级2026年单位预算信息公开情况说明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按照《中华人民共和国预算法》、《地方预决算公开操作规程》和《关于进一步推进预算公开工作的实施意见》规定，现将无极县城市管理综合行政执法局本级2026年单位预算公开如下：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单位职责：</w:t>
      </w:r>
    </w:p>
    <w:p>
      <w:pPr>
        <w:pStyle w:val="17"/>
      </w:pPr>
      <w:r>
        <w:t>（一）贯彻落实党中央、国务院和省委省政府、市委市政府、县委县政府关于城市管理相关工作的方针政策和法律法规。贯彻落实有关地方性法规、政府规章和行业标准，拟订城市管理中长期发展规划和年度计划并组织实施。</w:t>
      </w:r>
    </w:p>
    <w:p>
      <w:pPr>
        <w:pStyle w:val="17"/>
      </w:pPr>
      <w:r>
        <w:t>（二）负责编制道路、桥梁、排水、照明设施的改造、整修计划并组织实施；负责城市排水管理工作及城市排水的水质监测及监督管理；负责城市道路、桥梁维护管理；负责城市夜景照明维护管理工作；负责组织、协调、管理城区市政设施改造工作，负责工程质量监督检查，安全监督检查，验收和移交工作。</w:t>
      </w:r>
    </w:p>
    <w:p>
      <w:pPr>
        <w:pStyle w:val="17"/>
      </w:pPr>
      <w:r>
        <w:t>（三）负责制订城市市政基础设施日常管护作业标准和市容环境卫生质量标准并组织实施；负责对城市市政基础设施日常管护、市容环境卫生、行政执法等工作进行督导检查和考核评比；拟订城市市政基础设施日常管护资金使用计划，并监督管理和组织实施。</w:t>
      </w:r>
    </w:p>
    <w:p>
      <w:pPr>
        <w:pStyle w:val="17"/>
      </w:pPr>
      <w:r>
        <w:t>（四）拟订城市园林绿化发展规划、年度计划并组织实施，起草园林绿化方面的政府规章草案，参与组织和协调全民义务植树活动。负责编制城市绿地系统规划并组织实施，负责建成区主要街道、公园、广场和有关防护林区的规划、设计、建设和管理;负责街道绿化、公园广场综合管护的检查、考核、督导工作，对城区公园、广场内经营项目和公益活动进行监督；执行城市绿化“绿线”管制制度；监督检查城市各类绿地的达标情况；监督管理城市建设项目中的园林绿化比例和布局；负责伐移树木的初审、上报、监管工作；指导监督园林绿化工程建设招标工作，负责工程质量监督、安全生产及验收工作；负责建成区园林绿化工程立项及各种专项资金的使用、管理和监督检查工作；负责制定园林绿化科技发展规划、科研计划并组织重点科研项目试验研究；会同有关部门做好科技成果鉴定工作，负责科技成果申报和推广工作。参与圃地、花木市场的规划、建设和管理；负责城区园林植物病虫害的预测预报；负责城区园林绿化和创建园林城工作；负责园林绿化相关企业的信息收集、登记和信用综合评价体系建设。</w:t>
      </w:r>
    </w:p>
    <w:p>
      <w:pPr>
        <w:pStyle w:val="17"/>
      </w:pPr>
      <w:r>
        <w:t>（五）负责指导、协调、考核城市市政设施管理、市容环境卫生管理、园林绿化管理和城市管理综合执法工作；负责组织城市管理专项活动和重大执法活动。</w:t>
      </w:r>
    </w:p>
    <w:p>
      <w:pPr>
        <w:pStyle w:val="17"/>
      </w:pPr>
      <w:r>
        <w:t>（六）负责城区防汛工作。研究部署城区防汛工作，开展城区防汛宣传，提高全社会的防洪减灾意识，会同有关部门做好城区自然灾害应急处置工作。承担城区防汛指挥部日常工作。</w:t>
      </w:r>
    </w:p>
    <w:p>
      <w:pPr>
        <w:pStyle w:val="17"/>
      </w:pPr>
      <w:r>
        <w:t>（七）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pPr>
        <w:pStyle w:val="17"/>
      </w:pPr>
      <w:r>
        <w:t>（八）负责协调、监督城区生活垃圾、建筑垃圾、餐厨垃圾、粪便垃圾、医疗废弃垃圾无害化处理工作；参与城市开发和城区改造中有关环卫设施配套项目建设竣工验收；指导协调主城区环卫基础设施处理能力建设。</w:t>
      </w:r>
    </w:p>
    <w:p>
      <w:pPr>
        <w:pStyle w:val="17"/>
      </w:pPr>
      <w:r>
        <w:t>（九）负责城市便道非机动车停放工作。</w:t>
      </w:r>
    </w:p>
    <w:p>
      <w:pPr>
        <w:pStyle w:val="17"/>
      </w:pPr>
      <w:r>
        <w:t>（十）负责城区洗车行业的监督管理工作。</w:t>
      </w:r>
    </w:p>
    <w:p>
      <w:pPr>
        <w:pStyle w:val="17"/>
      </w:pPr>
      <w:r>
        <w:t>（十一）负责机关和所属单位安全生产综合监督管理工作。</w:t>
      </w:r>
    </w:p>
    <w:p>
      <w:pPr>
        <w:pStyle w:val="17"/>
      </w:pPr>
      <w:r>
        <w:t>（十二）负责指导城乡容貌整治、环境卫生、园林绿化、市政基础设施日常管护、综合执法、垃圾处理等工作。</w:t>
      </w:r>
    </w:p>
    <w:p>
      <w:pPr>
        <w:pStyle w:val="17"/>
      </w:pPr>
      <w:r>
        <w:t>（十三）会同有关部门，做好城市建设行业涉及本部门的相关专业规划的编制和实施工作。</w:t>
      </w:r>
    </w:p>
    <w:p>
      <w:pPr>
        <w:pStyle w:val="17"/>
      </w:pPr>
      <w:r>
        <w:t>（十四）实施与以下范围内法律法规规章规定的行政处罚权有关的行政强制措施：</w:t>
      </w:r>
    </w:p>
    <w:p>
      <w:pPr>
        <w:pStyle w:val="17"/>
      </w:pPr>
      <w:r>
        <w:t>1、市容环境卫生、市政公用设施、园林绿化等方面法律法规规章规定的全部行政处罚权；</w:t>
      </w:r>
    </w:p>
    <w:p>
      <w:pPr>
        <w:pStyle w:val="17"/>
      </w:pPr>
      <w:r>
        <w:t>2、住房和城乡建设、城乡规划方面法律法规规章规定的全部行政处罚权；</w:t>
      </w:r>
    </w:p>
    <w:p>
      <w:pPr>
        <w:pStyle w:val="17"/>
      </w:pPr>
      <w:r>
        <w:t>3、城市建成区内社会生活噪声污染、建筑施工噪声污染、餐饮服务业油烟污染、露天烧烤污染、焚烧沥青塑料垃圾等烟尘和恶臭污染、露天焚烧秸秆落叶等烟尘污染、燃放烟花爆竹污染等的行政处罚权；企业厂区外公共场地存放煤炭、煤矸石、煤渣、砂石、灰土等物料未采取环保措施行为的行政处罚权；</w:t>
      </w:r>
    </w:p>
    <w:p>
      <w:pPr>
        <w:pStyle w:val="17"/>
      </w:pPr>
      <w:r>
        <w:t>4、城市建成区专业市场外城市道路、绿地、公园、广场、街头空地等公共场所无照商贩经营、违规设置户外广告等行为的行政处罚权；</w:t>
      </w:r>
    </w:p>
    <w:p>
      <w:pPr>
        <w:pStyle w:val="17"/>
      </w:pPr>
      <w:r>
        <w:t>5、城市建成区内非机动车辆乱停乱放影响交通行为的行政处罚权；</w:t>
      </w:r>
    </w:p>
    <w:p>
      <w:pPr>
        <w:pStyle w:val="17"/>
      </w:pPr>
      <w:r>
        <w:t>6、城市建成区内户外公共场所食品销售和餐饮摊点无证经营，以及违法回收贩卖药品的行政处罚权。</w:t>
      </w:r>
    </w:p>
    <w:p>
      <w:pPr>
        <w:pStyle w:val="17"/>
      </w:pPr>
      <w:r>
        <w:t>（十五）负责城市管理综合行政执法监督工作，，指导城市管理综合执法队伍规范执法、文明执法。研究拟订城市管理、和综合执法资金计划；负责城管综合行政执法队伍正规化建设。</w:t>
      </w:r>
    </w:p>
    <w:p>
      <w:pPr>
        <w:pStyle w:val="17"/>
      </w:pPr>
      <w:r>
        <w:t>（十六）完成县委、县政府交办的其他任务。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无极县城市管理综合行政执法局本级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17112.29万元，其中：一般公共预算收入9184.04万元，基金预算收入0.00万元，国有资本经营预算收入0.00万元，财政专户核拨收入0.00万元，单位资金收入0.00万元，上年结转结余7928.25万元。</w:t>
      </w:r>
    </w:p>
    <w:p>
      <w:pPr>
        <w:pStyle w:val="18"/>
      </w:pPr>
      <w:r>
        <w:t>2、支出说明</w:t>
      </w:r>
    </w:p>
    <w:p>
      <w:pPr>
        <w:pStyle w:val="18"/>
      </w:pPr>
      <w:r>
        <w:t>收支预算总表支出栏、基本支出表、项目支出表按经济分类和支出功能分类科目编制，反映无极县城市管理综合行政执法局本级年度单位预算中支出预算的总体情况。2026年支出预算17112.29万元，其中基本支出2175.30万元，包括人员经费2158.30万元和日常公用经费17.00万元；项目支出14936.99万元，主要为燃气企业驻村安全员、村燃气安全协管员工资288.8万元；城区保洁人员工资1320万元；污水处理费3000万元；城区保洁费100万元；2026年中央大气污染防治资金（用于农村地区气代煤电代煤改造任务运行补助）预算507万元；2026年中央大气污染防治资金预算1515万元；2025-2026年采暖季煤改气煤改电运行补贴预算277.94万元；2025年中央大气污染防治资金2118万元；无极县无害化垃圾处理场封场工程162.669万元；无极县城区防洪排涝设施建设改造项目国债项目县级配套1140万元；无极县公厕和垃圾中转站改造项目453.795247万元；无极县污水处理厂提标改造及配套设施建设项目4053.787438万元。；预计下年使用的单位资金结余0.00万元。委托业务费共计安排3100.00万元，主要用于因技术原因确需对外委托的辅助性工作和确有必要对外委托开展咨询、评审、规划等工作。</w:t>
      </w:r>
    </w:p>
    <w:p>
      <w:pPr>
        <w:pStyle w:val="18"/>
      </w:pPr>
      <w:r>
        <w:t>3、比上年增减情况</w:t>
      </w:r>
    </w:p>
    <w:p>
      <w:pPr>
        <w:pStyle w:val="18"/>
      </w:pPr>
      <w:r>
        <w:t>2026年预算收支安排17112.29万元，较2025年预算增加3519.85万元，其中：基本支出增加537.50万元，主要为人员经费增加项目支出增加2982.35万元，主要为无极县污水处理厂提标改造及配套设施建设项目资金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2026年，我单位机关运行经费共计安排17.00万元，主要用于日常维修、办公用房水电费、办公用房取暖费、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因公出国（境）费、公务用车运行维护费和公务接待费</w:t>
      </w:r>
      <w:r>
        <w:rPr>
          <w:rFonts w:hint="eastAsia"/>
          <w:lang w:eastAsia="zh-CN"/>
        </w:rPr>
        <w:t>。</w:t>
      </w:r>
      <w:bookmarkStart w:id="1" w:name="_GoBack"/>
      <w:bookmarkEnd w:id="1"/>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1、城区保洁费绩效目标表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13013026P00009510009P</w:t>
            </w:r>
          </w:p>
        </w:tc>
        <w:tc>
          <w:tcPr>
            <w:tcW w:w="2835" w:type="dxa"/>
            <w:vAlign w:val="center"/>
          </w:tcPr>
          <w:p>
            <w:pPr>
              <w:pStyle w:val="10"/>
            </w:pPr>
            <w:r>
              <w:t>项目名称</w:t>
            </w:r>
          </w:p>
        </w:tc>
        <w:tc>
          <w:tcPr>
            <w:tcW w:w="6095" w:type="dxa"/>
            <w:gridSpan w:val="3"/>
            <w:vAlign w:val="center"/>
          </w:tcPr>
          <w:p>
            <w:pPr>
              <w:pStyle w:val="12"/>
            </w:pPr>
            <w:r>
              <w:t>城区保洁费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城区保洁费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1.按时支付垃圾清运费用</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按时支付垃圾清运费用</w:t>
            </w:r>
          </w:p>
        </w:tc>
        <w:tc>
          <w:tcPr>
            <w:tcW w:w="5386" w:type="dxa"/>
            <w:vAlign w:val="center"/>
          </w:tcPr>
          <w:p>
            <w:pPr>
              <w:pStyle w:val="12"/>
            </w:pPr>
            <w:r>
              <w:t>按时支付垃圾清运费用</w:t>
            </w:r>
          </w:p>
        </w:tc>
        <w:tc>
          <w:tcPr>
            <w:tcW w:w="2268" w:type="dxa"/>
            <w:vAlign w:val="center"/>
          </w:tcPr>
          <w:p>
            <w:pPr>
              <w:pStyle w:val="12"/>
            </w:pPr>
            <w:r>
              <w:t>支付垃圾清运费用是否及时</w:t>
            </w:r>
          </w:p>
        </w:tc>
        <w:tc>
          <w:tcPr>
            <w:tcW w:w="1276" w:type="dxa"/>
            <w:vAlign w:val="center"/>
          </w:tcPr>
          <w:p>
            <w:pPr>
              <w:pStyle w:val="12"/>
            </w:pPr>
            <w:r>
              <w:t>支付垃圾清运费用是否及时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5386" w:type="dxa"/>
            <w:vAlign w:val="center"/>
          </w:tcPr>
          <w:p>
            <w:pPr>
              <w:pStyle w:val="12"/>
            </w:pPr>
            <w:r>
              <w:t>调查中机关单位人员对单位环境和设施满意和较满意的人数占调查总人数的比率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2、城区保洁人员工资绩效目标表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13013026P00009510006W</w:t>
            </w:r>
          </w:p>
        </w:tc>
        <w:tc>
          <w:tcPr>
            <w:tcW w:w="2835" w:type="dxa"/>
            <w:vAlign w:val="center"/>
          </w:tcPr>
          <w:p>
            <w:pPr>
              <w:pStyle w:val="10"/>
            </w:pPr>
            <w:r>
              <w:t>项目名称</w:t>
            </w:r>
          </w:p>
        </w:tc>
        <w:tc>
          <w:tcPr>
            <w:tcW w:w="6095" w:type="dxa"/>
            <w:gridSpan w:val="3"/>
            <w:vAlign w:val="center"/>
          </w:tcPr>
          <w:p>
            <w:pPr>
              <w:pStyle w:val="12"/>
            </w:pPr>
            <w:r>
              <w:t>城区保洁人员工资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1320.00</w:t>
            </w:r>
          </w:p>
        </w:tc>
        <w:tc>
          <w:tcPr>
            <w:tcW w:w="2835" w:type="dxa"/>
            <w:vAlign w:val="center"/>
          </w:tcPr>
          <w:p>
            <w:pPr>
              <w:pStyle w:val="10"/>
            </w:pPr>
            <w:r>
              <w:t>其中：财政    资金</w:t>
            </w:r>
          </w:p>
        </w:tc>
        <w:tc>
          <w:tcPr>
            <w:tcW w:w="2551" w:type="dxa"/>
            <w:vAlign w:val="center"/>
          </w:tcPr>
          <w:p>
            <w:pPr>
              <w:pStyle w:val="12"/>
            </w:pPr>
            <w:r>
              <w:t>1320.00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城区保洁人员工资</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1.保障城区保洁人员工资</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按时支付垃圾清运费用</w:t>
            </w:r>
          </w:p>
        </w:tc>
        <w:tc>
          <w:tcPr>
            <w:tcW w:w="5386" w:type="dxa"/>
            <w:vAlign w:val="center"/>
          </w:tcPr>
          <w:p>
            <w:pPr>
              <w:pStyle w:val="12"/>
            </w:pPr>
            <w:r>
              <w:t>按时支付垃圾清运费用</w:t>
            </w:r>
          </w:p>
        </w:tc>
        <w:tc>
          <w:tcPr>
            <w:tcW w:w="2268" w:type="dxa"/>
            <w:vAlign w:val="center"/>
          </w:tcPr>
          <w:p>
            <w:pPr>
              <w:pStyle w:val="12"/>
            </w:pPr>
            <w:r>
              <w:t>支付垃圾清运费用是否及时</w:t>
            </w:r>
          </w:p>
        </w:tc>
        <w:tc>
          <w:tcPr>
            <w:tcW w:w="1276" w:type="dxa"/>
            <w:vAlign w:val="center"/>
          </w:tcPr>
          <w:p>
            <w:pPr>
              <w:pStyle w:val="12"/>
            </w:pPr>
            <w:r>
              <w:t>支付垃圾清运费用是否及时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5386" w:type="dxa"/>
            <w:vAlign w:val="center"/>
          </w:tcPr>
          <w:p>
            <w:pPr>
              <w:pStyle w:val="12"/>
            </w:pPr>
            <w:r>
              <w:t>调查中机关单位人员对单位环境和设施满意和较满意的人数占调查总人数的比率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3、关于提前下达2025-2026年采暖季煤改气煤改电运行补贴绩效目标表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13013026P000086100140</w:t>
            </w:r>
          </w:p>
        </w:tc>
        <w:tc>
          <w:tcPr>
            <w:tcW w:w="2835" w:type="dxa"/>
            <w:vAlign w:val="center"/>
          </w:tcPr>
          <w:p>
            <w:pPr>
              <w:pStyle w:val="10"/>
            </w:pPr>
            <w:r>
              <w:t>项目名称</w:t>
            </w:r>
          </w:p>
        </w:tc>
        <w:tc>
          <w:tcPr>
            <w:tcW w:w="6095" w:type="dxa"/>
            <w:gridSpan w:val="3"/>
            <w:vAlign w:val="center"/>
          </w:tcPr>
          <w:p>
            <w:pPr>
              <w:pStyle w:val="12"/>
            </w:pPr>
            <w:r>
              <w:t>关于提前下达2025-2026年采暖季煤改气煤改电运行补贴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277.94</w:t>
            </w:r>
          </w:p>
        </w:tc>
        <w:tc>
          <w:tcPr>
            <w:tcW w:w="2835" w:type="dxa"/>
            <w:vAlign w:val="center"/>
          </w:tcPr>
          <w:p>
            <w:pPr>
              <w:pStyle w:val="10"/>
            </w:pPr>
            <w:r>
              <w:t>其中：财政    资金</w:t>
            </w:r>
          </w:p>
        </w:tc>
        <w:tc>
          <w:tcPr>
            <w:tcW w:w="2551" w:type="dxa"/>
            <w:vAlign w:val="center"/>
          </w:tcPr>
          <w:p>
            <w:pPr>
              <w:pStyle w:val="12"/>
            </w:pPr>
            <w:r>
              <w:t>277.94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关于提前下达2025-2026年采暖季煤改气煤改电运行补贴</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1.通过开展落实运行补贴工作</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按时支付农村地区清洁取暖运行补贴费用</w:t>
            </w:r>
          </w:p>
        </w:tc>
        <w:tc>
          <w:tcPr>
            <w:tcW w:w="5386" w:type="dxa"/>
            <w:vAlign w:val="center"/>
          </w:tcPr>
          <w:p>
            <w:pPr>
              <w:pStyle w:val="12"/>
            </w:pPr>
            <w:r>
              <w:t>按时支付农村地区清洁取暖运行补贴费用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切实提高资金使用效益</w:t>
            </w:r>
          </w:p>
        </w:tc>
        <w:tc>
          <w:tcPr>
            <w:tcW w:w="5386" w:type="dxa"/>
            <w:vAlign w:val="center"/>
          </w:tcPr>
          <w:p>
            <w:pPr>
              <w:pStyle w:val="12"/>
            </w:pPr>
            <w:r>
              <w:t>加强资金管理，确保资金使用情况</w:t>
            </w:r>
          </w:p>
        </w:tc>
        <w:tc>
          <w:tcPr>
            <w:tcW w:w="2268" w:type="dxa"/>
            <w:vAlign w:val="center"/>
          </w:tcPr>
          <w:p>
            <w:pPr>
              <w:pStyle w:val="12"/>
            </w:pPr>
            <w:r>
              <w:t>加强资金管理，确保资金使用情况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保障人民群众温暖过冬</w:t>
            </w:r>
          </w:p>
        </w:tc>
        <w:tc>
          <w:tcPr>
            <w:tcW w:w="5386" w:type="dxa"/>
            <w:vAlign w:val="center"/>
          </w:tcPr>
          <w:p>
            <w:pPr>
              <w:pStyle w:val="12"/>
            </w:pPr>
            <w:r>
              <w:t>通过开展落实运行补贴工作</w:t>
            </w:r>
          </w:p>
        </w:tc>
        <w:tc>
          <w:tcPr>
            <w:tcW w:w="2268" w:type="dxa"/>
            <w:vAlign w:val="center"/>
          </w:tcPr>
          <w:p>
            <w:pPr>
              <w:pStyle w:val="12"/>
            </w:pPr>
            <w:r>
              <w:t>通过开展落实运行补贴工作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w:t>
            </w:r>
          </w:p>
        </w:tc>
        <w:tc>
          <w:tcPr>
            <w:tcW w:w="5386" w:type="dxa"/>
            <w:vAlign w:val="center"/>
          </w:tcPr>
          <w:p>
            <w:pPr>
              <w:pStyle w:val="12"/>
            </w:pPr>
            <w:r>
              <w:t>反映农村地区气代煤电代煤采暖季运行补贴</w:t>
            </w:r>
          </w:p>
          <w:p>
            <w:pPr>
              <w:pStyle w:val="12"/>
            </w:pPr>
            <w:r>
              <w:t>工作情况</w:t>
            </w:r>
          </w:p>
        </w:tc>
        <w:tc>
          <w:tcPr>
            <w:tcW w:w="2268" w:type="dxa"/>
            <w:vAlign w:val="center"/>
          </w:tcPr>
          <w:p>
            <w:pPr>
              <w:pStyle w:val="12"/>
            </w:pPr>
            <w:r>
              <w:t>反映农村地区气代煤电代煤采暖季运行补贴</w:t>
            </w:r>
          </w:p>
          <w:p>
            <w:pPr>
              <w:pStyle w:val="12"/>
            </w:pPr>
            <w:r>
              <w:t>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使用人员满意度</w:t>
            </w:r>
          </w:p>
        </w:tc>
        <w:tc>
          <w:tcPr>
            <w:tcW w:w="2268" w:type="dxa"/>
            <w:vAlign w:val="center"/>
          </w:tcPr>
          <w:p>
            <w:pPr>
              <w:pStyle w:val="12"/>
            </w:pPr>
            <w:r>
              <w:t>≥94%</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4、关于提前下达2025年中央大气污染防治资金绩效目标表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13013025P000086100032</w:t>
            </w:r>
          </w:p>
        </w:tc>
        <w:tc>
          <w:tcPr>
            <w:tcW w:w="2835" w:type="dxa"/>
            <w:vAlign w:val="center"/>
          </w:tcPr>
          <w:p>
            <w:pPr>
              <w:pStyle w:val="10"/>
            </w:pPr>
            <w:r>
              <w:t>项目名称</w:t>
            </w:r>
          </w:p>
        </w:tc>
        <w:tc>
          <w:tcPr>
            <w:tcW w:w="6095" w:type="dxa"/>
            <w:gridSpan w:val="3"/>
            <w:vAlign w:val="center"/>
          </w:tcPr>
          <w:p>
            <w:pPr>
              <w:pStyle w:val="12"/>
            </w:pPr>
            <w:r>
              <w:t>关于提前下达2025年中央大气污染防治资金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1206.00</w:t>
            </w:r>
          </w:p>
        </w:tc>
        <w:tc>
          <w:tcPr>
            <w:tcW w:w="2835" w:type="dxa"/>
            <w:vAlign w:val="center"/>
          </w:tcPr>
          <w:p>
            <w:pPr>
              <w:pStyle w:val="10"/>
            </w:pPr>
            <w:r>
              <w:t>其中：财政    资金</w:t>
            </w:r>
          </w:p>
        </w:tc>
        <w:tc>
          <w:tcPr>
            <w:tcW w:w="2551" w:type="dxa"/>
            <w:vAlign w:val="center"/>
          </w:tcPr>
          <w:p>
            <w:pPr>
              <w:pStyle w:val="12"/>
            </w:pPr>
            <w:r>
              <w:t>1206.00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农村地区清洁取暖运行补贴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1206.00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1.按时支付农村地区清洁取暖运行补贴的费用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按时支付农村地区清洁取暖运行补贴费用</w:t>
            </w:r>
          </w:p>
        </w:tc>
        <w:tc>
          <w:tcPr>
            <w:tcW w:w="5386" w:type="dxa"/>
            <w:vAlign w:val="center"/>
          </w:tcPr>
          <w:p>
            <w:pPr>
              <w:pStyle w:val="12"/>
            </w:pPr>
            <w:r>
              <w:t>按时支付农村地区清洁取暖运行补贴费用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切实提高资金使用效益</w:t>
            </w:r>
          </w:p>
        </w:tc>
        <w:tc>
          <w:tcPr>
            <w:tcW w:w="5386" w:type="dxa"/>
            <w:vAlign w:val="center"/>
          </w:tcPr>
          <w:p>
            <w:pPr>
              <w:pStyle w:val="12"/>
            </w:pPr>
            <w:r>
              <w:t>加强资金管理，确保资金使用情况</w:t>
            </w:r>
          </w:p>
        </w:tc>
        <w:tc>
          <w:tcPr>
            <w:tcW w:w="2268" w:type="dxa"/>
            <w:vAlign w:val="center"/>
          </w:tcPr>
          <w:p>
            <w:pPr>
              <w:pStyle w:val="12"/>
            </w:pPr>
            <w:r>
              <w:t>加强资金管理，确保资金使用情况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保障人民群众温暖过冬</w:t>
            </w:r>
          </w:p>
        </w:tc>
        <w:tc>
          <w:tcPr>
            <w:tcW w:w="5386" w:type="dxa"/>
            <w:vAlign w:val="center"/>
          </w:tcPr>
          <w:p>
            <w:pPr>
              <w:pStyle w:val="12"/>
            </w:pPr>
            <w:r>
              <w:t>通过开展落实运行补贴工作</w:t>
            </w:r>
          </w:p>
        </w:tc>
        <w:tc>
          <w:tcPr>
            <w:tcW w:w="2268" w:type="dxa"/>
            <w:vAlign w:val="center"/>
          </w:tcPr>
          <w:p>
            <w:pPr>
              <w:pStyle w:val="12"/>
            </w:pPr>
            <w:r>
              <w:t>通过开展落实运行补贴工作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w:t>
            </w:r>
          </w:p>
        </w:tc>
        <w:tc>
          <w:tcPr>
            <w:tcW w:w="5386" w:type="dxa"/>
            <w:vAlign w:val="center"/>
          </w:tcPr>
          <w:p>
            <w:pPr>
              <w:pStyle w:val="12"/>
            </w:pPr>
            <w:r>
              <w:t>反映农村地区气代煤电代煤采暖季运行补贴</w:t>
            </w:r>
          </w:p>
          <w:p>
            <w:pPr>
              <w:pStyle w:val="12"/>
            </w:pPr>
            <w:r>
              <w:t>工作情况</w:t>
            </w:r>
          </w:p>
        </w:tc>
        <w:tc>
          <w:tcPr>
            <w:tcW w:w="2268" w:type="dxa"/>
            <w:vAlign w:val="center"/>
          </w:tcPr>
          <w:p>
            <w:pPr>
              <w:pStyle w:val="12"/>
            </w:pPr>
            <w:r>
              <w:t>反映农村地区气代煤电代煤采暖季运行补贴</w:t>
            </w:r>
          </w:p>
          <w:p>
            <w:pPr>
              <w:pStyle w:val="12"/>
            </w:pPr>
            <w:r>
              <w:t>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使用人员满意度</w:t>
            </w:r>
          </w:p>
        </w:tc>
        <w:tc>
          <w:tcPr>
            <w:tcW w:w="2268" w:type="dxa"/>
            <w:vAlign w:val="center"/>
          </w:tcPr>
          <w:p>
            <w:pPr>
              <w:pStyle w:val="12"/>
            </w:pPr>
            <w:r>
              <w:t>≥94%</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5、关于提前下达2025年中央大气污染防治资金（用于农村地区气代煤电代煤改造任务运行补助）绩效目标表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13013025P00008610004M</w:t>
            </w:r>
          </w:p>
        </w:tc>
        <w:tc>
          <w:tcPr>
            <w:tcW w:w="2835" w:type="dxa"/>
            <w:vAlign w:val="center"/>
          </w:tcPr>
          <w:p>
            <w:pPr>
              <w:pStyle w:val="10"/>
            </w:pPr>
            <w:r>
              <w:t>项目名称</w:t>
            </w:r>
          </w:p>
        </w:tc>
        <w:tc>
          <w:tcPr>
            <w:tcW w:w="6095" w:type="dxa"/>
            <w:gridSpan w:val="3"/>
            <w:vAlign w:val="center"/>
          </w:tcPr>
          <w:p>
            <w:pPr>
              <w:pStyle w:val="12"/>
            </w:pPr>
            <w:r>
              <w:t>关于提前下达2025年中央大气污染防治资金（用于农村地区气代煤电代煤改造任务运行补助）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514.00</w:t>
            </w:r>
          </w:p>
        </w:tc>
        <w:tc>
          <w:tcPr>
            <w:tcW w:w="2835" w:type="dxa"/>
            <w:vAlign w:val="center"/>
          </w:tcPr>
          <w:p>
            <w:pPr>
              <w:pStyle w:val="10"/>
            </w:pPr>
            <w:r>
              <w:t>其中：财政    资金</w:t>
            </w:r>
          </w:p>
        </w:tc>
        <w:tc>
          <w:tcPr>
            <w:tcW w:w="2551" w:type="dxa"/>
            <w:vAlign w:val="center"/>
          </w:tcPr>
          <w:p>
            <w:pPr>
              <w:pStyle w:val="12"/>
            </w:pPr>
            <w:r>
              <w:t>514.00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农村地区清洁取暖运行补贴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514.00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1.按时完成各项任务，及时拨付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按时支付农村地区清洁取暖运行补贴费用</w:t>
            </w:r>
          </w:p>
        </w:tc>
        <w:tc>
          <w:tcPr>
            <w:tcW w:w="5386" w:type="dxa"/>
            <w:vAlign w:val="center"/>
          </w:tcPr>
          <w:p>
            <w:pPr>
              <w:pStyle w:val="12"/>
            </w:pPr>
            <w:r>
              <w:t>按时支付农村地区清洁取暖运行补贴费用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切实提高资金使用效益</w:t>
            </w:r>
          </w:p>
        </w:tc>
        <w:tc>
          <w:tcPr>
            <w:tcW w:w="5386" w:type="dxa"/>
            <w:vAlign w:val="center"/>
          </w:tcPr>
          <w:p>
            <w:pPr>
              <w:pStyle w:val="12"/>
            </w:pPr>
            <w:r>
              <w:t>加强资金管理，确保资金使用情况</w:t>
            </w:r>
          </w:p>
        </w:tc>
        <w:tc>
          <w:tcPr>
            <w:tcW w:w="2268" w:type="dxa"/>
            <w:vAlign w:val="center"/>
          </w:tcPr>
          <w:p>
            <w:pPr>
              <w:pStyle w:val="12"/>
            </w:pPr>
            <w:r>
              <w:t>加强资金管理，确保资金使用情况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保障人民群众温暖过冬</w:t>
            </w:r>
          </w:p>
        </w:tc>
        <w:tc>
          <w:tcPr>
            <w:tcW w:w="5386" w:type="dxa"/>
            <w:vAlign w:val="center"/>
          </w:tcPr>
          <w:p>
            <w:pPr>
              <w:pStyle w:val="12"/>
            </w:pPr>
            <w:r>
              <w:t>通过开展落实运行补贴工作</w:t>
            </w:r>
          </w:p>
        </w:tc>
        <w:tc>
          <w:tcPr>
            <w:tcW w:w="2268" w:type="dxa"/>
            <w:vAlign w:val="center"/>
          </w:tcPr>
          <w:p>
            <w:pPr>
              <w:pStyle w:val="12"/>
            </w:pPr>
            <w:r>
              <w:t>通过开展落实运行补贴工作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w:t>
            </w:r>
          </w:p>
        </w:tc>
        <w:tc>
          <w:tcPr>
            <w:tcW w:w="5386" w:type="dxa"/>
            <w:vAlign w:val="center"/>
          </w:tcPr>
          <w:p>
            <w:pPr>
              <w:pStyle w:val="12"/>
            </w:pPr>
            <w:r>
              <w:t>反映农村地区气代煤电代煤采暖季运行补贴</w:t>
            </w:r>
          </w:p>
          <w:p>
            <w:pPr>
              <w:pStyle w:val="12"/>
            </w:pPr>
            <w:r>
              <w:t>工作情况</w:t>
            </w:r>
          </w:p>
        </w:tc>
        <w:tc>
          <w:tcPr>
            <w:tcW w:w="2268" w:type="dxa"/>
            <w:vAlign w:val="center"/>
          </w:tcPr>
          <w:p>
            <w:pPr>
              <w:pStyle w:val="12"/>
            </w:pPr>
            <w:r>
              <w:t>反映农村地区气代煤电代煤采暖季运行补贴</w:t>
            </w:r>
          </w:p>
          <w:p>
            <w:pPr>
              <w:pStyle w:val="12"/>
            </w:pPr>
            <w:r>
              <w:t>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使用人员满意度</w:t>
            </w:r>
          </w:p>
        </w:tc>
        <w:tc>
          <w:tcPr>
            <w:tcW w:w="2268" w:type="dxa"/>
            <w:vAlign w:val="center"/>
          </w:tcPr>
          <w:p>
            <w:pPr>
              <w:pStyle w:val="12"/>
            </w:pPr>
            <w:r>
              <w:t>≥94%</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6、关于提前下达2026年中央大气污染防治资金绩效目标表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13013026P000086100096</w:t>
            </w:r>
          </w:p>
        </w:tc>
        <w:tc>
          <w:tcPr>
            <w:tcW w:w="2835" w:type="dxa"/>
            <w:vAlign w:val="center"/>
          </w:tcPr>
          <w:p>
            <w:pPr>
              <w:pStyle w:val="10"/>
            </w:pPr>
            <w:r>
              <w:t>项目名称</w:t>
            </w:r>
          </w:p>
        </w:tc>
        <w:tc>
          <w:tcPr>
            <w:tcW w:w="6095" w:type="dxa"/>
            <w:gridSpan w:val="3"/>
            <w:vAlign w:val="center"/>
          </w:tcPr>
          <w:p>
            <w:pPr>
              <w:pStyle w:val="12"/>
            </w:pPr>
            <w:r>
              <w:t>关于提前下达2026年中央大气污染防治资金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1515.00</w:t>
            </w:r>
          </w:p>
        </w:tc>
        <w:tc>
          <w:tcPr>
            <w:tcW w:w="2835" w:type="dxa"/>
            <w:vAlign w:val="center"/>
          </w:tcPr>
          <w:p>
            <w:pPr>
              <w:pStyle w:val="10"/>
            </w:pPr>
            <w:r>
              <w:t>其中：财政    资金</w:t>
            </w:r>
          </w:p>
        </w:tc>
        <w:tc>
          <w:tcPr>
            <w:tcW w:w="2551" w:type="dxa"/>
            <w:vAlign w:val="center"/>
          </w:tcPr>
          <w:p>
            <w:pPr>
              <w:pStyle w:val="12"/>
            </w:pPr>
            <w:r>
              <w:t>1515.00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关于提前下达2026年中央大气污染防治资金</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1.关于提前下达2026年中央大气污染防治资金</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按时支付农村地区清洁取暖运行补贴费用</w:t>
            </w:r>
          </w:p>
        </w:tc>
        <w:tc>
          <w:tcPr>
            <w:tcW w:w="5386" w:type="dxa"/>
            <w:vAlign w:val="center"/>
          </w:tcPr>
          <w:p>
            <w:pPr>
              <w:pStyle w:val="12"/>
            </w:pPr>
            <w:r>
              <w:t>按时支付农村地区清洁取暖运行补贴费用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切实提高资金使用效益</w:t>
            </w:r>
          </w:p>
        </w:tc>
        <w:tc>
          <w:tcPr>
            <w:tcW w:w="5386" w:type="dxa"/>
            <w:vAlign w:val="center"/>
          </w:tcPr>
          <w:p>
            <w:pPr>
              <w:pStyle w:val="12"/>
            </w:pPr>
            <w:r>
              <w:t>加强资金管理，确保资金使用情况</w:t>
            </w:r>
          </w:p>
        </w:tc>
        <w:tc>
          <w:tcPr>
            <w:tcW w:w="2268" w:type="dxa"/>
            <w:vAlign w:val="center"/>
          </w:tcPr>
          <w:p>
            <w:pPr>
              <w:pStyle w:val="12"/>
            </w:pPr>
            <w:r>
              <w:t>加强资金管理，确保资金使用情况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保障人民群众温暖过冬</w:t>
            </w:r>
          </w:p>
        </w:tc>
        <w:tc>
          <w:tcPr>
            <w:tcW w:w="5386" w:type="dxa"/>
            <w:vAlign w:val="center"/>
          </w:tcPr>
          <w:p>
            <w:pPr>
              <w:pStyle w:val="12"/>
            </w:pPr>
            <w:r>
              <w:t>通过开展落实运行补贴工作</w:t>
            </w:r>
          </w:p>
        </w:tc>
        <w:tc>
          <w:tcPr>
            <w:tcW w:w="2268" w:type="dxa"/>
            <w:vAlign w:val="center"/>
          </w:tcPr>
          <w:p>
            <w:pPr>
              <w:pStyle w:val="12"/>
            </w:pPr>
            <w:r>
              <w:t>通过开展落实运行补贴工作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w:t>
            </w:r>
          </w:p>
        </w:tc>
        <w:tc>
          <w:tcPr>
            <w:tcW w:w="5386" w:type="dxa"/>
            <w:vAlign w:val="center"/>
          </w:tcPr>
          <w:p>
            <w:pPr>
              <w:pStyle w:val="12"/>
            </w:pPr>
            <w:r>
              <w:t>反映农村地区气代煤电代煤采暖季运行补贴</w:t>
            </w:r>
          </w:p>
          <w:p>
            <w:pPr>
              <w:pStyle w:val="12"/>
            </w:pPr>
            <w:r>
              <w:t>工作情况</w:t>
            </w:r>
          </w:p>
        </w:tc>
        <w:tc>
          <w:tcPr>
            <w:tcW w:w="2268" w:type="dxa"/>
            <w:vAlign w:val="center"/>
          </w:tcPr>
          <w:p>
            <w:pPr>
              <w:pStyle w:val="12"/>
            </w:pPr>
            <w:r>
              <w:t>反映农村地区气代煤电代煤采暖季运行补贴</w:t>
            </w:r>
          </w:p>
          <w:p>
            <w:pPr>
              <w:pStyle w:val="12"/>
            </w:pPr>
            <w:r>
              <w:t>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使用人员满意度</w:t>
            </w:r>
          </w:p>
        </w:tc>
        <w:tc>
          <w:tcPr>
            <w:tcW w:w="2268" w:type="dxa"/>
            <w:vAlign w:val="center"/>
          </w:tcPr>
          <w:p>
            <w:pPr>
              <w:pStyle w:val="12"/>
            </w:pPr>
            <w:r>
              <w:t>≥94%</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7、关于提前下达2026年中央大气污染防治资金（用于农村地区气代煤电代煤改造任务运行补助）绩效目标表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13013026P00008610008J</w:t>
            </w:r>
          </w:p>
        </w:tc>
        <w:tc>
          <w:tcPr>
            <w:tcW w:w="2835" w:type="dxa"/>
            <w:vAlign w:val="center"/>
          </w:tcPr>
          <w:p>
            <w:pPr>
              <w:pStyle w:val="10"/>
            </w:pPr>
            <w:r>
              <w:t>项目名称</w:t>
            </w:r>
          </w:p>
        </w:tc>
        <w:tc>
          <w:tcPr>
            <w:tcW w:w="6095" w:type="dxa"/>
            <w:gridSpan w:val="3"/>
            <w:vAlign w:val="center"/>
          </w:tcPr>
          <w:p>
            <w:pPr>
              <w:pStyle w:val="12"/>
            </w:pPr>
            <w:r>
              <w:t>关于提前下达2026年中央大气污染防治资金（用于农村地区气代煤电代煤改造任务运行补助）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507.00</w:t>
            </w:r>
          </w:p>
        </w:tc>
        <w:tc>
          <w:tcPr>
            <w:tcW w:w="2835" w:type="dxa"/>
            <w:vAlign w:val="center"/>
          </w:tcPr>
          <w:p>
            <w:pPr>
              <w:pStyle w:val="10"/>
            </w:pPr>
            <w:r>
              <w:t>其中：财政    资金</w:t>
            </w:r>
          </w:p>
        </w:tc>
        <w:tc>
          <w:tcPr>
            <w:tcW w:w="2551" w:type="dxa"/>
            <w:vAlign w:val="center"/>
          </w:tcPr>
          <w:p>
            <w:pPr>
              <w:pStyle w:val="12"/>
            </w:pPr>
            <w:r>
              <w:t>507.00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关于提前下达2026年中央大气污染防治资金（用于农村地区气代煤电代煤改造任务运行补助）</w:t>
            </w:r>
            <w:r>
              <w:tab/>
            </w:r>
            <w:r>
              <w:tab/>
            </w:r>
            <w:r>
              <w:tab/>
            </w:r>
          </w:p>
          <w:p>
            <w:pPr>
              <w:pStyle w:val="12"/>
            </w:pP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1.关于提前下达2026年中央大气污染防治资金（用于农村地区气代煤电代煤改造任务运行补助）</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按时支付农村地区清洁取暖运行补贴费用</w:t>
            </w:r>
          </w:p>
        </w:tc>
        <w:tc>
          <w:tcPr>
            <w:tcW w:w="5386" w:type="dxa"/>
            <w:vAlign w:val="center"/>
          </w:tcPr>
          <w:p>
            <w:pPr>
              <w:pStyle w:val="12"/>
            </w:pPr>
            <w:r>
              <w:t>按时支付农村地区清洁取暖运行补贴费用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切实提高资金使用效益</w:t>
            </w:r>
          </w:p>
        </w:tc>
        <w:tc>
          <w:tcPr>
            <w:tcW w:w="5386" w:type="dxa"/>
            <w:vAlign w:val="center"/>
          </w:tcPr>
          <w:p>
            <w:pPr>
              <w:pStyle w:val="12"/>
            </w:pPr>
            <w:r>
              <w:t>加强资金管理，确保资金使用情况</w:t>
            </w:r>
          </w:p>
        </w:tc>
        <w:tc>
          <w:tcPr>
            <w:tcW w:w="2268" w:type="dxa"/>
            <w:vAlign w:val="center"/>
          </w:tcPr>
          <w:p>
            <w:pPr>
              <w:pStyle w:val="12"/>
            </w:pPr>
            <w:r>
              <w:t>加强资金管理，确保资金使用情况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保障人民群众温暖过冬</w:t>
            </w:r>
          </w:p>
        </w:tc>
        <w:tc>
          <w:tcPr>
            <w:tcW w:w="5386" w:type="dxa"/>
            <w:vAlign w:val="center"/>
          </w:tcPr>
          <w:p>
            <w:pPr>
              <w:pStyle w:val="12"/>
            </w:pPr>
            <w:r>
              <w:t>通过开展落实运行补贴工作</w:t>
            </w:r>
          </w:p>
        </w:tc>
        <w:tc>
          <w:tcPr>
            <w:tcW w:w="2268" w:type="dxa"/>
            <w:vAlign w:val="center"/>
          </w:tcPr>
          <w:p>
            <w:pPr>
              <w:pStyle w:val="12"/>
            </w:pPr>
            <w:r>
              <w:t>通过开展落实运行补贴工作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w:t>
            </w:r>
          </w:p>
        </w:tc>
        <w:tc>
          <w:tcPr>
            <w:tcW w:w="5386" w:type="dxa"/>
            <w:vAlign w:val="center"/>
          </w:tcPr>
          <w:p>
            <w:pPr>
              <w:pStyle w:val="12"/>
            </w:pPr>
            <w:r>
              <w:t>反映农村地区气代煤电代煤采暖季运行补贴</w:t>
            </w:r>
          </w:p>
          <w:p>
            <w:pPr>
              <w:pStyle w:val="12"/>
            </w:pPr>
            <w:r>
              <w:t>工作情况</w:t>
            </w:r>
          </w:p>
        </w:tc>
        <w:tc>
          <w:tcPr>
            <w:tcW w:w="2268" w:type="dxa"/>
            <w:vAlign w:val="center"/>
          </w:tcPr>
          <w:p>
            <w:pPr>
              <w:pStyle w:val="12"/>
            </w:pPr>
            <w:r>
              <w:t>反映农村地区气代煤电代煤采暖季运行补贴</w:t>
            </w:r>
          </w:p>
          <w:p>
            <w:pPr>
              <w:pStyle w:val="12"/>
            </w:pPr>
            <w:r>
              <w:t>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使用人员满意度</w:t>
            </w:r>
          </w:p>
        </w:tc>
        <w:tc>
          <w:tcPr>
            <w:tcW w:w="2268" w:type="dxa"/>
            <w:vAlign w:val="center"/>
          </w:tcPr>
          <w:p>
            <w:pPr>
              <w:pStyle w:val="12"/>
            </w:pPr>
            <w:r>
              <w:t>≥94%</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8、关于下达中央大气污染防治资金绩效目标表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13013025P00008610007G</w:t>
            </w:r>
          </w:p>
        </w:tc>
        <w:tc>
          <w:tcPr>
            <w:tcW w:w="2835" w:type="dxa"/>
            <w:vAlign w:val="center"/>
          </w:tcPr>
          <w:p>
            <w:pPr>
              <w:pStyle w:val="10"/>
            </w:pPr>
            <w:r>
              <w:t>项目名称</w:t>
            </w:r>
          </w:p>
        </w:tc>
        <w:tc>
          <w:tcPr>
            <w:tcW w:w="6095" w:type="dxa"/>
            <w:gridSpan w:val="3"/>
            <w:vAlign w:val="center"/>
          </w:tcPr>
          <w:p>
            <w:pPr>
              <w:pStyle w:val="12"/>
            </w:pPr>
            <w:r>
              <w:t>关于下达中央大气污染防治资金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398.00</w:t>
            </w:r>
          </w:p>
        </w:tc>
        <w:tc>
          <w:tcPr>
            <w:tcW w:w="2835" w:type="dxa"/>
            <w:vAlign w:val="center"/>
          </w:tcPr>
          <w:p>
            <w:pPr>
              <w:pStyle w:val="10"/>
            </w:pPr>
            <w:r>
              <w:t>其中：财政    资金</w:t>
            </w:r>
          </w:p>
        </w:tc>
        <w:tc>
          <w:tcPr>
            <w:tcW w:w="2551" w:type="dxa"/>
            <w:vAlign w:val="center"/>
          </w:tcPr>
          <w:p>
            <w:pPr>
              <w:pStyle w:val="12"/>
            </w:pPr>
            <w:r>
              <w:t>398.00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398.00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1.及时完成日常工作，促进生态文明建设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按时支付农村地区清洁取暖运行补贴费用</w:t>
            </w:r>
          </w:p>
        </w:tc>
        <w:tc>
          <w:tcPr>
            <w:tcW w:w="5386" w:type="dxa"/>
            <w:vAlign w:val="center"/>
          </w:tcPr>
          <w:p>
            <w:pPr>
              <w:pStyle w:val="12"/>
            </w:pPr>
            <w:r>
              <w:t>按时支付农村地区清洁取暖运行补贴费用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切实提高资金使用效益</w:t>
            </w:r>
          </w:p>
        </w:tc>
        <w:tc>
          <w:tcPr>
            <w:tcW w:w="5386" w:type="dxa"/>
            <w:vAlign w:val="center"/>
          </w:tcPr>
          <w:p>
            <w:pPr>
              <w:pStyle w:val="12"/>
            </w:pPr>
            <w:r>
              <w:t>加强资金管理，确保资金使用情况</w:t>
            </w:r>
          </w:p>
        </w:tc>
        <w:tc>
          <w:tcPr>
            <w:tcW w:w="2268" w:type="dxa"/>
            <w:vAlign w:val="center"/>
          </w:tcPr>
          <w:p>
            <w:pPr>
              <w:pStyle w:val="12"/>
            </w:pPr>
            <w:r>
              <w:t>加强资金管理，确保资金使用情况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保障人民群众温暖过冬</w:t>
            </w:r>
          </w:p>
        </w:tc>
        <w:tc>
          <w:tcPr>
            <w:tcW w:w="5386" w:type="dxa"/>
            <w:vAlign w:val="center"/>
          </w:tcPr>
          <w:p>
            <w:pPr>
              <w:pStyle w:val="12"/>
            </w:pPr>
            <w:r>
              <w:t>通过开展落实运行补贴工作</w:t>
            </w:r>
          </w:p>
        </w:tc>
        <w:tc>
          <w:tcPr>
            <w:tcW w:w="2268" w:type="dxa"/>
            <w:vAlign w:val="center"/>
          </w:tcPr>
          <w:p>
            <w:pPr>
              <w:pStyle w:val="12"/>
            </w:pPr>
            <w:r>
              <w:t>通过开展落实运行补贴工作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w:t>
            </w:r>
          </w:p>
        </w:tc>
        <w:tc>
          <w:tcPr>
            <w:tcW w:w="5386" w:type="dxa"/>
            <w:vAlign w:val="center"/>
          </w:tcPr>
          <w:p>
            <w:pPr>
              <w:pStyle w:val="12"/>
            </w:pPr>
            <w:r>
              <w:t>反映农村地区气代煤电代煤采暖季运行补贴</w:t>
            </w:r>
          </w:p>
          <w:p>
            <w:pPr>
              <w:pStyle w:val="12"/>
            </w:pPr>
            <w:r>
              <w:t>工作情况</w:t>
            </w:r>
          </w:p>
        </w:tc>
        <w:tc>
          <w:tcPr>
            <w:tcW w:w="2268" w:type="dxa"/>
            <w:vAlign w:val="center"/>
          </w:tcPr>
          <w:p>
            <w:pPr>
              <w:pStyle w:val="12"/>
            </w:pPr>
            <w:r>
              <w:t>反映农村地区气代煤电代煤采暖季运行补贴</w:t>
            </w:r>
          </w:p>
          <w:p>
            <w:pPr>
              <w:pStyle w:val="12"/>
            </w:pPr>
            <w:r>
              <w:t>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使用人员满意度</w:t>
            </w:r>
          </w:p>
        </w:tc>
        <w:tc>
          <w:tcPr>
            <w:tcW w:w="2268" w:type="dxa"/>
            <w:vAlign w:val="center"/>
          </w:tcPr>
          <w:p>
            <w:pPr>
              <w:pStyle w:val="12"/>
            </w:pPr>
            <w:r>
              <w:t>≥94%</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9、燃气企业驻村安全员、村燃气安全协管员工资绩效目标表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13013026P000066100445</w:t>
            </w:r>
          </w:p>
        </w:tc>
        <w:tc>
          <w:tcPr>
            <w:tcW w:w="2835" w:type="dxa"/>
            <w:vAlign w:val="center"/>
          </w:tcPr>
          <w:p>
            <w:pPr>
              <w:pStyle w:val="10"/>
            </w:pPr>
            <w:r>
              <w:t>项目名称</w:t>
            </w:r>
          </w:p>
        </w:tc>
        <w:tc>
          <w:tcPr>
            <w:tcW w:w="6095" w:type="dxa"/>
            <w:gridSpan w:val="3"/>
            <w:vAlign w:val="center"/>
          </w:tcPr>
          <w:p>
            <w:pPr>
              <w:pStyle w:val="12"/>
            </w:pPr>
            <w:r>
              <w:t>燃气企业驻村安全员、村燃气安全协管员工资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288.80</w:t>
            </w:r>
          </w:p>
        </w:tc>
        <w:tc>
          <w:tcPr>
            <w:tcW w:w="2835" w:type="dxa"/>
            <w:vAlign w:val="center"/>
          </w:tcPr>
          <w:p>
            <w:pPr>
              <w:pStyle w:val="10"/>
            </w:pPr>
            <w:r>
              <w:t>其中：财政    资金</w:t>
            </w:r>
          </w:p>
        </w:tc>
        <w:tc>
          <w:tcPr>
            <w:tcW w:w="2551" w:type="dxa"/>
            <w:vAlign w:val="center"/>
          </w:tcPr>
          <w:p>
            <w:pPr>
              <w:pStyle w:val="12"/>
            </w:pPr>
            <w:r>
              <w:t>288.80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燃气企业驻村安全员、村燃气安全协管员工资</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1.燃气企业驻村安全员、村燃气安全协管员工资</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按时支付费用</w:t>
            </w:r>
          </w:p>
        </w:tc>
        <w:tc>
          <w:tcPr>
            <w:tcW w:w="5386" w:type="dxa"/>
            <w:vAlign w:val="center"/>
          </w:tcPr>
          <w:p>
            <w:pPr>
              <w:pStyle w:val="12"/>
            </w:pPr>
            <w:r>
              <w:t>按时支付费用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反映建设提升内容工作情况</w:t>
            </w:r>
          </w:p>
        </w:tc>
        <w:tc>
          <w:tcPr>
            <w:tcW w:w="5386" w:type="dxa"/>
            <w:vAlign w:val="center"/>
          </w:tcPr>
          <w:p>
            <w:pPr>
              <w:pStyle w:val="12"/>
            </w:pPr>
            <w:r>
              <w:t>反映建设提升内容工作情况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10、污水处理费绩效目标表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13013026P00009010023D</w:t>
            </w:r>
          </w:p>
        </w:tc>
        <w:tc>
          <w:tcPr>
            <w:tcW w:w="2835" w:type="dxa"/>
            <w:vAlign w:val="center"/>
          </w:tcPr>
          <w:p>
            <w:pPr>
              <w:pStyle w:val="10"/>
            </w:pPr>
            <w:r>
              <w:t>项目名称</w:t>
            </w:r>
          </w:p>
        </w:tc>
        <w:tc>
          <w:tcPr>
            <w:tcW w:w="6095" w:type="dxa"/>
            <w:gridSpan w:val="3"/>
            <w:vAlign w:val="center"/>
          </w:tcPr>
          <w:p>
            <w:pPr>
              <w:pStyle w:val="12"/>
            </w:pPr>
            <w:r>
              <w:t>污水处理费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3000.00</w:t>
            </w:r>
          </w:p>
        </w:tc>
        <w:tc>
          <w:tcPr>
            <w:tcW w:w="2835" w:type="dxa"/>
            <w:vAlign w:val="center"/>
          </w:tcPr>
          <w:p>
            <w:pPr>
              <w:pStyle w:val="10"/>
            </w:pPr>
            <w:r>
              <w:t>其中：财政    资金</w:t>
            </w:r>
          </w:p>
        </w:tc>
        <w:tc>
          <w:tcPr>
            <w:tcW w:w="2551" w:type="dxa"/>
            <w:vAlign w:val="center"/>
          </w:tcPr>
          <w:p>
            <w:pPr>
              <w:pStyle w:val="12"/>
            </w:pPr>
            <w:r>
              <w:t>3000.00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污水处理费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1.满足我县水生态环境达标排放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按时支付污水处理厂费用</w:t>
            </w:r>
          </w:p>
        </w:tc>
        <w:tc>
          <w:tcPr>
            <w:tcW w:w="5386" w:type="dxa"/>
            <w:vAlign w:val="center"/>
          </w:tcPr>
          <w:p>
            <w:pPr>
              <w:pStyle w:val="12"/>
            </w:pPr>
            <w:r>
              <w:t>按时支付污水处理厂费用</w:t>
            </w:r>
          </w:p>
        </w:tc>
        <w:tc>
          <w:tcPr>
            <w:tcW w:w="2268" w:type="dxa"/>
            <w:vAlign w:val="center"/>
          </w:tcPr>
          <w:p>
            <w:pPr>
              <w:pStyle w:val="12"/>
            </w:pPr>
            <w:r>
              <w:t>支付污水处理厂费用</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满足我县水生态环境达标排放</w:t>
            </w:r>
          </w:p>
        </w:tc>
        <w:tc>
          <w:tcPr>
            <w:tcW w:w="5386" w:type="dxa"/>
            <w:vAlign w:val="center"/>
          </w:tcPr>
          <w:p>
            <w:pPr>
              <w:pStyle w:val="12"/>
            </w:pPr>
            <w:r>
              <w:t>保护县水生态环境</w:t>
            </w:r>
          </w:p>
        </w:tc>
        <w:tc>
          <w:tcPr>
            <w:tcW w:w="2268" w:type="dxa"/>
            <w:vAlign w:val="center"/>
          </w:tcPr>
          <w:p>
            <w:pPr>
              <w:pStyle w:val="12"/>
            </w:pPr>
            <w:r>
              <w:t>满足我县水生态环境达标排放</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确保污水达标排放</w:t>
            </w:r>
          </w:p>
        </w:tc>
        <w:tc>
          <w:tcPr>
            <w:tcW w:w="5386" w:type="dxa"/>
            <w:vAlign w:val="center"/>
          </w:tcPr>
          <w:p>
            <w:pPr>
              <w:pStyle w:val="12"/>
            </w:pPr>
            <w:r>
              <w:t>通过开展无极县域内污水，确保污水达标排放等工作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反映确保污水处理厂的正常运行和达标排放工作情况</w:t>
            </w:r>
          </w:p>
        </w:tc>
        <w:tc>
          <w:tcPr>
            <w:tcW w:w="5386" w:type="dxa"/>
            <w:vAlign w:val="center"/>
          </w:tcPr>
          <w:p>
            <w:pPr>
              <w:pStyle w:val="12"/>
            </w:pPr>
            <w:r>
              <w:t>反映确保污水处理厂的正常运行和达标排放工作情况</w:t>
            </w:r>
          </w:p>
        </w:tc>
        <w:tc>
          <w:tcPr>
            <w:tcW w:w="2268" w:type="dxa"/>
            <w:vAlign w:val="center"/>
          </w:tcPr>
          <w:p>
            <w:pPr>
              <w:pStyle w:val="12"/>
            </w:pPr>
            <w:r>
              <w:t>反映确保污水处理厂的正常运行和达标排放工作情况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11、无极县城区防洪排涝设施建设改造项目国债项目县级配套绩效目标表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13013025P000176106259</w:t>
            </w:r>
          </w:p>
        </w:tc>
        <w:tc>
          <w:tcPr>
            <w:tcW w:w="2835" w:type="dxa"/>
            <w:vAlign w:val="center"/>
          </w:tcPr>
          <w:p>
            <w:pPr>
              <w:pStyle w:val="10"/>
            </w:pPr>
            <w:r>
              <w:t>项目名称</w:t>
            </w:r>
          </w:p>
        </w:tc>
        <w:tc>
          <w:tcPr>
            <w:tcW w:w="6095" w:type="dxa"/>
            <w:gridSpan w:val="3"/>
            <w:vAlign w:val="center"/>
          </w:tcPr>
          <w:p>
            <w:pPr>
              <w:pStyle w:val="12"/>
            </w:pPr>
            <w:r>
              <w:t>无极县城区防洪排涝设施建设改造项目国债项目县级配套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1140.00</w:t>
            </w:r>
          </w:p>
        </w:tc>
        <w:tc>
          <w:tcPr>
            <w:tcW w:w="2835" w:type="dxa"/>
            <w:vAlign w:val="center"/>
          </w:tcPr>
          <w:p>
            <w:pPr>
              <w:pStyle w:val="10"/>
            </w:pPr>
            <w:r>
              <w:t>其中：财政    资金</w:t>
            </w:r>
          </w:p>
        </w:tc>
        <w:tc>
          <w:tcPr>
            <w:tcW w:w="2551" w:type="dxa"/>
            <w:vAlign w:val="center"/>
          </w:tcPr>
          <w:p>
            <w:pPr>
              <w:pStyle w:val="12"/>
            </w:pPr>
            <w:r>
              <w:t>1140.00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无极县城区防洪排涝设施建设改造项目国债项目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1140.00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1.及时完成新建雨水管网长度</w:t>
            </w:r>
          </w:p>
          <w:p>
            <w:pPr>
              <w:pStyle w:val="12"/>
            </w:pPr>
          </w:p>
          <w:p>
            <w:pPr>
              <w:pStyle w:val="12"/>
            </w:pPr>
            <w:r>
              <w:t>2.及时完成各项任务</w:t>
            </w:r>
          </w:p>
          <w:p>
            <w:pPr>
              <w:pStyle w:val="12"/>
            </w:pPr>
            <w:r>
              <w:t>3.泵站建设单位成本控制情况</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新建雨水管网</w:t>
            </w:r>
          </w:p>
        </w:tc>
        <w:tc>
          <w:tcPr>
            <w:tcW w:w="5386" w:type="dxa"/>
            <w:vAlign w:val="center"/>
          </w:tcPr>
          <w:p>
            <w:pPr>
              <w:pStyle w:val="12"/>
            </w:pPr>
            <w:r>
              <w:t>反映新建雨水管网长度完成情况</w:t>
            </w:r>
          </w:p>
        </w:tc>
        <w:tc>
          <w:tcPr>
            <w:tcW w:w="2268" w:type="dxa"/>
            <w:vAlign w:val="center"/>
          </w:tcPr>
          <w:p>
            <w:pPr>
              <w:pStyle w:val="12"/>
            </w:pPr>
            <w:r>
              <w:t>≥95米</w:t>
            </w:r>
          </w:p>
        </w:tc>
        <w:tc>
          <w:tcPr>
            <w:tcW w:w="1276" w:type="dxa"/>
            <w:vAlign w:val="center"/>
          </w:tcPr>
          <w:p>
            <w:pPr>
              <w:pStyle w:val="12"/>
            </w:pPr>
            <w: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新建泵站</w:t>
            </w:r>
          </w:p>
        </w:tc>
        <w:tc>
          <w:tcPr>
            <w:tcW w:w="5386" w:type="dxa"/>
            <w:vAlign w:val="center"/>
          </w:tcPr>
          <w:p>
            <w:pPr>
              <w:pStyle w:val="12"/>
            </w:pPr>
            <w:r>
              <w:t>反映新建泵站数量</w:t>
            </w:r>
          </w:p>
        </w:tc>
        <w:tc>
          <w:tcPr>
            <w:tcW w:w="2268" w:type="dxa"/>
            <w:vAlign w:val="center"/>
          </w:tcPr>
          <w:p>
            <w:pPr>
              <w:pStyle w:val="12"/>
            </w:pPr>
            <w:r>
              <w:t>＞95座</w:t>
            </w:r>
          </w:p>
        </w:tc>
        <w:tc>
          <w:tcPr>
            <w:tcW w:w="1276" w:type="dxa"/>
            <w:vAlign w:val="center"/>
          </w:tcPr>
          <w:p>
            <w:pPr>
              <w:pStyle w:val="12"/>
            </w:pPr>
            <w: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交（竣）工验收合格率</w:t>
            </w:r>
          </w:p>
        </w:tc>
        <w:tc>
          <w:tcPr>
            <w:tcW w:w="5386" w:type="dxa"/>
            <w:vAlign w:val="center"/>
          </w:tcPr>
          <w:p>
            <w:pPr>
              <w:pStyle w:val="12"/>
            </w:pPr>
            <w:r>
              <w:t>反映项目交（竣）工验收合格情况</w:t>
            </w:r>
          </w:p>
        </w:tc>
        <w:tc>
          <w:tcPr>
            <w:tcW w:w="2268" w:type="dxa"/>
            <w:vAlign w:val="center"/>
          </w:tcPr>
          <w:p>
            <w:pPr>
              <w:pStyle w:val="12"/>
            </w:pPr>
            <w:r>
              <w:t>≥100%</w:t>
            </w:r>
          </w:p>
        </w:tc>
        <w:tc>
          <w:tcPr>
            <w:tcW w:w="1276" w:type="dxa"/>
            <w:vAlign w:val="center"/>
          </w:tcPr>
          <w:p>
            <w:pPr>
              <w:pStyle w:val="12"/>
            </w:pPr>
            <w: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项目设计变更率</w:t>
            </w:r>
          </w:p>
        </w:tc>
        <w:tc>
          <w:tcPr>
            <w:tcW w:w="5386" w:type="dxa"/>
            <w:vAlign w:val="center"/>
          </w:tcPr>
          <w:p>
            <w:pPr>
              <w:pStyle w:val="12"/>
            </w:pPr>
            <w:r>
              <w:t>反映项目设计变更情况</w:t>
            </w:r>
          </w:p>
        </w:tc>
        <w:tc>
          <w:tcPr>
            <w:tcW w:w="2268" w:type="dxa"/>
            <w:vAlign w:val="center"/>
          </w:tcPr>
          <w:p>
            <w:pPr>
              <w:pStyle w:val="12"/>
            </w:pPr>
            <w:r>
              <w:t>≥95%</w:t>
            </w:r>
          </w:p>
        </w:tc>
        <w:tc>
          <w:tcPr>
            <w:tcW w:w="1276" w:type="dxa"/>
            <w:vAlign w:val="center"/>
          </w:tcPr>
          <w:p>
            <w:pPr>
              <w:pStyle w:val="12"/>
            </w:pPr>
            <w: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工程按时开工率</w:t>
            </w:r>
          </w:p>
        </w:tc>
        <w:tc>
          <w:tcPr>
            <w:tcW w:w="5386" w:type="dxa"/>
            <w:vAlign w:val="center"/>
          </w:tcPr>
          <w:p>
            <w:pPr>
              <w:pStyle w:val="12"/>
            </w:pPr>
            <w:r>
              <w:t>反映项目按时开工个数占项目总个数百分比</w:t>
            </w:r>
          </w:p>
        </w:tc>
        <w:tc>
          <w:tcPr>
            <w:tcW w:w="2268" w:type="dxa"/>
            <w:vAlign w:val="center"/>
          </w:tcPr>
          <w:p>
            <w:pPr>
              <w:pStyle w:val="12"/>
            </w:pPr>
            <w:r>
              <w:t>≥95%</w:t>
            </w:r>
          </w:p>
        </w:tc>
        <w:tc>
          <w:tcPr>
            <w:tcW w:w="1276" w:type="dxa"/>
            <w:vAlign w:val="center"/>
          </w:tcPr>
          <w:p>
            <w:pPr>
              <w:pStyle w:val="12"/>
            </w:pPr>
            <w: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工程完成时间</w:t>
            </w:r>
          </w:p>
        </w:tc>
        <w:tc>
          <w:tcPr>
            <w:tcW w:w="5386" w:type="dxa"/>
            <w:vAlign w:val="center"/>
          </w:tcPr>
          <w:p>
            <w:pPr>
              <w:pStyle w:val="12"/>
            </w:pPr>
            <w:r>
              <w:t>反映新建雨水管网项目完成时间</w:t>
            </w:r>
          </w:p>
        </w:tc>
        <w:tc>
          <w:tcPr>
            <w:tcW w:w="2268" w:type="dxa"/>
            <w:vAlign w:val="center"/>
          </w:tcPr>
          <w:p>
            <w:pPr>
              <w:pStyle w:val="12"/>
            </w:pPr>
            <w:r>
              <w:t>95%</w:t>
            </w:r>
          </w:p>
        </w:tc>
        <w:tc>
          <w:tcPr>
            <w:tcW w:w="1276" w:type="dxa"/>
            <w:vAlign w:val="center"/>
          </w:tcPr>
          <w:p>
            <w:pPr>
              <w:pStyle w:val="12"/>
            </w:pPr>
            <w: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雨水管网工程建设成本</w:t>
            </w:r>
          </w:p>
        </w:tc>
        <w:tc>
          <w:tcPr>
            <w:tcW w:w="5386" w:type="dxa"/>
            <w:vAlign w:val="center"/>
          </w:tcPr>
          <w:p>
            <w:pPr>
              <w:pStyle w:val="12"/>
            </w:pPr>
            <w:r>
              <w:t>反映新建雨水管网工程单位成本控制情况</w:t>
            </w:r>
          </w:p>
        </w:tc>
        <w:tc>
          <w:tcPr>
            <w:tcW w:w="2268" w:type="dxa"/>
            <w:vAlign w:val="center"/>
          </w:tcPr>
          <w:p>
            <w:pPr>
              <w:pStyle w:val="12"/>
            </w:pPr>
            <w:r>
              <w:t>≥95万 元/米</w:t>
            </w:r>
          </w:p>
        </w:tc>
        <w:tc>
          <w:tcPr>
            <w:tcW w:w="1276" w:type="dxa"/>
            <w:vAlign w:val="center"/>
          </w:tcPr>
          <w:p>
            <w:pPr>
              <w:pStyle w:val="12"/>
            </w:pPr>
            <w: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泵站建设成本</w:t>
            </w:r>
          </w:p>
        </w:tc>
        <w:tc>
          <w:tcPr>
            <w:tcW w:w="5386" w:type="dxa"/>
            <w:vAlign w:val="center"/>
          </w:tcPr>
          <w:p>
            <w:pPr>
              <w:pStyle w:val="12"/>
            </w:pPr>
            <w:r>
              <w:t>反映泵站建设单位成本控制情况</w:t>
            </w:r>
          </w:p>
        </w:tc>
        <w:tc>
          <w:tcPr>
            <w:tcW w:w="2268" w:type="dxa"/>
            <w:vAlign w:val="center"/>
          </w:tcPr>
          <w:p>
            <w:pPr>
              <w:pStyle w:val="12"/>
            </w:pPr>
            <w:r>
              <w:t>≥2700万元/座</w:t>
            </w:r>
          </w:p>
        </w:tc>
        <w:tc>
          <w:tcPr>
            <w:tcW w:w="1276" w:type="dxa"/>
            <w:vAlign w:val="center"/>
          </w:tcPr>
          <w:p>
            <w:pPr>
              <w:pStyle w:val="12"/>
            </w:pPr>
            <w: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排涝能力提升率</w:t>
            </w:r>
          </w:p>
        </w:tc>
        <w:tc>
          <w:tcPr>
            <w:tcW w:w="5386" w:type="dxa"/>
            <w:vAlign w:val="center"/>
          </w:tcPr>
          <w:p>
            <w:pPr>
              <w:pStyle w:val="12"/>
            </w:pPr>
            <w:r>
              <w:t>反映新建后排涝能力较之前提升百分比</w:t>
            </w:r>
          </w:p>
        </w:tc>
        <w:tc>
          <w:tcPr>
            <w:tcW w:w="2268" w:type="dxa"/>
            <w:vAlign w:val="center"/>
          </w:tcPr>
          <w:p>
            <w:pPr>
              <w:pStyle w:val="12"/>
            </w:pPr>
            <w:r>
              <w:t>≥95%</w:t>
            </w:r>
          </w:p>
        </w:tc>
        <w:tc>
          <w:tcPr>
            <w:tcW w:w="1276" w:type="dxa"/>
            <w:vAlign w:val="center"/>
          </w:tcPr>
          <w:p>
            <w:pPr>
              <w:pStyle w:val="12"/>
            </w:pPr>
            <w: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&gt;95%</w:t>
            </w:r>
          </w:p>
        </w:tc>
        <w:tc>
          <w:tcPr>
            <w:tcW w:w="1276" w:type="dxa"/>
            <w:vAlign w:val="center"/>
          </w:tcPr>
          <w:p>
            <w:pPr>
              <w:pStyle w:val="12"/>
            </w:pPr>
            <w:r>
              <w:t>根据工作情况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&gt;95%</w:t>
            </w:r>
          </w:p>
        </w:tc>
        <w:tc>
          <w:tcPr>
            <w:tcW w:w="1276" w:type="dxa"/>
            <w:vAlign w:val="center"/>
          </w:tcPr>
          <w:p>
            <w:pPr>
              <w:pStyle w:val="12"/>
            </w:pPr>
            <w:r>
              <w:t>根据工作情况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12、无极县公厕和垃圾中转站改造项目绩效目标表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13013025P00017610626W</w:t>
            </w:r>
          </w:p>
        </w:tc>
        <w:tc>
          <w:tcPr>
            <w:tcW w:w="2835" w:type="dxa"/>
            <w:vAlign w:val="center"/>
          </w:tcPr>
          <w:p>
            <w:pPr>
              <w:pStyle w:val="10"/>
            </w:pPr>
            <w:r>
              <w:t>项目名称</w:t>
            </w:r>
          </w:p>
        </w:tc>
        <w:tc>
          <w:tcPr>
            <w:tcW w:w="6095" w:type="dxa"/>
            <w:gridSpan w:val="3"/>
            <w:vAlign w:val="center"/>
          </w:tcPr>
          <w:p>
            <w:pPr>
              <w:pStyle w:val="12"/>
            </w:pPr>
            <w:r>
              <w:t>无极县公厕和垃圾中转站改造项目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253.80</w:t>
            </w:r>
          </w:p>
        </w:tc>
        <w:tc>
          <w:tcPr>
            <w:tcW w:w="2835" w:type="dxa"/>
            <w:vAlign w:val="center"/>
          </w:tcPr>
          <w:p>
            <w:pPr>
              <w:pStyle w:val="10"/>
            </w:pPr>
            <w:r>
              <w:t>其中：财政    资金</w:t>
            </w:r>
          </w:p>
        </w:tc>
        <w:tc>
          <w:tcPr>
            <w:tcW w:w="2551" w:type="dxa"/>
            <w:vAlign w:val="center"/>
          </w:tcPr>
          <w:p>
            <w:pPr>
              <w:pStyle w:val="12"/>
            </w:pPr>
            <w:r>
              <w:t>253.80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无极县公厕和垃圾中转站改造项目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253.80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1.公厕和垃圾中转站全年正常运行设备正常运行</w:t>
            </w:r>
          </w:p>
          <w:p>
            <w:pPr>
              <w:pStyle w:val="12"/>
            </w:pPr>
          </w:p>
          <w:p>
            <w:pPr>
              <w:pStyle w:val="12"/>
            </w:pPr>
            <w:r>
              <w:t>2.成本控制良好未造成财政资金浪费</w:t>
            </w:r>
          </w:p>
          <w:p>
            <w:pPr>
              <w:pStyle w:val="12"/>
            </w:pPr>
          </w:p>
          <w:p>
            <w:pPr>
              <w:pStyle w:val="12"/>
            </w:pPr>
            <w:r>
              <w:t>3.及时完成各项任务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是否完成数量目标</w:t>
            </w:r>
          </w:p>
        </w:tc>
        <w:tc>
          <w:tcPr>
            <w:tcW w:w="5386" w:type="dxa"/>
            <w:vAlign w:val="center"/>
          </w:tcPr>
          <w:p>
            <w:pPr>
              <w:pStyle w:val="12"/>
            </w:pPr>
            <w:r>
              <w:t>公厕和垃圾中转站全年正常运行设备正常运行</w:t>
            </w:r>
          </w:p>
        </w:tc>
        <w:tc>
          <w:tcPr>
            <w:tcW w:w="2268" w:type="dxa"/>
            <w:vAlign w:val="center"/>
          </w:tcPr>
          <w:p>
            <w:pPr>
              <w:pStyle w:val="12"/>
            </w:pPr>
            <w:r>
              <w:t>公厕和垃圾中转站全年正常运行设备正常运行</w:t>
            </w:r>
          </w:p>
        </w:tc>
        <w:tc>
          <w:tcPr>
            <w:tcW w:w="1276" w:type="dxa"/>
            <w:vAlign w:val="center"/>
          </w:tcPr>
          <w:p>
            <w:pPr>
              <w:pStyle w:val="12"/>
            </w:pPr>
            <w:r>
              <w:t>公厕和垃圾中转站全年正常运行设备正常运行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垃圾处理无害化处理率是否达标</w:t>
            </w:r>
          </w:p>
        </w:tc>
        <w:tc>
          <w:tcPr>
            <w:tcW w:w="5386" w:type="dxa"/>
            <w:vAlign w:val="center"/>
          </w:tcPr>
          <w:p>
            <w:pPr>
              <w:pStyle w:val="12"/>
            </w:pPr>
            <w:r>
              <w:t>通过查看检测报告查看垃圾无害化处理是否达标</w:t>
            </w:r>
          </w:p>
        </w:tc>
        <w:tc>
          <w:tcPr>
            <w:tcW w:w="2268" w:type="dxa"/>
            <w:vAlign w:val="center"/>
          </w:tcPr>
          <w:p>
            <w:pPr>
              <w:pStyle w:val="12"/>
            </w:pPr>
            <w:r>
              <w:t>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按时清运垃圾</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是否节约财政资金</w:t>
            </w:r>
          </w:p>
        </w:tc>
        <w:tc>
          <w:tcPr>
            <w:tcW w:w="5386" w:type="dxa"/>
            <w:vAlign w:val="center"/>
          </w:tcPr>
          <w:p>
            <w:pPr>
              <w:pStyle w:val="12"/>
            </w:pPr>
            <w:r>
              <w:t>成本控制良好未造成财政资金浪费</w:t>
            </w:r>
          </w:p>
        </w:tc>
        <w:tc>
          <w:tcPr>
            <w:tcW w:w="2268" w:type="dxa"/>
            <w:vAlign w:val="center"/>
          </w:tcPr>
          <w:p>
            <w:pPr>
              <w:pStyle w:val="12"/>
            </w:pPr>
            <w:r>
              <w:t>成本控制良好未造成财政资金浪费</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满足垃圾场正常运行</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保障正常运转</w:t>
            </w:r>
          </w:p>
        </w:tc>
        <w:tc>
          <w:tcPr>
            <w:tcW w:w="5386" w:type="dxa"/>
            <w:vAlign w:val="center"/>
          </w:tcPr>
          <w:p>
            <w:pPr>
              <w:pStyle w:val="12"/>
            </w:pPr>
            <w:r>
              <w:t>通过开展维修、购置等工作</w:t>
            </w:r>
          </w:p>
        </w:tc>
        <w:tc>
          <w:tcPr>
            <w:tcW w:w="2268" w:type="dxa"/>
            <w:vAlign w:val="center"/>
          </w:tcPr>
          <w:p>
            <w:pPr>
              <w:pStyle w:val="12"/>
            </w:pPr>
            <w:r>
              <w:t>保障正常运转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项目实施是否对环境产生积极的影响</w:t>
            </w:r>
          </w:p>
        </w:tc>
        <w:tc>
          <w:tcPr>
            <w:tcW w:w="5386" w:type="dxa"/>
            <w:vAlign w:val="center"/>
          </w:tcPr>
          <w:p>
            <w:pPr>
              <w:pStyle w:val="12"/>
            </w:pPr>
            <w:r>
              <w:t>项目实施过程中不造成二次污染</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为日常工作开展提供有力保障。</w:t>
            </w:r>
          </w:p>
        </w:tc>
        <w:tc>
          <w:tcPr>
            <w:tcW w:w="2268" w:type="dxa"/>
            <w:vAlign w:val="center"/>
          </w:tcPr>
          <w:p>
            <w:pPr>
              <w:pStyle w:val="12"/>
            </w:pPr>
            <w:r>
              <w:t>保证正常运转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13、无极县公厕和垃圾中转站改造项目绩效目标表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13013025P00017610627G</w:t>
            </w:r>
          </w:p>
        </w:tc>
        <w:tc>
          <w:tcPr>
            <w:tcW w:w="2835" w:type="dxa"/>
            <w:vAlign w:val="center"/>
          </w:tcPr>
          <w:p>
            <w:pPr>
              <w:pStyle w:val="10"/>
            </w:pPr>
            <w:r>
              <w:t>项目名称</w:t>
            </w:r>
          </w:p>
        </w:tc>
        <w:tc>
          <w:tcPr>
            <w:tcW w:w="6095" w:type="dxa"/>
            <w:gridSpan w:val="3"/>
            <w:vAlign w:val="center"/>
          </w:tcPr>
          <w:p>
            <w:pPr>
              <w:pStyle w:val="12"/>
            </w:pPr>
            <w:r>
              <w:t>无极县公厕和垃圾中转站改造项目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公厕和垃圾中转站全年正常运行设备正常运行</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1.公厕和垃圾中转站全年正常运行设备正常运行</w:t>
            </w:r>
          </w:p>
          <w:p>
            <w:pPr>
              <w:pStyle w:val="12"/>
            </w:pPr>
            <w:r>
              <w:t>2.及时完成各项任务</w:t>
            </w:r>
          </w:p>
          <w:p>
            <w:pPr>
              <w:pStyle w:val="12"/>
            </w:pPr>
            <w:r>
              <w:t>3.垃圾处理无害化处理率是否达标</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是否完成数量目标</w:t>
            </w:r>
          </w:p>
        </w:tc>
        <w:tc>
          <w:tcPr>
            <w:tcW w:w="5386" w:type="dxa"/>
            <w:vAlign w:val="center"/>
          </w:tcPr>
          <w:p>
            <w:pPr>
              <w:pStyle w:val="12"/>
            </w:pPr>
            <w:r>
              <w:t>公厕和垃圾中转站全年正常运行设备正常运行</w:t>
            </w:r>
          </w:p>
        </w:tc>
        <w:tc>
          <w:tcPr>
            <w:tcW w:w="2268" w:type="dxa"/>
            <w:vAlign w:val="center"/>
          </w:tcPr>
          <w:p>
            <w:pPr>
              <w:pStyle w:val="12"/>
            </w:pPr>
            <w:r>
              <w:t>公厕和垃圾中转站全年正常运行设备正常运行</w:t>
            </w:r>
          </w:p>
        </w:tc>
        <w:tc>
          <w:tcPr>
            <w:tcW w:w="1276" w:type="dxa"/>
            <w:vAlign w:val="center"/>
          </w:tcPr>
          <w:p>
            <w:pPr>
              <w:pStyle w:val="12"/>
            </w:pPr>
            <w:r>
              <w:t>公厕和垃圾中转站全年正常运行设备正常运行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垃圾处理无害化处理率是否达标</w:t>
            </w:r>
          </w:p>
        </w:tc>
        <w:tc>
          <w:tcPr>
            <w:tcW w:w="5386" w:type="dxa"/>
            <w:vAlign w:val="center"/>
          </w:tcPr>
          <w:p>
            <w:pPr>
              <w:pStyle w:val="12"/>
            </w:pPr>
            <w:r>
              <w:t>通过查看检测报告查看垃圾无害化处理是否达标</w:t>
            </w:r>
          </w:p>
        </w:tc>
        <w:tc>
          <w:tcPr>
            <w:tcW w:w="2268" w:type="dxa"/>
            <w:vAlign w:val="center"/>
          </w:tcPr>
          <w:p>
            <w:pPr>
              <w:pStyle w:val="12"/>
            </w:pPr>
            <w:r>
              <w:t>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按时清运垃圾</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是否节约财政资金</w:t>
            </w:r>
          </w:p>
        </w:tc>
        <w:tc>
          <w:tcPr>
            <w:tcW w:w="5386" w:type="dxa"/>
            <w:vAlign w:val="center"/>
          </w:tcPr>
          <w:p>
            <w:pPr>
              <w:pStyle w:val="12"/>
            </w:pPr>
            <w:r>
              <w:t>成本控制良好未造成财政资金浪费</w:t>
            </w:r>
          </w:p>
        </w:tc>
        <w:tc>
          <w:tcPr>
            <w:tcW w:w="2268" w:type="dxa"/>
            <w:vAlign w:val="center"/>
          </w:tcPr>
          <w:p>
            <w:pPr>
              <w:pStyle w:val="12"/>
            </w:pPr>
            <w:r>
              <w:t>成本控制良好未造成财政资金浪费</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满足垃圾场正常运行</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保障正常运转</w:t>
            </w:r>
          </w:p>
        </w:tc>
        <w:tc>
          <w:tcPr>
            <w:tcW w:w="5386" w:type="dxa"/>
            <w:vAlign w:val="center"/>
          </w:tcPr>
          <w:p>
            <w:pPr>
              <w:pStyle w:val="12"/>
            </w:pPr>
            <w:r>
              <w:t>通过开展维修、购置等工作</w:t>
            </w:r>
          </w:p>
        </w:tc>
        <w:tc>
          <w:tcPr>
            <w:tcW w:w="2268" w:type="dxa"/>
            <w:vAlign w:val="center"/>
          </w:tcPr>
          <w:p>
            <w:pPr>
              <w:pStyle w:val="12"/>
            </w:pPr>
            <w:r>
              <w:t>保障正常运转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项目实施是否对环境产生积极的影响</w:t>
            </w:r>
          </w:p>
        </w:tc>
        <w:tc>
          <w:tcPr>
            <w:tcW w:w="5386" w:type="dxa"/>
            <w:vAlign w:val="center"/>
          </w:tcPr>
          <w:p>
            <w:pPr>
              <w:pStyle w:val="12"/>
            </w:pPr>
            <w:r>
              <w:t>项目实施过程中不造成二次污染</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为日常工作开展提供有力保障。</w:t>
            </w:r>
          </w:p>
        </w:tc>
        <w:tc>
          <w:tcPr>
            <w:tcW w:w="2268" w:type="dxa"/>
            <w:vAlign w:val="center"/>
          </w:tcPr>
          <w:p>
            <w:pPr>
              <w:pStyle w:val="12"/>
            </w:pPr>
            <w:r>
              <w:t>保证正常运转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14、无极县污水处理厂提标改造及配套设施建设项目绩效目标表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13013024P000020102947</w:t>
            </w:r>
          </w:p>
        </w:tc>
        <w:tc>
          <w:tcPr>
            <w:tcW w:w="2835" w:type="dxa"/>
            <w:vAlign w:val="center"/>
          </w:tcPr>
          <w:p>
            <w:pPr>
              <w:pStyle w:val="10"/>
            </w:pPr>
            <w:r>
              <w:t>项目名称</w:t>
            </w:r>
          </w:p>
        </w:tc>
        <w:tc>
          <w:tcPr>
            <w:tcW w:w="6095" w:type="dxa"/>
            <w:gridSpan w:val="3"/>
            <w:vAlign w:val="center"/>
          </w:tcPr>
          <w:p>
            <w:pPr>
              <w:pStyle w:val="12"/>
            </w:pPr>
            <w:r>
              <w:t>无极县污水处理厂提标改造及配套设施建设项目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700.00</w:t>
            </w:r>
          </w:p>
        </w:tc>
        <w:tc>
          <w:tcPr>
            <w:tcW w:w="2835" w:type="dxa"/>
            <w:vAlign w:val="center"/>
          </w:tcPr>
          <w:p>
            <w:pPr>
              <w:pStyle w:val="10"/>
            </w:pPr>
            <w:r>
              <w:t>其中：财政    资金</w:t>
            </w:r>
          </w:p>
        </w:tc>
        <w:tc>
          <w:tcPr>
            <w:tcW w:w="2551" w:type="dxa"/>
            <w:vAlign w:val="center"/>
          </w:tcPr>
          <w:p>
            <w:pPr>
              <w:pStyle w:val="12"/>
            </w:pPr>
            <w:r>
              <w:t>700.00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无极县污水处理厂提标改造及配套设施建设项目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700.00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1.按时支付污水污泥处理费用</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按时支付污水污泥处理费用</w:t>
            </w:r>
          </w:p>
        </w:tc>
        <w:tc>
          <w:tcPr>
            <w:tcW w:w="5386" w:type="dxa"/>
            <w:vAlign w:val="center"/>
          </w:tcPr>
          <w:p>
            <w:pPr>
              <w:pStyle w:val="12"/>
            </w:pPr>
            <w:r>
              <w:t>按时支付污水污泥处理费用</w:t>
            </w:r>
          </w:p>
        </w:tc>
        <w:tc>
          <w:tcPr>
            <w:tcW w:w="2268" w:type="dxa"/>
            <w:vAlign w:val="center"/>
          </w:tcPr>
          <w:p>
            <w:pPr>
              <w:pStyle w:val="12"/>
            </w:pPr>
            <w:r>
              <w:t>按时支付污水污泥处理费用</w:t>
            </w:r>
          </w:p>
        </w:tc>
        <w:tc>
          <w:tcPr>
            <w:tcW w:w="1276" w:type="dxa"/>
            <w:vAlign w:val="center"/>
          </w:tcPr>
          <w:p>
            <w:pPr>
              <w:pStyle w:val="12"/>
            </w:pPr>
            <w:r>
              <w:t>按时支付污水污泥处理费用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&lt;1次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反映污水处理厂工作情况</w:t>
            </w:r>
          </w:p>
        </w:tc>
        <w:tc>
          <w:tcPr>
            <w:tcW w:w="5386" w:type="dxa"/>
            <w:vAlign w:val="center"/>
          </w:tcPr>
          <w:p>
            <w:pPr>
              <w:pStyle w:val="12"/>
            </w:pPr>
            <w:r>
              <w:t>反映污水处理厂工作情况</w:t>
            </w:r>
          </w:p>
        </w:tc>
        <w:tc>
          <w:tcPr>
            <w:tcW w:w="2268" w:type="dxa"/>
            <w:vAlign w:val="center"/>
          </w:tcPr>
          <w:p>
            <w:pPr>
              <w:pStyle w:val="12"/>
            </w:pPr>
            <w:r>
              <w:t>反映污水处理厂工作情况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5386" w:type="dxa"/>
            <w:vAlign w:val="center"/>
          </w:tcPr>
          <w:p>
            <w:pPr>
              <w:pStyle w:val="12"/>
            </w:pPr>
            <w:r>
              <w:t>调查中机关单位人员对单位环境和设施满意和较满意的人数占调查总人数的比率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15、无极县污水处理厂提标改造及配套设施建设项目绩效目标表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13013025P00000210289Q</w:t>
            </w:r>
          </w:p>
        </w:tc>
        <w:tc>
          <w:tcPr>
            <w:tcW w:w="2835" w:type="dxa"/>
            <w:vAlign w:val="center"/>
          </w:tcPr>
          <w:p>
            <w:pPr>
              <w:pStyle w:val="10"/>
            </w:pPr>
            <w:r>
              <w:t>项目名称</w:t>
            </w:r>
          </w:p>
        </w:tc>
        <w:tc>
          <w:tcPr>
            <w:tcW w:w="6095" w:type="dxa"/>
            <w:gridSpan w:val="3"/>
            <w:vAlign w:val="center"/>
          </w:tcPr>
          <w:p>
            <w:pPr>
              <w:pStyle w:val="12"/>
            </w:pPr>
            <w:r>
              <w:t>无极县污水处理厂提标改造及配套设施建设项目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1900.00</w:t>
            </w:r>
          </w:p>
        </w:tc>
        <w:tc>
          <w:tcPr>
            <w:tcW w:w="2835" w:type="dxa"/>
            <w:vAlign w:val="center"/>
          </w:tcPr>
          <w:p>
            <w:pPr>
              <w:pStyle w:val="10"/>
            </w:pPr>
            <w:r>
              <w:t>其中：财政    资金</w:t>
            </w:r>
          </w:p>
        </w:tc>
        <w:tc>
          <w:tcPr>
            <w:tcW w:w="2551" w:type="dxa"/>
            <w:vAlign w:val="center"/>
          </w:tcPr>
          <w:p>
            <w:pPr>
              <w:pStyle w:val="12"/>
            </w:pPr>
            <w:r>
              <w:t>1900.00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无极县污水处理厂提标改造及配套设施建设项目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1900.00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1.无极县污水处理厂提标改造及配套设施建设项目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按时支付污水污泥处理费用</w:t>
            </w:r>
          </w:p>
        </w:tc>
        <w:tc>
          <w:tcPr>
            <w:tcW w:w="5386" w:type="dxa"/>
            <w:vAlign w:val="center"/>
          </w:tcPr>
          <w:p>
            <w:pPr>
              <w:pStyle w:val="12"/>
            </w:pPr>
            <w:r>
              <w:t>按时支付污水污泥处理费用</w:t>
            </w:r>
          </w:p>
        </w:tc>
        <w:tc>
          <w:tcPr>
            <w:tcW w:w="2268" w:type="dxa"/>
            <w:vAlign w:val="center"/>
          </w:tcPr>
          <w:p>
            <w:pPr>
              <w:pStyle w:val="12"/>
            </w:pPr>
            <w:r>
              <w:t>按时支付污水污泥处理费用</w:t>
            </w:r>
          </w:p>
        </w:tc>
        <w:tc>
          <w:tcPr>
            <w:tcW w:w="1276" w:type="dxa"/>
            <w:vAlign w:val="center"/>
          </w:tcPr>
          <w:p>
            <w:pPr>
              <w:pStyle w:val="12"/>
            </w:pPr>
            <w:r>
              <w:t>按时支付污水污泥处理费用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&lt;1次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反映污水处理厂工作情况</w:t>
            </w:r>
          </w:p>
        </w:tc>
        <w:tc>
          <w:tcPr>
            <w:tcW w:w="5386" w:type="dxa"/>
            <w:vAlign w:val="center"/>
          </w:tcPr>
          <w:p>
            <w:pPr>
              <w:pStyle w:val="12"/>
            </w:pPr>
            <w:r>
              <w:t>反映污水处理厂工作情况</w:t>
            </w:r>
          </w:p>
        </w:tc>
        <w:tc>
          <w:tcPr>
            <w:tcW w:w="2268" w:type="dxa"/>
            <w:vAlign w:val="center"/>
          </w:tcPr>
          <w:p>
            <w:pPr>
              <w:pStyle w:val="12"/>
            </w:pPr>
            <w:r>
              <w:t>反映污水处理厂工作情况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5386" w:type="dxa"/>
            <w:vAlign w:val="center"/>
          </w:tcPr>
          <w:p>
            <w:pPr>
              <w:pStyle w:val="12"/>
            </w:pPr>
            <w:r>
              <w:t>调查中机关单位人员对单位环境和设施满意和较满意的人数占调查总人数的比率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16、无极县污水处理厂提标改造及配套设施建设项目绩效目标表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13013025P000002102904</w:t>
            </w:r>
          </w:p>
        </w:tc>
        <w:tc>
          <w:tcPr>
            <w:tcW w:w="2835" w:type="dxa"/>
            <w:vAlign w:val="center"/>
          </w:tcPr>
          <w:p>
            <w:pPr>
              <w:pStyle w:val="10"/>
            </w:pPr>
            <w:r>
              <w:t>项目名称</w:t>
            </w:r>
          </w:p>
        </w:tc>
        <w:tc>
          <w:tcPr>
            <w:tcW w:w="6095" w:type="dxa"/>
            <w:gridSpan w:val="3"/>
            <w:vAlign w:val="center"/>
          </w:tcPr>
          <w:p>
            <w:pPr>
              <w:pStyle w:val="12"/>
            </w:pPr>
            <w:r>
              <w:t>无极县污水处理厂提标改造及配套设施建设项目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1453.79</w:t>
            </w:r>
          </w:p>
        </w:tc>
        <w:tc>
          <w:tcPr>
            <w:tcW w:w="2835" w:type="dxa"/>
            <w:vAlign w:val="center"/>
          </w:tcPr>
          <w:p>
            <w:pPr>
              <w:pStyle w:val="10"/>
            </w:pPr>
            <w:r>
              <w:t>其中：财政    资金</w:t>
            </w:r>
          </w:p>
        </w:tc>
        <w:tc>
          <w:tcPr>
            <w:tcW w:w="2551" w:type="dxa"/>
            <w:vAlign w:val="center"/>
          </w:tcPr>
          <w:p>
            <w:pPr>
              <w:pStyle w:val="12"/>
            </w:pPr>
            <w:r>
              <w:t>1453.79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无极县污水处理厂提标改造及配套设施建设项目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1453.79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1.按时完成污水处理厂提标改造及配套设施建设项目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按时支付无极县污水处理厂提标改造及配套设施建设项目</w:t>
            </w:r>
            <w:r>
              <w:tab/>
            </w:r>
          </w:p>
          <w:p>
            <w:pPr>
              <w:pStyle w:val="12"/>
            </w:pPr>
            <w:r>
              <w:t>费用</w:t>
            </w:r>
          </w:p>
        </w:tc>
        <w:tc>
          <w:tcPr>
            <w:tcW w:w="5386" w:type="dxa"/>
            <w:vAlign w:val="center"/>
          </w:tcPr>
          <w:p>
            <w:pPr>
              <w:pStyle w:val="12"/>
            </w:pPr>
            <w:r>
              <w:t>按时支付无极县污水处理厂提标改造及配套设施建设项目</w:t>
            </w:r>
            <w:r>
              <w:tab/>
            </w:r>
          </w:p>
          <w:p>
            <w:pPr>
              <w:pStyle w:val="12"/>
            </w:pPr>
            <w:r>
              <w:t>费用</w:t>
            </w:r>
          </w:p>
        </w:tc>
        <w:tc>
          <w:tcPr>
            <w:tcW w:w="2268" w:type="dxa"/>
            <w:vAlign w:val="center"/>
          </w:tcPr>
          <w:p>
            <w:pPr>
              <w:pStyle w:val="12"/>
            </w:pPr>
            <w:r>
              <w:t>支付无极县污水处理厂提标改造及配套设施建设项目</w:t>
            </w:r>
            <w:r>
              <w:tab/>
            </w:r>
          </w:p>
          <w:p>
            <w:pPr>
              <w:pStyle w:val="12"/>
            </w:pPr>
            <w:r>
              <w:t>费用"</w:t>
            </w:r>
          </w:p>
          <w:p>
            <w:pPr>
              <w:pStyle w:val="12"/>
            </w:pP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&lt;1次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满足我县水生态环境达标排放</w:t>
            </w:r>
          </w:p>
        </w:tc>
        <w:tc>
          <w:tcPr>
            <w:tcW w:w="5386" w:type="dxa"/>
            <w:vAlign w:val="center"/>
          </w:tcPr>
          <w:p>
            <w:pPr>
              <w:pStyle w:val="12"/>
            </w:pPr>
            <w:r>
              <w:t>保护县水生态环境</w:t>
            </w:r>
          </w:p>
        </w:tc>
        <w:tc>
          <w:tcPr>
            <w:tcW w:w="2268" w:type="dxa"/>
            <w:vAlign w:val="center"/>
          </w:tcPr>
          <w:p>
            <w:pPr>
              <w:pStyle w:val="12"/>
            </w:pPr>
            <w:r>
              <w:t>满足我县水生态环境达标排放</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确保污水达标排放</w:t>
            </w:r>
          </w:p>
        </w:tc>
        <w:tc>
          <w:tcPr>
            <w:tcW w:w="5386" w:type="dxa"/>
            <w:vAlign w:val="center"/>
          </w:tcPr>
          <w:p>
            <w:pPr>
              <w:pStyle w:val="12"/>
            </w:pPr>
            <w:r>
              <w:t>通过开展无极县域内污水，确保污水达标排放等工作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反映确保污水处理厂的正常运行和达标排放工作情况</w:t>
            </w:r>
          </w:p>
        </w:tc>
        <w:tc>
          <w:tcPr>
            <w:tcW w:w="5386" w:type="dxa"/>
            <w:vAlign w:val="center"/>
          </w:tcPr>
          <w:p>
            <w:pPr>
              <w:pStyle w:val="12"/>
            </w:pPr>
            <w:r>
              <w:t>反映确保污水处理厂的正常运行和达标排放工作情况</w:t>
            </w:r>
          </w:p>
        </w:tc>
        <w:tc>
          <w:tcPr>
            <w:tcW w:w="2268" w:type="dxa"/>
            <w:vAlign w:val="center"/>
          </w:tcPr>
          <w:p>
            <w:pPr>
              <w:pStyle w:val="12"/>
            </w:pPr>
            <w:r>
              <w:t>反映确保污水处理厂的正常运行和达标排放工作情况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17、无极县无害化垃圾处理场封场工程绩效目标表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13013025P00000210292B</w:t>
            </w:r>
          </w:p>
        </w:tc>
        <w:tc>
          <w:tcPr>
            <w:tcW w:w="2835" w:type="dxa"/>
            <w:vAlign w:val="center"/>
          </w:tcPr>
          <w:p>
            <w:pPr>
              <w:pStyle w:val="10"/>
            </w:pPr>
            <w:r>
              <w:t>项目名称</w:t>
            </w:r>
          </w:p>
        </w:tc>
        <w:tc>
          <w:tcPr>
            <w:tcW w:w="6095" w:type="dxa"/>
            <w:gridSpan w:val="3"/>
            <w:vAlign w:val="center"/>
          </w:tcPr>
          <w:p>
            <w:pPr>
              <w:pStyle w:val="12"/>
            </w:pPr>
            <w:r>
              <w:t>无极县无害化垃圾处理场封场工程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162.67</w:t>
            </w:r>
          </w:p>
        </w:tc>
        <w:tc>
          <w:tcPr>
            <w:tcW w:w="2835" w:type="dxa"/>
            <w:vAlign w:val="center"/>
          </w:tcPr>
          <w:p>
            <w:pPr>
              <w:pStyle w:val="10"/>
            </w:pPr>
            <w:r>
              <w:t>其中：财政    资金</w:t>
            </w:r>
          </w:p>
        </w:tc>
        <w:tc>
          <w:tcPr>
            <w:tcW w:w="2551" w:type="dxa"/>
            <w:vAlign w:val="center"/>
          </w:tcPr>
          <w:p>
            <w:pPr>
              <w:pStyle w:val="12"/>
            </w:pPr>
            <w:r>
              <w:t>162.67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无害化垃圾处理场封场工程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162.67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1.及时处理生活垃圾，保护生态环境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按时支付处理生活垃圾费用</w:t>
            </w:r>
          </w:p>
        </w:tc>
        <w:tc>
          <w:tcPr>
            <w:tcW w:w="5386" w:type="dxa"/>
            <w:vAlign w:val="center"/>
          </w:tcPr>
          <w:p>
            <w:pPr>
              <w:pStyle w:val="12"/>
            </w:pPr>
            <w:r>
              <w:t>按时支付处理生活垃圾费用</w:t>
            </w:r>
          </w:p>
        </w:tc>
        <w:tc>
          <w:tcPr>
            <w:tcW w:w="2268" w:type="dxa"/>
            <w:vAlign w:val="center"/>
          </w:tcPr>
          <w:p>
            <w:pPr>
              <w:pStyle w:val="12"/>
            </w:pPr>
            <w:r>
              <w:t>按时支付处理生活垃圾费用</w:t>
            </w:r>
          </w:p>
        </w:tc>
        <w:tc>
          <w:tcPr>
            <w:tcW w:w="1276" w:type="dxa"/>
            <w:vAlign w:val="center"/>
          </w:tcPr>
          <w:p>
            <w:pPr>
              <w:pStyle w:val="12"/>
            </w:pPr>
            <w:r>
              <w:t>按时支付处理生活垃圾费用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无极县城市管理综合行政执法局本级上年末固定资产金额为0.00万元（详见下表）。本年度拟购置固定资产总额为0.00万元，已按要求列入政府采购预算，详见政府采购预算表。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0FC291B"/>
    <w:rsid w:val="33FE30D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59</Pages>
  <TotalTime>0</TotalTime>
  <ScaleCrop>false</ScaleCrop>
  <LinksUpToDate>false</LinksUpToDate>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2026-02-26T14:30:00Z</dcterms:created>
  <dc:creator>hp</dc:creator>
  <cp:lastModifiedBy>hp</cp:lastModifiedBy>
  <dcterms:modified xsi:type="dcterms:W3CDTF">2026-02-26T06:33:09Z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