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9184.04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7706.74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5587.55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9184.04</w:t>
            </w:r>
          </w:p>
        </w:tc>
        <w:tc>
          <w:tcPr>
            <w:tcW w:w="4535" w:type="dxa"/>
            <w:vAlign w:val="center"/>
          </w:tcPr>
          <w:p>
            <w:pPr>
              <w:pStyle w:val="15"/>
            </w:pPr>
            <w:r>
              <w:t>本年支出合计</w:t>
            </w:r>
          </w:p>
        </w:tc>
        <w:tc>
          <w:tcPr>
            <w:tcW w:w="2126" w:type="dxa"/>
            <w:vAlign w:val="center"/>
          </w:tcPr>
          <w:p>
            <w:pPr>
              <w:pStyle w:val="16"/>
            </w:pPr>
            <w:r>
              <w:t>17112.29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7928.25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17112.29</w:t>
            </w:r>
          </w:p>
        </w:tc>
        <w:tc>
          <w:tcPr>
            <w:tcW w:w="4535" w:type="dxa"/>
            <w:vAlign w:val="center"/>
          </w:tcPr>
          <w:p>
            <w:pPr>
              <w:pStyle w:val="15"/>
            </w:pPr>
            <w:r>
              <w:t>支出总计</w:t>
            </w:r>
          </w:p>
        </w:tc>
        <w:tc>
          <w:tcPr>
            <w:tcW w:w="2126" w:type="dxa"/>
            <w:vAlign w:val="center"/>
          </w:tcPr>
          <w:p>
            <w:pPr>
              <w:pStyle w:val="16"/>
            </w:pPr>
            <w:r>
              <w:t>17112.29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17112.29</w:t>
            </w:r>
          </w:p>
        </w:tc>
        <w:tc>
          <w:tcPr>
            <w:tcW w:w="1134" w:type="dxa"/>
            <w:vAlign w:val="center"/>
          </w:tcPr>
          <w:p>
            <w:pPr>
              <w:pStyle w:val="16"/>
            </w:pPr>
            <w:r>
              <w:t>9184.04</w:t>
            </w:r>
          </w:p>
        </w:tc>
        <w:tc>
          <w:tcPr>
            <w:tcW w:w="1134" w:type="dxa"/>
            <w:vAlign w:val="center"/>
          </w:tcPr>
          <w:p>
            <w:pPr>
              <w:pStyle w:val="16"/>
            </w:pPr>
            <w:r>
              <w:t>9184.04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7928.25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7706.74</w:t>
            </w:r>
          </w:p>
        </w:tc>
        <w:tc>
          <w:tcPr>
            <w:tcW w:w="1134" w:type="dxa"/>
            <w:vAlign w:val="center"/>
          </w:tcPr>
          <w:p>
            <w:pPr>
              <w:pStyle w:val="12"/>
            </w:pPr>
            <w:r>
              <w:t>5588.74</w:t>
            </w:r>
          </w:p>
        </w:tc>
        <w:tc>
          <w:tcPr>
            <w:tcW w:w="1134" w:type="dxa"/>
            <w:vAlign w:val="center"/>
          </w:tcPr>
          <w:p>
            <w:pPr>
              <w:pStyle w:val="12"/>
            </w:pPr>
            <w:r>
              <w:t>5588.74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7706.74</w:t>
            </w:r>
          </w:p>
        </w:tc>
        <w:tc>
          <w:tcPr>
            <w:tcW w:w="1134" w:type="dxa"/>
            <w:vAlign w:val="center"/>
          </w:tcPr>
          <w:p>
            <w:pPr>
              <w:pStyle w:val="12"/>
            </w:pPr>
            <w:r>
              <w:t>5588.74</w:t>
            </w:r>
          </w:p>
        </w:tc>
        <w:tc>
          <w:tcPr>
            <w:tcW w:w="1134" w:type="dxa"/>
            <w:vAlign w:val="center"/>
          </w:tcPr>
          <w:p>
            <w:pPr>
              <w:pStyle w:val="12"/>
            </w:pPr>
            <w:r>
              <w:t>5588.74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4706.74</w:t>
            </w:r>
          </w:p>
        </w:tc>
        <w:tc>
          <w:tcPr>
            <w:tcW w:w="1134" w:type="dxa"/>
            <w:vAlign w:val="center"/>
          </w:tcPr>
          <w:p>
            <w:pPr>
              <w:pStyle w:val="12"/>
            </w:pPr>
            <w:r>
              <w:t>2588.74</w:t>
            </w:r>
          </w:p>
        </w:tc>
        <w:tc>
          <w:tcPr>
            <w:tcW w:w="1134" w:type="dxa"/>
            <w:vAlign w:val="center"/>
          </w:tcPr>
          <w:p>
            <w:pPr>
              <w:pStyle w:val="12"/>
            </w:pPr>
            <w:r>
              <w:t>2588.74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2110302</w:t>
            </w:r>
          </w:p>
        </w:tc>
        <w:tc>
          <w:tcPr>
            <w:tcW w:w="1559" w:type="dxa"/>
            <w:vAlign w:val="center"/>
          </w:tcPr>
          <w:p>
            <w:pPr>
              <w:pStyle w:val="13"/>
            </w:pPr>
            <w:r>
              <w:t>水体</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5587.55</w:t>
            </w:r>
          </w:p>
        </w:tc>
        <w:tc>
          <w:tcPr>
            <w:tcW w:w="1134" w:type="dxa"/>
            <w:vAlign w:val="center"/>
          </w:tcPr>
          <w:p>
            <w:pPr>
              <w:pStyle w:val="12"/>
            </w:pPr>
            <w:r>
              <w:t>3517.30</w:t>
            </w:r>
          </w:p>
        </w:tc>
        <w:tc>
          <w:tcPr>
            <w:tcW w:w="1134" w:type="dxa"/>
            <w:vAlign w:val="center"/>
          </w:tcPr>
          <w:p>
            <w:pPr>
              <w:pStyle w:val="12"/>
            </w:pPr>
            <w:r>
              <w:t>3517.30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2070.25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1797.30</w:t>
            </w:r>
          </w:p>
        </w:tc>
        <w:tc>
          <w:tcPr>
            <w:tcW w:w="1134" w:type="dxa"/>
            <w:vAlign w:val="center"/>
          </w:tcPr>
          <w:p>
            <w:pPr>
              <w:pStyle w:val="12"/>
            </w:pPr>
            <w:r>
              <w:t>1797.30</w:t>
            </w:r>
          </w:p>
        </w:tc>
        <w:tc>
          <w:tcPr>
            <w:tcW w:w="1134" w:type="dxa"/>
            <w:vAlign w:val="center"/>
          </w:tcPr>
          <w:p>
            <w:pPr>
              <w:pStyle w:val="12"/>
            </w:pPr>
            <w:r>
              <w:t>1797.30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2120104</w:t>
            </w:r>
          </w:p>
        </w:tc>
        <w:tc>
          <w:tcPr>
            <w:tcW w:w="1559" w:type="dxa"/>
            <w:vAlign w:val="center"/>
          </w:tcPr>
          <w:p>
            <w:pPr>
              <w:pStyle w:val="13"/>
            </w:pPr>
            <w:r>
              <w:t>城管执法</w:t>
            </w:r>
          </w:p>
        </w:tc>
        <w:tc>
          <w:tcPr>
            <w:tcW w:w="1134" w:type="dxa"/>
            <w:vAlign w:val="center"/>
          </w:tcPr>
          <w:p>
            <w:pPr>
              <w:pStyle w:val="12"/>
            </w:pPr>
            <w:r>
              <w:t>1797.30</w:t>
            </w:r>
          </w:p>
        </w:tc>
        <w:tc>
          <w:tcPr>
            <w:tcW w:w="1134" w:type="dxa"/>
            <w:vAlign w:val="center"/>
          </w:tcPr>
          <w:p>
            <w:pPr>
              <w:pStyle w:val="12"/>
            </w:pPr>
            <w:r>
              <w:t>1797.30</w:t>
            </w:r>
          </w:p>
        </w:tc>
        <w:tc>
          <w:tcPr>
            <w:tcW w:w="1134" w:type="dxa"/>
            <w:vAlign w:val="center"/>
          </w:tcPr>
          <w:p>
            <w:pPr>
              <w:pStyle w:val="12"/>
            </w:pPr>
            <w:r>
              <w:t>1797.30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2336.46</w:t>
            </w:r>
          </w:p>
        </w:tc>
        <w:tc>
          <w:tcPr>
            <w:tcW w:w="1134" w:type="dxa"/>
            <w:vAlign w:val="center"/>
          </w:tcPr>
          <w:p>
            <w:pPr>
              <w:pStyle w:val="12"/>
            </w:pPr>
            <w:r>
              <w:t>1720.00</w:t>
            </w:r>
          </w:p>
        </w:tc>
        <w:tc>
          <w:tcPr>
            <w:tcW w:w="1134" w:type="dxa"/>
            <w:vAlign w:val="center"/>
          </w:tcPr>
          <w:p>
            <w:pPr>
              <w:pStyle w:val="12"/>
            </w:pPr>
            <w:r>
              <w:t>1720.00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2336.46</w:t>
            </w:r>
          </w:p>
        </w:tc>
        <w:tc>
          <w:tcPr>
            <w:tcW w:w="1134" w:type="dxa"/>
            <w:vAlign w:val="center"/>
          </w:tcPr>
          <w:p>
            <w:pPr>
              <w:pStyle w:val="12"/>
            </w:pPr>
            <w:r>
              <w:t>1720.00</w:t>
            </w:r>
          </w:p>
        </w:tc>
        <w:tc>
          <w:tcPr>
            <w:tcW w:w="1134" w:type="dxa"/>
            <w:vAlign w:val="center"/>
          </w:tcPr>
          <w:p>
            <w:pPr>
              <w:pStyle w:val="12"/>
            </w:pPr>
            <w:r>
              <w:t>1720.00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21298</w:t>
            </w:r>
          </w:p>
        </w:tc>
        <w:tc>
          <w:tcPr>
            <w:tcW w:w="1559" w:type="dxa"/>
            <w:vAlign w:val="center"/>
          </w:tcPr>
          <w:p>
            <w:pPr>
              <w:pStyle w:val="13"/>
            </w:pPr>
            <w:r>
              <w:t>超长期特别国债安排的支出</w:t>
            </w:r>
          </w:p>
        </w:tc>
        <w:tc>
          <w:tcPr>
            <w:tcW w:w="1134" w:type="dxa"/>
            <w:vAlign w:val="center"/>
          </w:tcPr>
          <w:p>
            <w:pPr>
              <w:pStyle w:val="12"/>
            </w:pPr>
            <w:r>
              <w:t>1453.79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2129899</w:t>
            </w:r>
          </w:p>
        </w:tc>
        <w:tc>
          <w:tcPr>
            <w:tcW w:w="1559" w:type="dxa"/>
            <w:vAlign w:val="center"/>
          </w:tcPr>
          <w:p>
            <w:pPr>
              <w:pStyle w:val="13"/>
            </w:pPr>
            <w:r>
              <w:t>其他城乡社区支出</w:t>
            </w:r>
          </w:p>
        </w:tc>
        <w:tc>
          <w:tcPr>
            <w:tcW w:w="1134" w:type="dxa"/>
            <w:vAlign w:val="center"/>
          </w:tcPr>
          <w:p>
            <w:pPr>
              <w:pStyle w:val="12"/>
            </w:pPr>
            <w:r>
              <w:t>1453.79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1140.00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1140.00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1140.00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2600.00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17112.29</w:t>
            </w:r>
          </w:p>
        </w:tc>
        <w:tc>
          <w:tcPr>
            <w:tcW w:w="1361" w:type="dxa"/>
            <w:vAlign w:val="center"/>
          </w:tcPr>
          <w:p>
            <w:pPr>
              <w:pStyle w:val="16"/>
            </w:pPr>
            <w:r>
              <w:t>2175.30</w:t>
            </w:r>
          </w:p>
        </w:tc>
        <w:tc>
          <w:tcPr>
            <w:tcW w:w="1361" w:type="dxa"/>
            <w:vAlign w:val="center"/>
          </w:tcPr>
          <w:p>
            <w:pPr>
              <w:pStyle w:val="16"/>
            </w:pPr>
            <w:r>
              <w:t>14936.99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7706.74</w:t>
            </w:r>
          </w:p>
        </w:tc>
        <w:tc>
          <w:tcPr>
            <w:tcW w:w="1361" w:type="dxa"/>
            <w:vAlign w:val="center"/>
          </w:tcPr>
          <w:p>
            <w:pPr>
              <w:pStyle w:val="12"/>
            </w:pPr>
          </w:p>
        </w:tc>
        <w:tc>
          <w:tcPr>
            <w:tcW w:w="1361" w:type="dxa"/>
            <w:vAlign w:val="center"/>
          </w:tcPr>
          <w:p>
            <w:pPr>
              <w:pStyle w:val="12"/>
            </w:pPr>
            <w:r>
              <w:t>7706.74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7706.74</w:t>
            </w:r>
          </w:p>
        </w:tc>
        <w:tc>
          <w:tcPr>
            <w:tcW w:w="1361" w:type="dxa"/>
            <w:vAlign w:val="center"/>
          </w:tcPr>
          <w:p>
            <w:pPr>
              <w:pStyle w:val="12"/>
            </w:pPr>
          </w:p>
        </w:tc>
        <w:tc>
          <w:tcPr>
            <w:tcW w:w="1361" w:type="dxa"/>
            <w:vAlign w:val="center"/>
          </w:tcPr>
          <w:p>
            <w:pPr>
              <w:pStyle w:val="12"/>
            </w:pPr>
            <w:r>
              <w:t>7706.74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4706.74</w:t>
            </w:r>
          </w:p>
        </w:tc>
        <w:tc>
          <w:tcPr>
            <w:tcW w:w="1361" w:type="dxa"/>
            <w:vAlign w:val="center"/>
          </w:tcPr>
          <w:p>
            <w:pPr>
              <w:pStyle w:val="12"/>
            </w:pPr>
          </w:p>
        </w:tc>
        <w:tc>
          <w:tcPr>
            <w:tcW w:w="1361" w:type="dxa"/>
            <w:vAlign w:val="center"/>
          </w:tcPr>
          <w:p>
            <w:pPr>
              <w:pStyle w:val="12"/>
            </w:pPr>
            <w:r>
              <w:t>4706.74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2110302</w:t>
            </w:r>
          </w:p>
        </w:tc>
        <w:tc>
          <w:tcPr>
            <w:tcW w:w="4535" w:type="dxa"/>
            <w:vAlign w:val="center"/>
          </w:tcPr>
          <w:p>
            <w:pPr>
              <w:pStyle w:val="13"/>
            </w:pPr>
            <w:r>
              <w:t>水体</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5587.55</w:t>
            </w:r>
          </w:p>
        </w:tc>
        <w:tc>
          <w:tcPr>
            <w:tcW w:w="1361" w:type="dxa"/>
            <w:vAlign w:val="center"/>
          </w:tcPr>
          <w:p>
            <w:pPr>
              <w:pStyle w:val="12"/>
            </w:pPr>
            <w:r>
              <w:t>2097.30</w:t>
            </w:r>
          </w:p>
        </w:tc>
        <w:tc>
          <w:tcPr>
            <w:tcW w:w="1361" w:type="dxa"/>
            <w:vAlign w:val="center"/>
          </w:tcPr>
          <w:p>
            <w:pPr>
              <w:pStyle w:val="12"/>
            </w:pPr>
            <w:r>
              <w:t>3490.25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1797.30</w:t>
            </w:r>
          </w:p>
        </w:tc>
        <w:tc>
          <w:tcPr>
            <w:tcW w:w="1361" w:type="dxa"/>
            <w:vAlign w:val="center"/>
          </w:tcPr>
          <w:p>
            <w:pPr>
              <w:pStyle w:val="12"/>
            </w:pPr>
            <w:r>
              <w:t>1797.30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2120104</w:t>
            </w:r>
          </w:p>
        </w:tc>
        <w:tc>
          <w:tcPr>
            <w:tcW w:w="4535" w:type="dxa"/>
            <w:vAlign w:val="center"/>
          </w:tcPr>
          <w:p>
            <w:pPr>
              <w:pStyle w:val="13"/>
            </w:pPr>
            <w:r>
              <w:t>城管执法</w:t>
            </w:r>
          </w:p>
        </w:tc>
        <w:tc>
          <w:tcPr>
            <w:tcW w:w="1361" w:type="dxa"/>
            <w:vAlign w:val="center"/>
          </w:tcPr>
          <w:p>
            <w:pPr>
              <w:pStyle w:val="12"/>
            </w:pPr>
            <w:r>
              <w:t>1797.30</w:t>
            </w:r>
          </w:p>
        </w:tc>
        <w:tc>
          <w:tcPr>
            <w:tcW w:w="1361" w:type="dxa"/>
            <w:vAlign w:val="center"/>
          </w:tcPr>
          <w:p>
            <w:pPr>
              <w:pStyle w:val="12"/>
            </w:pPr>
            <w:r>
              <w:t>1797.30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2336.46</w:t>
            </w:r>
          </w:p>
        </w:tc>
        <w:tc>
          <w:tcPr>
            <w:tcW w:w="1361" w:type="dxa"/>
            <w:vAlign w:val="center"/>
          </w:tcPr>
          <w:p>
            <w:pPr>
              <w:pStyle w:val="12"/>
            </w:pPr>
            <w:r>
              <w:t>300.00</w:t>
            </w:r>
          </w:p>
        </w:tc>
        <w:tc>
          <w:tcPr>
            <w:tcW w:w="1361" w:type="dxa"/>
            <w:vAlign w:val="center"/>
          </w:tcPr>
          <w:p>
            <w:pPr>
              <w:pStyle w:val="12"/>
            </w:pPr>
            <w:r>
              <w:t>2036.46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2336.46</w:t>
            </w:r>
          </w:p>
        </w:tc>
        <w:tc>
          <w:tcPr>
            <w:tcW w:w="1361" w:type="dxa"/>
            <w:vAlign w:val="center"/>
          </w:tcPr>
          <w:p>
            <w:pPr>
              <w:pStyle w:val="12"/>
            </w:pPr>
            <w:r>
              <w:t>300.00</w:t>
            </w:r>
          </w:p>
        </w:tc>
        <w:tc>
          <w:tcPr>
            <w:tcW w:w="1361" w:type="dxa"/>
            <w:vAlign w:val="center"/>
          </w:tcPr>
          <w:p>
            <w:pPr>
              <w:pStyle w:val="12"/>
            </w:pPr>
            <w:r>
              <w:t>2036.46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21298</w:t>
            </w:r>
          </w:p>
        </w:tc>
        <w:tc>
          <w:tcPr>
            <w:tcW w:w="4535" w:type="dxa"/>
            <w:vAlign w:val="center"/>
          </w:tcPr>
          <w:p>
            <w:pPr>
              <w:pStyle w:val="13"/>
            </w:pPr>
            <w:r>
              <w:t>超长期特别国债安排的支出</w:t>
            </w:r>
          </w:p>
        </w:tc>
        <w:tc>
          <w:tcPr>
            <w:tcW w:w="1361" w:type="dxa"/>
            <w:vAlign w:val="center"/>
          </w:tcPr>
          <w:p>
            <w:pPr>
              <w:pStyle w:val="12"/>
            </w:pPr>
            <w:r>
              <w:t>1453.79</w:t>
            </w:r>
          </w:p>
        </w:tc>
        <w:tc>
          <w:tcPr>
            <w:tcW w:w="1361" w:type="dxa"/>
            <w:vAlign w:val="center"/>
          </w:tcPr>
          <w:p>
            <w:pPr>
              <w:pStyle w:val="12"/>
            </w:pPr>
          </w:p>
        </w:tc>
        <w:tc>
          <w:tcPr>
            <w:tcW w:w="1361" w:type="dxa"/>
            <w:vAlign w:val="center"/>
          </w:tcPr>
          <w:p>
            <w:pPr>
              <w:pStyle w:val="12"/>
            </w:pPr>
            <w:r>
              <w:t>1453.79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2129899</w:t>
            </w:r>
          </w:p>
        </w:tc>
        <w:tc>
          <w:tcPr>
            <w:tcW w:w="4535" w:type="dxa"/>
            <w:vAlign w:val="center"/>
          </w:tcPr>
          <w:p>
            <w:pPr>
              <w:pStyle w:val="13"/>
            </w:pPr>
            <w:r>
              <w:t>其他城乡社区支出</w:t>
            </w:r>
          </w:p>
        </w:tc>
        <w:tc>
          <w:tcPr>
            <w:tcW w:w="1361" w:type="dxa"/>
            <w:vAlign w:val="center"/>
          </w:tcPr>
          <w:p>
            <w:pPr>
              <w:pStyle w:val="12"/>
            </w:pPr>
            <w:r>
              <w:t>1453.79</w:t>
            </w:r>
          </w:p>
        </w:tc>
        <w:tc>
          <w:tcPr>
            <w:tcW w:w="1361" w:type="dxa"/>
            <w:vAlign w:val="center"/>
          </w:tcPr>
          <w:p>
            <w:pPr>
              <w:pStyle w:val="12"/>
            </w:pPr>
          </w:p>
        </w:tc>
        <w:tc>
          <w:tcPr>
            <w:tcW w:w="1361" w:type="dxa"/>
            <w:vAlign w:val="center"/>
          </w:tcPr>
          <w:p>
            <w:pPr>
              <w:pStyle w:val="12"/>
            </w:pPr>
            <w:r>
              <w:t>1453.79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2600.00</w:t>
            </w:r>
          </w:p>
        </w:tc>
        <w:tc>
          <w:tcPr>
            <w:tcW w:w="1361" w:type="dxa"/>
            <w:vAlign w:val="center"/>
          </w:tcPr>
          <w:p>
            <w:pPr>
              <w:pStyle w:val="12"/>
            </w:pPr>
          </w:p>
        </w:tc>
        <w:tc>
          <w:tcPr>
            <w:tcW w:w="1361" w:type="dxa"/>
            <w:vAlign w:val="center"/>
          </w:tcPr>
          <w:p>
            <w:pPr>
              <w:pStyle w:val="12"/>
            </w:pPr>
            <w:r>
              <w:t>2600.00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2600.00</w:t>
            </w:r>
          </w:p>
        </w:tc>
        <w:tc>
          <w:tcPr>
            <w:tcW w:w="1361" w:type="dxa"/>
            <w:vAlign w:val="center"/>
          </w:tcPr>
          <w:p>
            <w:pPr>
              <w:pStyle w:val="12"/>
            </w:pPr>
          </w:p>
        </w:tc>
        <w:tc>
          <w:tcPr>
            <w:tcW w:w="1361" w:type="dxa"/>
            <w:vAlign w:val="center"/>
          </w:tcPr>
          <w:p>
            <w:pPr>
              <w:pStyle w:val="12"/>
            </w:pPr>
            <w:r>
              <w:t>2600.00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2600.00</w:t>
            </w:r>
          </w:p>
        </w:tc>
        <w:tc>
          <w:tcPr>
            <w:tcW w:w="1361" w:type="dxa"/>
            <w:vAlign w:val="center"/>
          </w:tcPr>
          <w:p>
            <w:pPr>
              <w:pStyle w:val="12"/>
            </w:pPr>
          </w:p>
        </w:tc>
        <w:tc>
          <w:tcPr>
            <w:tcW w:w="1361" w:type="dxa"/>
            <w:vAlign w:val="center"/>
          </w:tcPr>
          <w:p>
            <w:pPr>
              <w:pStyle w:val="12"/>
            </w:pPr>
            <w:r>
              <w:t>2600.00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9184.04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55.00</w:t>
            </w:r>
          </w:p>
        </w:tc>
        <w:tc>
          <w:tcPr>
            <w:tcW w:w="1474" w:type="dxa"/>
            <w:vAlign w:val="center"/>
          </w:tcPr>
          <w:p>
            <w:pPr>
              <w:pStyle w:val="12"/>
            </w:pPr>
            <w:r>
              <w:t>55.00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23.00</w:t>
            </w:r>
          </w:p>
        </w:tc>
        <w:tc>
          <w:tcPr>
            <w:tcW w:w="1474" w:type="dxa"/>
            <w:vAlign w:val="center"/>
          </w:tcPr>
          <w:p>
            <w:pPr>
              <w:pStyle w:val="12"/>
            </w:pPr>
            <w:r>
              <w:t>23.00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7706.74</w:t>
            </w:r>
          </w:p>
        </w:tc>
        <w:tc>
          <w:tcPr>
            <w:tcW w:w="1474" w:type="dxa"/>
            <w:vAlign w:val="center"/>
          </w:tcPr>
          <w:p>
            <w:pPr>
              <w:pStyle w:val="12"/>
            </w:pPr>
            <w:r>
              <w:t>7706.74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5587.55</w:t>
            </w:r>
          </w:p>
        </w:tc>
        <w:tc>
          <w:tcPr>
            <w:tcW w:w="1474" w:type="dxa"/>
            <w:vAlign w:val="center"/>
          </w:tcPr>
          <w:p>
            <w:pPr>
              <w:pStyle w:val="12"/>
            </w:pPr>
            <w:r>
              <w:t>4133.76</w:t>
            </w:r>
          </w:p>
        </w:tc>
        <w:tc>
          <w:tcPr>
            <w:tcW w:w="1474" w:type="dxa"/>
            <w:vAlign w:val="center"/>
          </w:tcPr>
          <w:p>
            <w:pPr>
              <w:pStyle w:val="12"/>
            </w:pPr>
            <w:r>
              <w:t>1453.79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1140.00</w:t>
            </w:r>
          </w:p>
        </w:tc>
        <w:tc>
          <w:tcPr>
            <w:tcW w:w="1474" w:type="dxa"/>
            <w:vAlign w:val="center"/>
          </w:tcPr>
          <w:p>
            <w:pPr>
              <w:pStyle w:val="12"/>
            </w:pPr>
            <w:r>
              <w:t>1140.00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2600.00</w:t>
            </w:r>
          </w:p>
        </w:tc>
        <w:tc>
          <w:tcPr>
            <w:tcW w:w="1474" w:type="dxa"/>
            <w:vAlign w:val="center"/>
          </w:tcPr>
          <w:p>
            <w:pPr>
              <w:pStyle w:val="12"/>
            </w:pPr>
          </w:p>
        </w:tc>
        <w:tc>
          <w:tcPr>
            <w:tcW w:w="1474" w:type="dxa"/>
            <w:vAlign w:val="center"/>
          </w:tcPr>
          <w:p>
            <w:pPr>
              <w:pStyle w:val="12"/>
            </w:pPr>
            <w:r>
              <w:t>2600.00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9184.04</w:t>
            </w:r>
          </w:p>
        </w:tc>
        <w:tc>
          <w:tcPr>
            <w:tcW w:w="3402" w:type="dxa"/>
            <w:vAlign w:val="center"/>
          </w:tcPr>
          <w:p>
            <w:pPr>
              <w:pStyle w:val="15"/>
            </w:pPr>
            <w:r>
              <w:t>本年支出合计</w:t>
            </w:r>
          </w:p>
        </w:tc>
        <w:tc>
          <w:tcPr>
            <w:tcW w:w="1474" w:type="dxa"/>
            <w:vAlign w:val="center"/>
          </w:tcPr>
          <w:p>
            <w:pPr>
              <w:pStyle w:val="16"/>
            </w:pPr>
            <w:r>
              <w:t>17112.29</w:t>
            </w:r>
          </w:p>
        </w:tc>
        <w:tc>
          <w:tcPr>
            <w:tcW w:w="1474" w:type="dxa"/>
            <w:vAlign w:val="center"/>
          </w:tcPr>
          <w:p>
            <w:pPr>
              <w:pStyle w:val="16"/>
            </w:pPr>
            <w:r>
              <w:t>13058.50</w:t>
            </w:r>
          </w:p>
        </w:tc>
        <w:tc>
          <w:tcPr>
            <w:tcW w:w="1474" w:type="dxa"/>
            <w:vAlign w:val="center"/>
          </w:tcPr>
          <w:p>
            <w:pPr>
              <w:pStyle w:val="16"/>
            </w:pPr>
            <w:r>
              <w:t>4053.79</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7928.25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3874.46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4053.79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17112.29</w:t>
            </w:r>
          </w:p>
        </w:tc>
        <w:tc>
          <w:tcPr>
            <w:tcW w:w="3402" w:type="dxa"/>
            <w:vAlign w:val="center"/>
          </w:tcPr>
          <w:p>
            <w:pPr>
              <w:pStyle w:val="15"/>
            </w:pPr>
            <w:r>
              <w:t>支出总计</w:t>
            </w:r>
          </w:p>
        </w:tc>
        <w:tc>
          <w:tcPr>
            <w:tcW w:w="1474" w:type="dxa"/>
            <w:vAlign w:val="center"/>
          </w:tcPr>
          <w:p>
            <w:pPr>
              <w:pStyle w:val="16"/>
            </w:pPr>
            <w:r>
              <w:t>17112.29</w:t>
            </w:r>
          </w:p>
        </w:tc>
        <w:tc>
          <w:tcPr>
            <w:tcW w:w="1474" w:type="dxa"/>
            <w:vAlign w:val="center"/>
          </w:tcPr>
          <w:p>
            <w:pPr>
              <w:pStyle w:val="16"/>
            </w:pPr>
            <w:r>
              <w:t>13058.50</w:t>
            </w:r>
          </w:p>
        </w:tc>
        <w:tc>
          <w:tcPr>
            <w:tcW w:w="1474" w:type="dxa"/>
            <w:vAlign w:val="center"/>
          </w:tcPr>
          <w:p>
            <w:pPr>
              <w:pStyle w:val="16"/>
            </w:pPr>
            <w:r>
              <w:t>4053.79</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13058.50</w:t>
            </w:r>
          </w:p>
        </w:tc>
        <w:tc>
          <w:tcPr>
            <w:tcW w:w="2551" w:type="dxa"/>
            <w:vAlign w:val="center"/>
          </w:tcPr>
          <w:p>
            <w:pPr>
              <w:pStyle w:val="16"/>
            </w:pPr>
            <w:r>
              <w:t>2175.30</w:t>
            </w:r>
          </w:p>
        </w:tc>
        <w:tc>
          <w:tcPr>
            <w:tcW w:w="2551" w:type="dxa"/>
            <w:vAlign w:val="center"/>
          </w:tcPr>
          <w:p>
            <w:pPr>
              <w:pStyle w:val="16"/>
            </w:pPr>
            <w:r>
              <w:t>10883.20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7706.74</w:t>
            </w:r>
          </w:p>
        </w:tc>
        <w:tc>
          <w:tcPr>
            <w:tcW w:w="2551" w:type="dxa"/>
            <w:vAlign w:val="center"/>
          </w:tcPr>
          <w:p>
            <w:pPr>
              <w:pStyle w:val="12"/>
            </w:pPr>
          </w:p>
        </w:tc>
        <w:tc>
          <w:tcPr>
            <w:tcW w:w="2551" w:type="dxa"/>
            <w:vAlign w:val="center"/>
          </w:tcPr>
          <w:p>
            <w:pPr>
              <w:pStyle w:val="12"/>
            </w:pPr>
            <w:r>
              <w:t>7706.74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7706.74</w:t>
            </w:r>
          </w:p>
        </w:tc>
        <w:tc>
          <w:tcPr>
            <w:tcW w:w="2551" w:type="dxa"/>
            <w:vAlign w:val="center"/>
          </w:tcPr>
          <w:p>
            <w:pPr>
              <w:pStyle w:val="12"/>
            </w:pPr>
          </w:p>
        </w:tc>
        <w:tc>
          <w:tcPr>
            <w:tcW w:w="2551" w:type="dxa"/>
            <w:vAlign w:val="center"/>
          </w:tcPr>
          <w:p>
            <w:pPr>
              <w:pStyle w:val="12"/>
            </w:pPr>
            <w:r>
              <w:t>7706.74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4706.74</w:t>
            </w:r>
          </w:p>
        </w:tc>
        <w:tc>
          <w:tcPr>
            <w:tcW w:w="2551" w:type="dxa"/>
            <w:vAlign w:val="center"/>
          </w:tcPr>
          <w:p>
            <w:pPr>
              <w:pStyle w:val="12"/>
            </w:pPr>
          </w:p>
        </w:tc>
        <w:tc>
          <w:tcPr>
            <w:tcW w:w="2551" w:type="dxa"/>
            <w:vAlign w:val="center"/>
          </w:tcPr>
          <w:p>
            <w:pPr>
              <w:pStyle w:val="12"/>
            </w:pPr>
            <w:r>
              <w:t>4706.74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2110302</w:t>
            </w:r>
          </w:p>
        </w:tc>
        <w:tc>
          <w:tcPr>
            <w:tcW w:w="4535" w:type="dxa"/>
            <w:vAlign w:val="center"/>
          </w:tcPr>
          <w:p>
            <w:pPr>
              <w:pStyle w:val="13"/>
            </w:pPr>
            <w:r>
              <w:t>水体</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4133.76</w:t>
            </w:r>
          </w:p>
        </w:tc>
        <w:tc>
          <w:tcPr>
            <w:tcW w:w="2551" w:type="dxa"/>
            <w:vAlign w:val="center"/>
          </w:tcPr>
          <w:p>
            <w:pPr>
              <w:pStyle w:val="12"/>
            </w:pPr>
            <w:r>
              <w:t>2097.30</w:t>
            </w:r>
          </w:p>
        </w:tc>
        <w:tc>
          <w:tcPr>
            <w:tcW w:w="2551" w:type="dxa"/>
            <w:vAlign w:val="center"/>
          </w:tcPr>
          <w:p>
            <w:pPr>
              <w:pStyle w:val="12"/>
            </w:pPr>
            <w:r>
              <w:t>2036.46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1797.30</w:t>
            </w:r>
          </w:p>
        </w:tc>
        <w:tc>
          <w:tcPr>
            <w:tcW w:w="2551" w:type="dxa"/>
            <w:vAlign w:val="center"/>
          </w:tcPr>
          <w:p>
            <w:pPr>
              <w:pStyle w:val="12"/>
            </w:pPr>
            <w:r>
              <w:t>1797.30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2120104</w:t>
            </w:r>
          </w:p>
        </w:tc>
        <w:tc>
          <w:tcPr>
            <w:tcW w:w="4535" w:type="dxa"/>
            <w:vAlign w:val="center"/>
          </w:tcPr>
          <w:p>
            <w:pPr>
              <w:pStyle w:val="13"/>
            </w:pPr>
            <w:r>
              <w:t>城管执法</w:t>
            </w:r>
          </w:p>
        </w:tc>
        <w:tc>
          <w:tcPr>
            <w:tcW w:w="2551" w:type="dxa"/>
            <w:vAlign w:val="center"/>
          </w:tcPr>
          <w:p>
            <w:pPr>
              <w:pStyle w:val="12"/>
            </w:pPr>
            <w:r>
              <w:t>1797.30</w:t>
            </w:r>
          </w:p>
        </w:tc>
        <w:tc>
          <w:tcPr>
            <w:tcW w:w="2551" w:type="dxa"/>
            <w:vAlign w:val="center"/>
          </w:tcPr>
          <w:p>
            <w:pPr>
              <w:pStyle w:val="12"/>
            </w:pPr>
            <w:r>
              <w:t>1797.30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2336.46</w:t>
            </w:r>
          </w:p>
        </w:tc>
        <w:tc>
          <w:tcPr>
            <w:tcW w:w="2551" w:type="dxa"/>
            <w:vAlign w:val="center"/>
          </w:tcPr>
          <w:p>
            <w:pPr>
              <w:pStyle w:val="12"/>
            </w:pPr>
            <w:r>
              <w:t>300.00</w:t>
            </w:r>
          </w:p>
        </w:tc>
        <w:tc>
          <w:tcPr>
            <w:tcW w:w="2551" w:type="dxa"/>
            <w:vAlign w:val="center"/>
          </w:tcPr>
          <w:p>
            <w:pPr>
              <w:pStyle w:val="12"/>
            </w:pPr>
            <w:r>
              <w:t>2036.46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2336.46</w:t>
            </w:r>
          </w:p>
        </w:tc>
        <w:tc>
          <w:tcPr>
            <w:tcW w:w="2551" w:type="dxa"/>
            <w:vAlign w:val="center"/>
          </w:tcPr>
          <w:p>
            <w:pPr>
              <w:pStyle w:val="12"/>
            </w:pPr>
            <w:r>
              <w:t>300.00</w:t>
            </w:r>
          </w:p>
        </w:tc>
        <w:tc>
          <w:tcPr>
            <w:tcW w:w="2551" w:type="dxa"/>
            <w:vAlign w:val="center"/>
          </w:tcPr>
          <w:p>
            <w:pPr>
              <w:pStyle w:val="12"/>
            </w:pPr>
            <w:r>
              <w:t>2036.46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1140.00</w:t>
            </w:r>
          </w:p>
        </w:tc>
        <w:tc>
          <w:tcPr>
            <w:tcW w:w="2551" w:type="dxa"/>
            <w:vAlign w:val="center"/>
          </w:tcPr>
          <w:p>
            <w:pPr>
              <w:pStyle w:val="12"/>
            </w:pPr>
          </w:p>
        </w:tc>
        <w:tc>
          <w:tcPr>
            <w:tcW w:w="2551"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1140.00</w:t>
            </w:r>
          </w:p>
        </w:tc>
        <w:tc>
          <w:tcPr>
            <w:tcW w:w="2551" w:type="dxa"/>
            <w:vAlign w:val="center"/>
          </w:tcPr>
          <w:p>
            <w:pPr>
              <w:pStyle w:val="12"/>
            </w:pPr>
          </w:p>
        </w:tc>
        <w:tc>
          <w:tcPr>
            <w:tcW w:w="2551"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1140.00</w:t>
            </w:r>
          </w:p>
        </w:tc>
        <w:tc>
          <w:tcPr>
            <w:tcW w:w="2551" w:type="dxa"/>
            <w:vAlign w:val="center"/>
          </w:tcPr>
          <w:p>
            <w:pPr>
              <w:pStyle w:val="12"/>
            </w:pPr>
          </w:p>
        </w:tc>
        <w:tc>
          <w:tcPr>
            <w:tcW w:w="2551" w:type="dxa"/>
            <w:vAlign w:val="center"/>
          </w:tcPr>
          <w:p>
            <w:pPr>
              <w:pStyle w:val="12"/>
            </w:pPr>
            <w:r>
              <w:t>1140.00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2175.30</w:t>
            </w:r>
          </w:p>
        </w:tc>
        <w:tc>
          <w:tcPr>
            <w:tcW w:w="2551" w:type="dxa"/>
            <w:vAlign w:val="center"/>
          </w:tcPr>
          <w:p>
            <w:pPr>
              <w:pStyle w:val="16"/>
            </w:pPr>
            <w:r>
              <w:t>2158.30</w:t>
            </w:r>
          </w:p>
        </w:tc>
        <w:tc>
          <w:tcPr>
            <w:tcW w:w="2551" w:type="dxa"/>
            <w:vAlign w:val="center"/>
          </w:tcPr>
          <w:p>
            <w:pPr>
              <w:pStyle w:val="16"/>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2142.40</w:t>
            </w:r>
          </w:p>
        </w:tc>
        <w:tc>
          <w:tcPr>
            <w:tcW w:w="2551" w:type="dxa"/>
            <w:vAlign w:val="center"/>
          </w:tcPr>
          <w:p>
            <w:pPr>
              <w:pStyle w:val="12"/>
            </w:pPr>
            <w:r>
              <w:t>2142.40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1879.00</w:t>
            </w:r>
          </w:p>
        </w:tc>
        <w:tc>
          <w:tcPr>
            <w:tcW w:w="2551" w:type="dxa"/>
            <w:vAlign w:val="center"/>
          </w:tcPr>
          <w:p>
            <w:pPr>
              <w:pStyle w:val="12"/>
            </w:pPr>
            <w:r>
              <w:t>1879.00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30.70</w:t>
            </w:r>
          </w:p>
        </w:tc>
        <w:tc>
          <w:tcPr>
            <w:tcW w:w="2551" w:type="dxa"/>
            <w:vAlign w:val="center"/>
          </w:tcPr>
          <w:p>
            <w:pPr>
              <w:pStyle w:val="12"/>
            </w:pPr>
            <w:r>
              <w:t>30.70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100.70</w:t>
            </w:r>
          </w:p>
        </w:tc>
        <w:tc>
          <w:tcPr>
            <w:tcW w:w="2551" w:type="dxa"/>
            <w:vAlign w:val="center"/>
          </w:tcPr>
          <w:p>
            <w:pPr>
              <w:pStyle w:val="12"/>
            </w:pPr>
            <w:r>
              <w:t>100.70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4053.79</w:t>
            </w:r>
          </w:p>
        </w:tc>
        <w:tc>
          <w:tcPr>
            <w:tcW w:w="2551" w:type="dxa"/>
            <w:vAlign w:val="center"/>
          </w:tcPr>
          <w:p>
            <w:pPr>
              <w:pStyle w:val="16"/>
            </w:pPr>
          </w:p>
        </w:tc>
        <w:tc>
          <w:tcPr>
            <w:tcW w:w="2551" w:type="dxa"/>
            <w:vAlign w:val="center"/>
          </w:tcPr>
          <w:p>
            <w:pPr>
              <w:pStyle w:val="16"/>
            </w:pPr>
            <w:r>
              <w:t>4053.79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1453.79</w:t>
            </w:r>
          </w:p>
        </w:tc>
        <w:tc>
          <w:tcPr>
            <w:tcW w:w="2551" w:type="dxa"/>
            <w:vAlign w:val="center"/>
          </w:tcPr>
          <w:p>
            <w:pPr>
              <w:pStyle w:val="12"/>
            </w:pPr>
          </w:p>
        </w:tc>
        <w:tc>
          <w:tcPr>
            <w:tcW w:w="2551" w:type="dxa"/>
            <w:vAlign w:val="center"/>
          </w:tcPr>
          <w:p>
            <w:pPr>
              <w:pStyle w:val="12"/>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21298</w:t>
            </w:r>
          </w:p>
        </w:tc>
        <w:tc>
          <w:tcPr>
            <w:tcW w:w="4535" w:type="dxa"/>
            <w:vAlign w:val="center"/>
          </w:tcPr>
          <w:p>
            <w:pPr>
              <w:pStyle w:val="13"/>
            </w:pPr>
            <w:r>
              <w:t>超长期特别国债安排的支出</w:t>
            </w:r>
          </w:p>
        </w:tc>
        <w:tc>
          <w:tcPr>
            <w:tcW w:w="2551" w:type="dxa"/>
            <w:vAlign w:val="center"/>
          </w:tcPr>
          <w:p>
            <w:pPr>
              <w:pStyle w:val="12"/>
            </w:pPr>
            <w:r>
              <w:t>1453.79</w:t>
            </w:r>
          </w:p>
        </w:tc>
        <w:tc>
          <w:tcPr>
            <w:tcW w:w="2551" w:type="dxa"/>
            <w:vAlign w:val="center"/>
          </w:tcPr>
          <w:p>
            <w:pPr>
              <w:pStyle w:val="12"/>
            </w:pPr>
          </w:p>
        </w:tc>
        <w:tc>
          <w:tcPr>
            <w:tcW w:w="2551" w:type="dxa"/>
            <w:vAlign w:val="center"/>
          </w:tcPr>
          <w:p>
            <w:pPr>
              <w:pStyle w:val="12"/>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2129899</w:t>
            </w:r>
          </w:p>
        </w:tc>
        <w:tc>
          <w:tcPr>
            <w:tcW w:w="4535" w:type="dxa"/>
            <w:vAlign w:val="center"/>
          </w:tcPr>
          <w:p>
            <w:pPr>
              <w:pStyle w:val="13"/>
            </w:pPr>
            <w:r>
              <w:t>其他城乡社区支出</w:t>
            </w:r>
          </w:p>
        </w:tc>
        <w:tc>
          <w:tcPr>
            <w:tcW w:w="2551" w:type="dxa"/>
            <w:vAlign w:val="center"/>
          </w:tcPr>
          <w:p>
            <w:pPr>
              <w:pStyle w:val="12"/>
            </w:pPr>
            <w:r>
              <w:t>1453.79</w:t>
            </w:r>
          </w:p>
        </w:tc>
        <w:tc>
          <w:tcPr>
            <w:tcW w:w="2551" w:type="dxa"/>
            <w:vAlign w:val="center"/>
          </w:tcPr>
          <w:p>
            <w:pPr>
              <w:pStyle w:val="12"/>
            </w:pPr>
          </w:p>
        </w:tc>
        <w:tc>
          <w:tcPr>
            <w:tcW w:w="2551" w:type="dxa"/>
            <w:vAlign w:val="center"/>
          </w:tcPr>
          <w:p>
            <w:pPr>
              <w:pStyle w:val="12"/>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2600.00</w:t>
            </w:r>
          </w:p>
        </w:tc>
        <w:tc>
          <w:tcPr>
            <w:tcW w:w="2551" w:type="dxa"/>
            <w:vAlign w:val="center"/>
          </w:tcPr>
          <w:p>
            <w:pPr>
              <w:pStyle w:val="12"/>
            </w:pPr>
          </w:p>
        </w:tc>
        <w:tc>
          <w:tcPr>
            <w:tcW w:w="2551" w:type="dxa"/>
            <w:vAlign w:val="center"/>
          </w:tcPr>
          <w:p>
            <w:pPr>
              <w:pStyle w:val="12"/>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2600.00</w:t>
            </w:r>
          </w:p>
        </w:tc>
        <w:tc>
          <w:tcPr>
            <w:tcW w:w="2551" w:type="dxa"/>
            <w:vAlign w:val="center"/>
          </w:tcPr>
          <w:p>
            <w:pPr>
              <w:pStyle w:val="12"/>
            </w:pPr>
          </w:p>
        </w:tc>
        <w:tc>
          <w:tcPr>
            <w:tcW w:w="2551" w:type="dxa"/>
            <w:vAlign w:val="center"/>
          </w:tcPr>
          <w:p>
            <w:pPr>
              <w:pStyle w:val="12"/>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2600.00</w:t>
            </w:r>
          </w:p>
        </w:tc>
        <w:tc>
          <w:tcPr>
            <w:tcW w:w="2551" w:type="dxa"/>
            <w:vAlign w:val="center"/>
          </w:tcPr>
          <w:p>
            <w:pPr>
              <w:pStyle w:val="12"/>
            </w:pPr>
          </w:p>
        </w:tc>
        <w:tc>
          <w:tcPr>
            <w:tcW w:w="2551" w:type="dxa"/>
            <w:vAlign w:val="center"/>
          </w:tcPr>
          <w:p>
            <w:pPr>
              <w:pStyle w:val="12"/>
            </w:pPr>
            <w:r>
              <w:t>2600.00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无极县城市管理综合行政执法局2026年部门预算信息公开情况说明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无极县城市管理综合行政执法局2026年部门预算信息公开情况说明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按照《中华人民共和国预算法》、《地方预决算公开操作规程》和《关于进一步推进预算公开工作的实施意见》规定，现将无极县城市管理综合行政执法局2026年部门预算公开如下：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18"/>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18"/>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18"/>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18"/>
      </w:pPr>
      <w:r>
        <w:t>（五）负责指导、协调、考核城市市政设施管理、市容环境卫生管理、园林绿化管理和城市管理综合执法工作；负责组织城市管理专项活动和重大执法活动。</w:t>
      </w:r>
    </w:p>
    <w:p>
      <w:pPr>
        <w:pStyle w:val="18"/>
      </w:pPr>
      <w:r>
        <w:t>（六）负责城区防汛工作。研究部署城区防汛工作，开展城区防汛宣传，提高全社会的防洪减灾意识，会同有关部门做好城区自然灾害应急处置工作。承担城区防汛指挥部日常工作。</w:t>
      </w:r>
    </w:p>
    <w:p>
      <w:pPr>
        <w:pStyle w:val="18"/>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8"/>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8"/>
      </w:pPr>
      <w:r>
        <w:t>（九）负责城市便道非机动车停放工作。</w:t>
      </w:r>
    </w:p>
    <w:p>
      <w:pPr>
        <w:pStyle w:val="18"/>
      </w:pPr>
      <w:r>
        <w:t>（十）负责城区洗车行业的监督管理工作。</w:t>
      </w:r>
    </w:p>
    <w:p>
      <w:pPr>
        <w:pStyle w:val="18"/>
      </w:pPr>
      <w:r>
        <w:t>（十一）负责机关和所属单位安全生产综合监督管理工作。</w:t>
      </w:r>
    </w:p>
    <w:p>
      <w:pPr>
        <w:pStyle w:val="18"/>
      </w:pPr>
      <w:r>
        <w:t>（十二）负责指导城乡容貌整治、环境卫生、园林绿化、市政基础设施日常管护、综合执法、垃圾处理等工作。</w:t>
      </w:r>
    </w:p>
    <w:p>
      <w:pPr>
        <w:pStyle w:val="18"/>
      </w:pPr>
      <w:r>
        <w:t>（十三）会同有关部门，做好城市建设行业涉及本部门的相关专业规划的编制和实施工作。</w:t>
      </w:r>
    </w:p>
    <w:p>
      <w:pPr>
        <w:pStyle w:val="18"/>
      </w:pPr>
      <w:r>
        <w:t>（十四）实施与以下范围内法律法规规章规定的行政处罚权有关的行政强制措施：</w:t>
      </w:r>
    </w:p>
    <w:p>
      <w:pPr>
        <w:pStyle w:val="18"/>
      </w:pPr>
      <w:r>
        <w:t>1、市容环境卫生、市政公用设施、园林绿化等方面法律法规规章规定的全部行政处罚权；</w:t>
      </w:r>
    </w:p>
    <w:p>
      <w:pPr>
        <w:pStyle w:val="18"/>
      </w:pPr>
      <w:r>
        <w:t>2、住房和城乡建设、城乡规划方面法律法规规章规定的全部行政处罚权；</w:t>
      </w:r>
    </w:p>
    <w:p>
      <w:pPr>
        <w:pStyle w:val="18"/>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18"/>
      </w:pPr>
      <w:r>
        <w:t>4、城市建成区专业市场外城市道路、绿地、公园、广场、街头空地等公共场所无照商贩经营、违规设置户外广告等行为的行政处罚权；</w:t>
      </w:r>
    </w:p>
    <w:p>
      <w:pPr>
        <w:pStyle w:val="18"/>
      </w:pPr>
      <w:r>
        <w:t>5、城市建成区内非机动车辆乱停乱放影响交通行为的行政处罚权；</w:t>
      </w:r>
    </w:p>
    <w:p>
      <w:pPr>
        <w:pStyle w:val="18"/>
      </w:pPr>
      <w:r>
        <w:t>6、城市建成区内户外公共场所食品销售和餐饮摊点无证经营，以及违法回收贩卖药品的行政处罚权。</w:t>
      </w:r>
    </w:p>
    <w:p>
      <w:pPr>
        <w:pStyle w:val="18"/>
      </w:pPr>
      <w:r>
        <w:t>（十五）负责城市管理综合行政执法监督工作，，指导城市管理综合执法队伍规范执法、文明执法。研究拟订城市管理、和综合执法资金计划；负责城管综合行政执法队伍正规化建设。</w:t>
      </w:r>
    </w:p>
    <w:p>
      <w:pPr>
        <w:pStyle w:val="18"/>
      </w:pPr>
      <w:r>
        <w:t>（十六）完成县委、县政府交办的其他任务。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无极县城市管理综合行政执法局本级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按照预算管理有关规定，目前部门预算的编制实行综合预算管理，即全部收入和支出都反映在预算中。无极县城市管理综合行政执法局机关及所属事业单位的收支包含在部门预算中。</w:t>
      </w:r>
    </w:p>
    <w:p>
      <w:pPr>
        <w:pStyle w:val="19"/>
      </w:pPr>
      <w:r>
        <w:t>1、收入说明</w:t>
      </w:r>
    </w:p>
    <w:p>
      <w:pPr>
        <w:pStyle w:val="19"/>
      </w:pPr>
      <w:r>
        <w:t>反映本部门当年全部收入。2026年预算收入17112.29万元，其中：一般公共预算收入9184.04万元，基金预算收入0.00万元，国有资本经营预算收入0.00万元，财政专户核拨收入0.00万元，单位资金收入0.00万元，上年结转结余7928.25万元。</w:t>
      </w:r>
    </w:p>
    <w:p>
      <w:pPr>
        <w:pStyle w:val="19"/>
      </w:pPr>
      <w:r>
        <w:t>2、支出说明</w:t>
      </w:r>
    </w:p>
    <w:p>
      <w:pPr>
        <w:pStyle w:val="19"/>
      </w:pPr>
      <w:r>
        <w:t>收支预算总表支出栏、基本支出表、项目支出表按经济分类和支出功能分类科目编制，反映无极县城市管理综合行政执法局年度部门预算中支出预算的总体情况。2026年支出预算17112.29万元，其中基本支出2175.30万元，包括人员经费2158.30万元和日常公用经费17.00万元；项目支出14936.99万元，主要为燃气企业驻村安全员、村燃气安全协管员工资288.8万元；城区保洁人员工资1320万元；污水处理费3000万元；城区保洁费100万元；2026年中央大气污染防治资金（用于农村地区气代煤电代煤改造任务运行补助）预算507万元；2026年中央大气污染防治资金预算1515万元；2025-2026年采暖季煤改气煤改电运行补贴预算277.94万元；2025年中央大气污染防治资金2118万元；无极县无害化垃圾处理场封场工程162.669万元；无极县城区防洪排涝设施建设改造项目国债项目县级配套1140万元；无极县公厕和垃圾中转站改造项目453.795247万元；无极县污水处理厂提标改造及配套设施建设项目4053.787438万元。；预计下年使用的单位资金结余0.00万元。委托业务费共计安排3100.00万元，主要用于因技术原因确需对外委托的辅助性工作和确有必要对外委托开展咨询、评审、规划等工作。</w:t>
      </w:r>
    </w:p>
    <w:p>
      <w:pPr>
        <w:pStyle w:val="19"/>
      </w:pPr>
      <w:r>
        <w:t>3、比上年增减情况</w:t>
      </w:r>
    </w:p>
    <w:p>
      <w:pPr>
        <w:pStyle w:val="19"/>
      </w:pPr>
      <w:r>
        <w:t>2026年预算收支安排17112.29万元，较2025年预算增加3519.85万元，其中：基本支出增加537.50万元，主要为人员经费增加项目支出增加2982.35万元，主要为无极县污水处理厂提标改造及配套设施建设项目资金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2026年，我</w:t>
      </w:r>
      <w:r>
        <w:rPr>
          <w:rFonts w:hint="eastAsia"/>
          <w:lang w:val="en-US" w:eastAsia="zh-CN"/>
        </w:rPr>
        <w:t>部门</w:t>
      </w:r>
      <w:r>
        <w:rPr>
          <w:rFonts w:hint="eastAsia"/>
        </w:rPr>
        <w:t>机关运行经费共计安排17.00万元，主要用于日常维修、办公用房水电费、办公用房取暖费、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因公出国（境）费、公务用车运行维护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w:t>
      </w:r>
      <w:r>
        <w:rPr>
          <w:rFonts w:hint="eastAsia"/>
          <w:lang w:val="en-US" w:eastAsia="zh-CN"/>
        </w:rPr>
        <w:t>部门</w:t>
      </w:r>
      <w:r>
        <w:t>202</w:t>
      </w:r>
      <w:r>
        <w:rPr>
          <w:rFonts w:hint="eastAsia"/>
          <w:lang w:val="en-US" w:eastAsia="zh-CN"/>
        </w:rPr>
        <w:t>6</w:t>
      </w:r>
      <w:r>
        <w:t>年的工作总体绩效目标为：</w:t>
      </w:r>
    </w:p>
    <w:p>
      <w:pPr>
        <w:pStyle w:val="22"/>
      </w:pPr>
      <w:r>
        <w:t>一、贯彻落实党中央、国务院和省委、省政府，石家庄市委、市政府，无极县委、县政府关于城市管理相关工作的方针政策、法律法规和有关地方性法规、政府规章、行业标准，拟订城市管理中长期发展规划和年度计划并组织实施。</w:t>
      </w:r>
    </w:p>
    <w:p>
      <w:pPr>
        <w:pStyle w:val="22"/>
      </w:pPr>
      <w:r>
        <w:t>二、负责对城市管理方面重点、难点和前瞻性问题进行调查研究，拟订城市市容市貌管理标准及考核评价办法并组织实施，负责城市市政基础设施中照明、排水、城区道路便道、公厕、停车场、园林绿地等的建设及日常维护管理工作，负责指导城区及农村环境卫生清扫保洁和生活垃圾处理工作。</w:t>
      </w:r>
    </w:p>
    <w:p>
      <w:pPr>
        <w:pStyle w:val="22"/>
      </w:pPr>
      <w:r>
        <w:t>三、承办人大代表建议和政协委员提案办理工作，完成县委县政府交办的其他事项。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对城区和农村各街道卫生全天保洁，生活垃圾日产日清、集中处理，洗扫车、洒水车不间断作业；推进数字化城管执法，对城区各主要街道重点管理，严禁摆摊设点、店外摆放、玻璃贴字，加强对沿街建筑物、构筑物立体及门店外装饰装修、门市牌匾的监督管理，对城区洗车场、城市便道非机动车停放严格管理。</w:t>
      </w:r>
    </w:p>
    <w:p>
      <w:pPr>
        <w:pStyle w:val="23"/>
      </w:pPr>
      <w:r>
        <w:t>绩效目标：确保城区干净整洁、井然有序</w:t>
      </w:r>
    </w:p>
    <w:p>
      <w:pPr>
        <w:pStyle w:val="23"/>
      </w:pPr>
      <w:r>
        <w:t>绩效指标：城区街道机械化清扫率达到90%，街道卫生达到“双五”标准</w:t>
      </w:r>
    </w:p>
    <w:p>
      <w:pPr>
        <w:pStyle w:val="23"/>
      </w:pPr>
      <w:r>
        <w:t>二、负责对城市主要街道绿化带、街角绿地、广场游园及各个公园的日常管理维护，负责园林绿化工程质量监督、安全生产及验收工作，负责组织创建国家级园林城市工作。</w:t>
      </w:r>
    </w:p>
    <w:p>
      <w:pPr>
        <w:pStyle w:val="23"/>
      </w:pPr>
      <w:r>
        <w:t>绩效目标：城区绿化美化、四季常绿、三季有花</w:t>
      </w:r>
    </w:p>
    <w:p>
      <w:pPr>
        <w:pStyle w:val="23"/>
      </w:pPr>
      <w:r>
        <w:t>绩效指标：绿化率达到36%，成功创建国家级园林城市</w:t>
      </w:r>
    </w:p>
    <w:p>
      <w:pPr>
        <w:pStyle w:val="23"/>
      </w:pPr>
      <w:r>
        <w:t>三、负责对城市基础设施路灯、城区道路便道及排水、公厕、停车场等建设及日常管理维护；负责生活垃圾处理厂、建筑垃圾填埋场及扬水站的建设及运营维护工作</w:t>
      </w:r>
    </w:p>
    <w:p>
      <w:pPr>
        <w:pStyle w:val="23"/>
      </w:pPr>
      <w:r>
        <w:t>绩效目标：确保城区整洁有序，打造宜居的人居环境，提升居民生活幸福指数</w:t>
      </w:r>
    </w:p>
    <w:p>
      <w:pPr>
        <w:pStyle w:val="23"/>
      </w:pPr>
      <w:r>
        <w:t>绩效指标：路灯亮灯率98%，公共设施完好率98%，确保生活垃圾处理厂、建筑垃圾填埋场和扬水站正常运转</w:t>
      </w:r>
    </w:p>
    <w:p>
      <w:pPr>
        <w:pStyle w:val="23"/>
      </w:pPr>
      <w:r>
        <w:t>（三）工作保障措施</w:t>
      </w:r>
    </w:p>
    <w:p>
      <w:pPr>
        <w:pStyle w:val="23"/>
      </w:pPr>
      <w:r>
        <w:t>1 、制定各项制度。</w:t>
      </w:r>
    </w:p>
    <w:p>
      <w:pPr>
        <w:pStyle w:val="23"/>
      </w:pPr>
      <w:r>
        <w:t>制定完善预算绩效管理制度、资金管理办法、工作保障制度等，为全年预算绩效目标的实现奠定制度基础。</w:t>
      </w:r>
    </w:p>
    <w:p>
      <w:pPr>
        <w:pStyle w:val="23"/>
      </w:pPr>
      <w:r>
        <w:t>2 、严格财务支出</w:t>
      </w:r>
    </w:p>
    <w:p>
      <w:pPr>
        <w:pStyle w:val="23"/>
      </w:pPr>
      <w:r>
        <w:t>完善财务管理制度，优化支出结构、严格审批程序、及时支付资金，确保支出进度达标。</w:t>
      </w:r>
    </w:p>
    <w:p>
      <w:pPr>
        <w:pStyle w:val="23"/>
      </w:pPr>
      <w:r>
        <w:t>3 、加强绩效运行监控</w:t>
      </w:r>
    </w:p>
    <w:p>
      <w:pPr>
        <w:pStyle w:val="23"/>
      </w:pPr>
      <w:r>
        <w:t>按要求开展绩效运行监控，发现问题及时采取措施，确保绩效目标按时间节点如期实现。</w:t>
      </w:r>
    </w:p>
    <w:p>
      <w:pPr>
        <w:pStyle w:val="23"/>
      </w:pPr>
      <w:r>
        <w:t>4 、做好绩效自评</w:t>
      </w:r>
    </w:p>
    <w:p>
      <w:pPr>
        <w:pStyle w:val="23"/>
      </w:pPr>
      <w:r>
        <w:t>按要求开展上年度部门预算绩效自评和重点评价工作，对评价中发现的问题及时整改，调整优化支出结构，提高财政资金使用效率。</w:t>
      </w:r>
    </w:p>
    <w:p>
      <w:pPr>
        <w:pStyle w:val="23"/>
      </w:pPr>
      <w:r>
        <w:t>5 、加强内部监督</w:t>
      </w:r>
    </w:p>
    <w:p>
      <w:pPr>
        <w:pStyle w:val="23"/>
      </w:pPr>
      <w:r>
        <w:t>加强内部监督制度建设，对绩效运行情况、重大支出决策、资产处置及其他重要经济业务事项的决策和执行进行督导，对会计资料进行内部审计，确保财政资金安全有效。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 、制定各项制度。</w:t>
      </w:r>
    </w:p>
    <w:p>
      <w:pPr>
        <w:pStyle w:val="24"/>
      </w:pPr>
      <w:r>
        <w:t>制定完善预算绩效管理制度、资金管理办法、工作保障制度等，为全年预算绩效目标的实现奠定制度基础。</w:t>
      </w:r>
    </w:p>
    <w:p>
      <w:pPr>
        <w:pStyle w:val="24"/>
      </w:pPr>
      <w:r>
        <w:t>2 、严格财务支出</w:t>
      </w:r>
    </w:p>
    <w:p>
      <w:pPr>
        <w:pStyle w:val="24"/>
      </w:pPr>
      <w:r>
        <w:t>完善财务管理制度，优化支出结构、严格审批程序、及时支付资金，确保支出进度达标。</w:t>
      </w:r>
    </w:p>
    <w:p>
      <w:pPr>
        <w:pStyle w:val="24"/>
      </w:pPr>
      <w:r>
        <w:t>3、 加强绩效运行监控</w:t>
      </w:r>
    </w:p>
    <w:p>
      <w:pPr>
        <w:pStyle w:val="24"/>
      </w:pPr>
      <w:r>
        <w:t>按要求开展绩效运行监控，发现问题及时采取措施，确保绩效目标按时间节点如期实现。</w:t>
      </w:r>
    </w:p>
    <w:p>
      <w:pPr>
        <w:pStyle w:val="24"/>
      </w:pPr>
      <w:r>
        <w:t>4 、做好绩效自评</w:t>
      </w:r>
    </w:p>
    <w:p>
      <w:pPr>
        <w:pStyle w:val="24"/>
      </w:pPr>
      <w:r>
        <w:t>按要求开展上年度部门预算绩效自评和重点评价工作，对评价中发现的问题及时整改，调整优化支出结构，提高财政资金使用效率。</w:t>
      </w:r>
    </w:p>
    <w:p>
      <w:pPr>
        <w:pStyle w:val="24"/>
      </w:pPr>
      <w:r>
        <w:t>5 、加强内部监督</w:t>
      </w:r>
    </w:p>
    <w:p>
      <w:pPr>
        <w:pStyle w:val="24"/>
        <w:sectPr>
          <w:pgSz w:w="16840" w:h="11900" w:orient="landscape"/>
          <w:pgMar w:top="1361" w:right="1020" w:bottom="1361" w:left="1020" w:header="720" w:footer="720" w:gutter="0"/>
        </w:sectPr>
      </w:pPr>
      <w:r>
        <w:t>加强内部监督制度建设，对绩效运行情况、重大支出决策、资产处置及其他重要经济业务事项的决策和执行进行督导，对会计资料进行内部审计，确保财政资金安全有效。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1、城区保洁费绩效目标表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13013026P00009510009P</w:t>
            </w:r>
          </w:p>
        </w:tc>
        <w:tc>
          <w:tcPr>
            <w:tcW w:w="2835" w:type="dxa"/>
            <w:vAlign w:val="center"/>
          </w:tcPr>
          <w:p>
            <w:pPr>
              <w:pStyle w:val="11"/>
            </w:pPr>
            <w:r>
              <w:t>项目名称</w:t>
            </w:r>
          </w:p>
        </w:tc>
        <w:tc>
          <w:tcPr>
            <w:tcW w:w="6095" w:type="dxa"/>
            <w:gridSpan w:val="3"/>
            <w:vAlign w:val="center"/>
          </w:tcPr>
          <w:p>
            <w:pPr>
              <w:pStyle w:val="13"/>
            </w:pPr>
            <w:r>
              <w:t>城区保洁费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城区保洁费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1.按时支付垃圾清运费用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按时支付垃圾清运费用</w:t>
            </w:r>
          </w:p>
        </w:tc>
        <w:tc>
          <w:tcPr>
            <w:tcW w:w="5386" w:type="dxa"/>
            <w:vAlign w:val="center"/>
          </w:tcPr>
          <w:p>
            <w:pPr>
              <w:pStyle w:val="13"/>
            </w:pPr>
            <w:r>
              <w:t>按时支付垃圾清运费用</w:t>
            </w:r>
          </w:p>
        </w:tc>
        <w:tc>
          <w:tcPr>
            <w:tcW w:w="2268" w:type="dxa"/>
            <w:vAlign w:val="center"/>
          </w:tcPr>
          <w:p>
            <w:pPr>
              <w:pStyle w:val="13"/>
            </w:pPr>
            <w:r>
              <w:t>支付垃圾清运费用是否及时</w:t>
            </w:r>
          </w:p>
        </w:tc>
        <w:tc>
          <w:tcPr>
            <w:tcW w:w="1276" w:type="dxa"/>
            <w:vAlign w:val="center"/>
          </w:tcPr>
          <w:p>
            <w:pPr>
              <w:pStyle w:val="13"/>
            </w:pPr>
            <w:r>
              <w:t>支付垃圾清运费用是否及时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2、城区保洁人员工资绩效目标表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13013026P00009510006W</w:t>
            </w:r>
          </w:p>
        </w:tc>
        <w:tc>
          <w:tcPr>
            <w:tcW w:w="2835" w:type="dxa"/>
            <w:vAlign w:val="center"/>
          </w:tcPr>
          <w:p>
            <w:pPr>
              <w:pStyle w:val="11"/>
            </w:pPr>
            <w:r>
              <w:t>项目名称</w:t>
            </w:r>
          </w:p>
        </w:tc>
        <w:tc>
          <w:tcPr>
            <w:tcW w:w="6095" w:type="dxa"/>
            <w:gridSpan w:val="3"/>
            <w:vAlign w:val="center"/>
          </w:tcPr>
          <w:p>
            <w:pPr>
              <w:pStyle w:val="13"/>
            </w:pPr>
            <w:r>
              <w:t>城区保洁人员工资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1320.00</w:t>
            </w:r>
          </w:p>
        </w:tc>
        <w:tc>
          <w:tcPr>
            <w:tcW w:w="2835" w:type="dxa"/>
            <w:vAlign w:val="center"/>
          </w:tcPr>
          <w:p>
            <w:pPr>
              <w:pStyle w:val="11"/>
            </w:pPr>
            <w:r>
              <w:t>其中：财政    资金</w:t>
            </w:r>
          </w:p>
        </w:tc>
        <w:tc>
          <w:tcPr>
            <w:tcW w:w="2551" w:type="dxa"/>
            <w:vAlign w:val="center"/>
          </w:tcPr>
          <w:p>
            <w:pPr>
              <w:pStyle w:val="13"/>
            </w:pPr>
            <w:r>
              <w:t>1320.00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城区保洁人员工资</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1.保障城区保洁人员工资</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按时支付垃圾清运费用</w:t>
            </w:r>
          </w:p>
        </w:tc>
        <w:tc>
          <w:tcPr>
            <w:tcW w:w="5386" w:type="dxa"/>
            <w:vAlign w:val="center"/>
          </w:tcPr>
          <w:p>
            <w:pPr>
              <w:pStyle w:val="13"/>
            </w:pPr>
            <w:r>
              <w:t>按时支付垃圾清运费用</w:t>
            </w:r>
          </w:p>
        </w:tc>
        <w:tc>
          <w:tcPr>
            <w:tcW w:w="2268" w:type="dxa"/>
            <w:vAlign w:val="center"/>
          </w:tcPr>
          <w:p>
            <w:pPr>
              <w:pStyle w:val="13"/>
            </w:pPr>
            <w:r>
              <w:t>支付垃圾清运费用是否及时</w:t>
            </w:r>
          </w:p>
        </w:tc>
        <w:tc>
          <w:tcPr>
            <w:tcW w:w="1276" w:type="dxa"/>
            <w:vAlign w:val="center"/>
          </w:tcPr>
          <w:p>
            <w:pPr>
              <w:pStyle w:val="13"/>
            </w:pPr>
            <w:r>
              <w:t>支付垃圾清运费用是否及时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3、关于提前下达2025-2026年采暖季煤改气煤改电运行补贴绩效目标表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13013026P000086100140</w:t>
            </w:r>
          </w:p>
        </w:tc>
        <w:tc>
          <w:tcPr>
            <w:tcW w:w="2835" w:type="dxa"/>
            <w:vAlign w:val="center"/>
          </w:tcPr>
          <w:p>
            <w:pPr>
              <w:pStyle w:val="11"/>
            </w:pPr>
            <w:r>
              <w:t>项目名称</w:t>
            </w:r>
          </w:p>
        </w:tc>
        <w:tc>
          <w:tcPr>
            <w:tcW w:w="6095" w:type="dxa"/>
            <w:gridSpan w:val="3"/>
            <w:vAlign w:val="center"/>
          </w:tcPr>
          <w:p>
            <w:pPr>
              <w:pStyle w:val="13"/>
            </w:pPr>
            <w:r>
              <w:t>关于提前下达2025-2026年采暖季煤改气煤改电运行补贴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277.94</w:t>
            </w:r>
          </w:p>
        </w:tc>
        <w:tc>
          <w:tcPr>
            <w:tcW w:w="2835" w:type="dxa"/>
            <w:vAlign w:val="center"/>
          </w:tcPr>
          <w:p>
            <w:pPr>
              <w:pStyle w:val="11"/>
            </w:pPr>
            <w:r>
              <w:t>其中：财政    资金</w:t>
            </w:r>
          </w:p>
        </w:tc>
        <w:tc>
          <w:tcPr>
            <w:tcW w:w="2551" w:type="dxa"/>
            <w:vAlign w:val="center"/>
          </w:tcPr>
          <w:p>
            <w:pPr>
              <w:pStyle w:val="13"/>
            </w:pPr>
            <w:r>
              <w:t>277.94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关于提前下达2025-2026年采暖季煤改气煤改电运行补贴</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1.通过开展落实运行补贴工作</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4、关于提前下达2025年中央大气污染防治资金绩效目标表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13013025P000086100032</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1206.00</w:t>
            </w:r>
          </w:p>
        </w:tc>
        <w:tc>
          <w:tcPr>
            <w:tcW w:w="2835" w:type="dxa"/>
            <w:vAlign w:val="center"/>
          </w:tcPr>
          <w:p>
            <w:pPr>
              <w:pStyle w:val="11"/>
            </w:pPr>
            <w:r>
              <w:t>其中：财政    资金</w:t>
            </w:r>
          </w:p>
        </w:tc>
        <w:tc>
          <w:tcPr>
            <w:tcW w:w="2551" w:type="dxa"/>
            <w:vAlign w:val="center"/>
          </w:tcPr>
          <w:p>
            <w:pPr>
              <w:pStyle w:val="13"/>
            </w:pPr>
            <w:r>
              <w:t>1206.00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农村地区清洁取暖运行补贴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1206.00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1.按时支付农村地区清洁取暖运行补贴的费用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5、关于提前下达2025年中央大气污染防治资金（用于农村地区气代煤电代煤改造任务运行补助）绩效目标表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13013025P00008610004M</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514.00</w:t>
            </w:r>
          </w:p>
        </w:tc>
        <w:tc>
          <w:tcPr>
            <w:tcW w:w="2835" w:type="dxa"/>
            <w:vAlign w:val="center"/>
          </w:tcPr>
          <w:p>
            <w:pPr>
              <w:pStyle w:val="11"/>
            </w:pPr>
            <w:r>
              <w:t>其中：财政    资金</w:t>
            </w:r>
          </w:p>
        </w:tc>
        <w:tc>
          <w:tcPr>
            <w:tcW w:w="2551" w:type="dxa"/>
            <w:vAlign w:val="center"/>
          </w:tcPr>
          <w:p>
            <w:pPr>
              <w:pStyle w:val="13"/>
            </w:pPr>
            <w:r>
              <w:t>514.00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农村地区清洁取暖运行补贴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1.按时完成各项任务，及时拨付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6、关于提前下达2026年中央大气污染防治资金绩效目标表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13013026P000086100096</w:t>
            </w:r>
          </w:p>
        </w:tc>
        <w:tc>
          <w:tcPr>
            <w:tcW w:w="2835" w:type="dxa"/>
            <w:vAlign w:val="center"/>
          </w:tcPr>
          <w:p>
            <w:pPr>
              <w:pStyle w:val="11"/>
            </w:pPr>
            <w:r>
              <w:t>项目名称</w:t>
            </w:r>
          </w:p>
        </w:tc>
        <w:tc>
          <w:tcPr>
            <w:tcW w:w="6095" w:type="dxa"/>
            <w:gridSpan w:val="3"/>
            <w:vAlign w:val="center"/>
          </w:tcPr>
          <w:p>
            <w:pPr>
              <w:pStyle w:val="13"/>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1515.00</w:t>
            </w:r>
          </w:p>
        </w:tc>
        <w:tc>
          <w:tcPr>
            <w:tcW w:w="2835" w:type="dxa"/>
            <w:vAlign w:val="center"/>
          </w:tcPr>
          <w:p>
            <w:pPr>
              <w:pStyle w:val="11"/>
            </w:pPr>
            <w:r>
              <w:t>其中：财政    资金</w:t>
            </w:r>
          </w:p>
        </w:tc>
        <w:tc>
          <w:tcPr>
            <w:tcW w:w="2551" w:type="dxa"/>
            <w:vAlign w:val="center"/>
          </w:tcPr>
          <w:p>
            <w:pPr>
              <w:pStyle w:val="13"/>
            </w:pPr>
            <w:r>
              <w:t>1515.00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关于提前下达2026年中央大气污染防治资金</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1.关于提前下达2026年中央大气污染防治资金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7、关于提前下达2026年中央大气污染防治资金（用于农村地区气代煤电代煤改造任务运行补助）绩效目标表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13013026P00008610008J</w:t>
            </w:r>
          </w:p>
        </w:tc>
        <w:tc>
          <w:tcPr>
            <w:tcW w:w="2835" w:type="dxa"/>
            <w:vAlign w:val="center"/>
          </w:tcPr>
          <w:p>
            <w:pPr>
              <w:pStyle w:val="11"/>
            </w:pPr>
            <w:r>
              <w:t>项目名称</w:t>
            </w:r>
          </w:p>
        </w:tc>
        <w:tc>
          <w:tcPr>
            <w:tcW w:w="6095" w:type="dxa"/>
            <w:gridSpan w:val="3"/>
            <w:vAlign w:val="center"/>
          </w:tcPr>
          <w:p>
            <w:pPr>
              <w:pStyle w:val="13"/>
            </w:pPr>
            <w:r>
              <w:t>关于提前下达2026年中央大气污染防治资金（用于农村地区气代煤电代煤改造任务运行补助）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507.00</w:t>
            </w:r>
          </w:p>
        </w:tc>
        <w:tc>
          <w:tcPr>
            <w:tcW w:w="2835" w:type="dxa"/>
            <w:vAlign w:val="center"/>
          </w:tcPr>
          <w:p>
            <w:pPr>
              <w:pStyle w:val="11"/>
            </w:pPr>
            <w:r>
              <w:t>其中：财政    资金</w:t>
            </w:r>
          </w:p>
        </w:tc>
        <w:tc>
          <w:tcPr>
            <w:tcW w:w="2551" w:type="dxa"/>
            <w:vAlign w:val="center"/>
          </w:tcPr>
          <w:p>
            <w:pPr>
              <w:pStyle w:val="13"/>
            </w:pPr>
            <w:r>
              <w:t>507.00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关于提前下达2026年中央大气污染防治资金（用于农村地区气代煤电代煤改造任务运行补助）</w:t>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1.关于提前下达2026年中央大气污染防治资金（用于农村地区气代煤电代煤改造任务运行补助）</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8、关于下达中央大气污染防治资金绩效目标表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13013025P00008610007G</w:t>
            </w:r>
          </w:p>
        </w:tc>
        <w:tc>
          <w:tcPr>
            <w:tcW w:w="2835" w:type="dxa"/>
            <w:vAlign w:val="center"/>
          </w:tcPr>
          <w:p>
            <w:pPr>
              <w:pStyle w:val="11"/>
            </w:pPr>
            <w:r>
              <w:t>项目名称</w:t>
            </w:r>
          </w:p>
        </w:tc>
        <w:tc>
          <w:tcPr>
            <w:tcW w:w="6095" w:type="dxa"/>
            <w:gridSpan w:val="3"/>
            <w:vAlign w:val="center"/>
          </w:tcPr>
          <w:p>
            <w:pPr>
              <w:pStyle w:val="13"/>
            </w:pPr>
            <w:r>
              <w:t>关于下达中央大气污染防治资金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398.00</w:t>
            </w:r>
          </w:p>
        </w:tc>
        <w:tc>
          <w:tcPr>
            <w:tcW w:w="2835" w:type="dxa"/>
            <w:vAlign w:val="center"/>
          </w:tcPr>
          <w:p>
            <w:pPr>
              <w:pStyle w:val="11"/>
            </w:pPr>
            <w:r>
              <w:t>其中：财政    资金</w:t>
            </w:r>
          </w:p>
        </w:tc>
        <w:tc>
          <w:tcPr>
            <w:tcW w:w="2551" w:type="dxa"/>
            <w:vAlign w:val="center"/>
          </w:tcPr>
          <w:p>
            <w:pPr>
              <w:pStyle w:val="13"/>
            </w:pPr>
            <w:r>
              <w:t>398.00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1.及时完成日常工作，促进生态文明建设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9、燃气企业驻村安全员、村燃气安全协管员工资绩效目标表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13013026P000066100445</w:t>
            </w:r>
          </w:p>
        </w:tc>
        <w:tc>
          <w:tcPr>
            <w:tcW w:w="2835" w:type="dxa"/>
            <w:vAlign w:val="center"/>
          </w:tcPr>
          <w:p>
            <w:pPr>
              <w:pStyle w:val="11"/>
            </w:pPr>
            <w:r>
              <w:t>项目名称</w:t>
            </w:r>
          </w:p>
        </w:tc>
        <w:tc>
          <w:tcPr>
            <w:tcW w:w="6095" w:type="dxa"/>
            <w:gridSpan w:val="3"/>
            <w:vAlign w:val="center"/>
          </w:tcPr>
          <w:p>
            <w:pPr>
              <w:pStyle w:val="13"/>
            </w:pPr>
            <w:r>
              <w:t>燃气企业驻村安全员、村燃气安全协管员工资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289.00</w:t>
            </w:r>
          </w:p>
        </w:tc>
        <w:tc>
          <w:tcPr>
            <w:tcW w:w="2835" w:type="dxa"/>
            <w:vAlign w:val="center"/>
          </w:tcPr>
          <w:p>
            <w:pPr>
              <w:pStyle w:val="11"/>
            </w:pPr>
            <w:r>
              <w:t>其中：财政    资金</w:t>
            </w:r>
          </w:p>
        </w:tc>
        <w:tc>
          <w:tcPr>
            <w:tcW w:w="2551" w:type="dxa"/>
            <w:vAlign w:val="center"/>
          </w:tcPr>
          <w:p>
            <w:pPr>
              <w:pStyle w:val="13"/>
            </w:pPr>
            <w:r>
              <w:t>289.00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燃气企业驻村安全员、村燃气安全协管员工资</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1.燃气企业驻村安全员、村燃气安全协管员工资</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按时支付费用</w:t>
            </w:r>
          </w:p>
        </w:tc>
        <w:tc>
          <w:tcPr>
            <w:tcW w:w="5386" w:type="dxa"/>
            <w:vAlign w:val="center"/>
          </w:tcPr>
          <w:p>
            <w:pPr>
              <w:pStyle w:val="13"/>
            </w:pPr>
            <w:r>
              <w:t>按时支付费用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反映建设提升内容工作情况</w:t>
            </w:r>
          </w:p>
        </w:tc>
        <w:tc>
          <w:tcPr>
            <w:tcW w:w="5386" w:type="dxa"/>
            <w:vAlign w:val="center"/>
          </w:tcPr>
          <w:p>
            <w:pPr>
              <w:pStyle w:val="13"/>
            </w:pPr>
            <w:r>
              <w:t>反映建设提升内容工作情况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10、污水处理费绩效目标表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13013026P00009010023D</w:t>
            </w:r>
          </w:p>
        </w:tc>
        <w:tc>
          <w:tcPr>
            <w:tcW w:w="2835" w:type="dxa"/>
            <w:vAlign w:val="center"/>
          </w:tcPr>
          <w:p>
            <w:pPr>
              <w:pStyle w:val="11"/>
            </w:pPr>
            <w:r>
              <w:t>项目名称</w:t>
            </w:r>
          </w:p>
        </w:tc>
        <w:tc>
          <w:tcPr>
            <w:tcW w:w="6095" w:type="dxa"/>
            <w:gridSpan w:val="3"/>
            <w:vAlign w:val="center"/>
          </w:tcPr>
          <w:p>
            <w:pPr>
              <w:pStyle w:val="13"/>
            </w:pPr>
            <w:r>
              <w:t>污水处理费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污水处理费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1.满足我县水生态环境达标排放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按时支付污水处理厂费用</w:t>
            </w:r>
          </w:p>
        </w:tc>
        <w:tc>
          <w:tcPr>
            <w:tcW w:w="5386" w:type="dxa"/>
            <w:vAlign w:val="center"/>
          </w:tcPr>
          <w:p>
            <w:pPr>
              <w:pStyle w:val="13"/>
            </w:pPr>
            <w:r>
              <w:t>按时支付污水处理厂费用</w:t>
            </w:r>
          </w:p>
        </w:tc>
        <w:tc>
          <w:tcPr>
            <w:tcW w:w="2268" w:type="dxa"/>
            <w:vAlign w:val="center"/>
          </w:tcPr>
          <w:p>
            <w:pPr>
              <w:pStyle w:val="13"/>
            </w:pPr>
            <w:r>
              <w:t>支付污水处理厂费用</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满足我县水生态环境达标排放</w:t>
            </w:r>
          </w:p>
        </w:tc>
        <w:tc>
          <w:tcPr>
            <w:tcW w:w="5386" w:type="dxa"/>
            <w:vAlign w:val="center"/>
          </w:tcPr>
          <w:p>
            <w:pPr>
              <w:pStyle w:val="13"/>
            </w:pPr>
            <w:r>
              <w:t>保护县水生态环境</w:t>
            </w:r>
          </w:p>
        </w:tc>
        <w:tc>
          <w:tcPr>
            <w:tcW w:w="2268" w:type="dxa"/>
            <w:vAlign w:val="center"/>
          </w:tcPr>
          <w:p>
            <w:pPr>
              <w:pStyle w:val="13"/>
            </w:pPr>
            <w:r>
              <w:t>满足我县水生态环境达标排放</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确保污水达标排放</w:t>
            </w:r>
          </w:p>
        </w:tc>
        <w:tc>
          <w:tcPr>
            <w:tcW w:w="5386" w:type="dxa"/>
            <w:vAlign w:val="center"/>
          </w:tcPr>
          <w:p>
            <w:pPr>
              <w:pStyle w:val="13"/>
            </w:pPr>
            <w:r>
              <w:t>通过开展无极县域内污水，确保污水达标排放等工作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反映确保污水处理厂的正常运行和达标排放工作情况</w:t>
            </w:r>
          </w:p>
        </w:tc>
        <w:tc>
          <w:tcPr>
            <w:tcW w:w="5386" w:type="dxa"/>
            <w:vAlign w:val="center"/>
          </w:tcPr>
          <w:p>
            <w:pPr>
              <w:pStyle w:val="13"/>
            </w:pPr>
            <w:r>
              <w:t>反映确保污水处理厂的正常运行和达标排放工作情况</w:t>
            </w:r>
          </w:p>
        </w:tc>
        <w:tc>
          <w:tcPr>
            <w:tcW w:w="2268" w:type="dxa"/>
            <w:vAlign w:val="center"/>
          </w:tcPr>
          <w:p>
            <w:pPr>
              <w:pStyle w:val="13"/>
            </w:pPr>
            <w:r>
              <w:t>反映确保污水处理厂的正常运行和达标排放工作情况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11、无极县城区防洪排涝设施建设改造项目国债项目县级配套绩效目标表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13013025P000176106259</w:t>
            </w:r>
          </w:p>
        </w:tc>
        <w:tc>
          <w:tcPr>
            <w:tcW w:w="2835" w:type="dxa"/>
            <w:vAlign w:val="center"/>
          </w:tcPr>
          <w:p>
            <w:pPr>
              <w:pStyle w:val="11"/>
            </w:pPr>
            <w:r>
              <w:t>项目名称</w:t>
            </w:r>
          </w:p>
        </w:tc>
        <w:tc>
          <w:tcPr>
            <w:tcW w:w="6095" w:type="dxa"/>
            <w:gridSpan w:val="3"/>
            <w:vAlign w:val="center"/>
          </w:tcPr>
          <w:p>
            <w:pPr>
              <w:pStyle w:val="13"/>
            </w:pPr>
            <w:r>
              <w:t>无极县城区防洪排涝设施建设改造项目国债项目县级配套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1140.00</w:t>
            </w:r>
          </w:p>
        </w:tc>
        <w:tc>
          <w:tcPr>
            <w:tcW w:w="2835" w:type="dxa"/>
            <w:vAlign w:val="center"/>
          </w:tcPr>
          <w:p>
            <w:pPr>
              <w:pStyle w:val="11"/>
            </w:pPr>
            <w:r>
              <w:t>其中：财政    资金</w:t>
            </w:r>
          </w:p>
        </w:tc>
        <w:tc>
          <w:tcPr>
            <w:tcW w:w="2551" w:type="dxa"/>
            <w:vAlign w:val="center"/>
          </w:tcPr>
          <w:p>
            <w:pPr>
              <w:pStyle w:val="13"/>
            </w:pPr>
            <w:r>
              <w:t>1140.00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无极县城区防洪排涝设施建设改造项目国债项目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1.及时完成新建雨水管网长度</w:t>
            </w:r>
          </w:p>
          <w:p>
            <w:pPr>
              <w:pStyle w:val="13"/>
            </w:pPr>
          </w:p>
          <w:p>
            <w:pPr>
              <w:pStyle w:val="13"/>
            </w:pPr>
            <w:r>
              <w:t>2.及时完成各项任务</w:t>
            </w:r>
          </w:p>
          <w:p>
            <w:pPr>
              <w:pStyle w:val="13"/>
            </w:pPr>
            <w:r>
              <w:t>3.泵站建设单位成本控制情况</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新建雨水管网</w:t>
            </w:r>
          </w:p>
        </w:tc>
        <w:tc>
          <w:tcPr>
            <w:tcW w:w="5386" w:type="dxa"/>
            <w:vAlign w:val="center"/>
          </w:tcPr>
          <w:p>
            <w:pPr>
              <w:pStyle w:val="13"/>
            </w:pPr>
            <w:r>
              <w:t>反映新建雨水管网长度完成情况</w:t>
            </w:r>
          </w:p>
        </w:tc>
        <w:tc>
          <w:tcPr>
            <w:tcW w:w="2268" w:type="dxa"/>
            <w:vAlign w:val="center"/>
          </w:tcPr>
          <w:p>
            <w:pPr>
              <w:pStyle w:val="13"/>
            </w:pPr>
            <w:r>
              <w:t>≥95米</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新建泵站</w:t>
            </w:r>
          </w:p>
        </w:tc>
        <w:tc>
          <w:tcPr>
            <w:tcW w:w="5386" w:type="dxa"/>
            <w:vAlign w:val="center"/>
          </w:tcPr>
          <w:p>
            <w:pPr>
              <w:pStyle w:val="13"/>
            </w:pPr>
            <w:r>
              <w:t>反映新建泵站数量</w:t>
            </w:r>
          </w:p>
        </w:tc>
        <w:tc>
          <w:tcPr>
            <w:tcW w:w="2268" w:type="dxa"/>
            <w:vAlign w:val="center"/>
          </w:tcPr>
          <w:p>
            <w:pPr>
              <w:pStyle w:val="13"/>
            </w:pPr>
            <w:r>
              <w:t>＞95座</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交（竣）工验收合格率</w:t>
            </w:r>
          </w:p>
        </w:tc>
        <w:tc>
          <w:tcPr>
            <w:tcW w:w="5386" w:type="dxa"/>
            <w:vAlign w:val="center"/>
          </w:tcPr>
          <w:p>
            <w:pPr>
              <w:pStyle w:val="13"/>
            </w:pPr>
            <w:r>
              <w:t>反映项目交（竣）工验收合格情况</w:t>
            </w:r>
          </w:p>
        </w:tc>
        <w:tc>
          <w:tcPr>
            <w:tcW w:w="2268" w:type="dxa"/>
            <w:vAlign w:val="center"/>
          </w:tcPr>
          <w:p>
            <w:pPr>
              <w:pStyle w:val="13"/>
            </w:pPr>
            <w:r>
              <w:t>≥100%</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项目设计变更率</w:t>
            </w:r>
          </w:p>
        </w:tc>
        <w:tc>
          <w:tcPr>
            <w:tcW w:w="5386" w:type="dxa"/>
            <w:vAlign w:val="center"/>
          </w:tcPr>
          <w:p>
            <w:pPr>
              <w:pStyle w:val="13"/>
            </w:pPr>
            <w:r>
              <w:t>反映项目设计变更情况</w:t>
            </w:r>
          </w:p>
        </w:tc>
        <w:tc>
          <w:tcPr>
            <w:tcW w:w="2268" w:type="dxa"/>
            <w:vAlign w:val="center"/>
          </w:tcPr>
          <w:p>
            <w:pPr>
              <w:pStyle w:val="13"/>
            </w:pPr>
            <w:r>
              <w:t>≥95%</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工程按时开工率</w:t>
            </w:r>
          </w:p>
        </w:tc>
        <w:tc>
          <w:tcPr>
            <w:tcW w:w="5386" w:type="dxa"/>
            <w:vAlign w:val="center"/>
          </w:tcPr>
          <w:p>
            <w:pPr>
              <w:pStyle w:val="13"/>
            </w:pPr>
            <w:r>
              <w:t>反映项目按时开工个数占项目总个数百分比</w:t>
            </w:r>
          </w:p>
        </w:tc>
        <w:tc>
          <w:tcPr>
            <w:tcW w:w="2268" w:type="dxa"/>
            <w:vAlign w:val="center"/>
          </w:tcPr>
          <w:p>
            <w:pPr>
              <w:pStyle w:val="13"/>
            </w:pPr>
            <w:r>
              <w:t>≥95%</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工程完成时间</w:t>
            </w:r>
          </w:p>
        </w:tc>
        <w:tc>
          <w:tcPr>
            <w:tcW w:w="5386" w:type="dxa"/>
            <w:vAlign w:val="center"/>
          </w:tcPr>
          <w:p>
            <w:pPr>
              <w:pStyle w:val="13"/>
            </w:pPr>
            <w:r>
              <w:t>反映新建雨水管网项目完成时间</w:t>
            </w:r>
          </w:p>
        </w:tc>
        <w:tc>
          <w:tcPr>
            <w:tcW w:w="2268" w:type="dxa"/>
            <w:vAlign w:val="center"/>
          </w:tcPr>
          <w:p>
            <w:pPr>
              <w:pStyle w:val="13"/>
            </w:pPr>
            <w:r>
              <w:t>95%</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雨水管网工程建设成本</w:t>
            </w:r>
          </w:p>
        </w:tc>
        <w:tc>
          <w:tcPr>
            <w:tcW w:w="5386" w:type="dxa"/>
            <w:vAlign w:val="center"/>
          </w:tcPr>
          <w:p>
            <w:pPr>
              <w:pStyle w:val="13"/>
            </w:pPr>
            <w:r>
              <w:t>反映新建雨水管网工程单位成本控制情况</w:t>
            </w:r>
          </w:p>
        </w:tc>
        <w:tc>
          <w:tcPr>
            <w:tcW w:w="2268" w:type="dxa"/>
            <w:vAlign w:val="center"/>
          </w:tcPr>
          <w:p>
            <w:pPr>
              <w:pStyle w:val="13"/>
            </w:pPr>
            <w:r>
              <w:t>≥95万 元/米</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泵站建设成本</w:t>
            </w:r>
          </w:p>
        </w:tc>
        <w:tc>
          <w:tcPr>
            <w:tcW w:w="5386" w:type="dxa"/>
            <w:vAlign w:val="center"/>
          </w:tcPr>
          <w:p>
            <w:pPr>
              <w:pStyle w:val="13"/>
            </w:pPr>
            <w:r>
              <w:t>反映泵站建设单位成本控制情况</w:t>
            </w:r>
          </w:p>
        </w:tc>
        <w:tc>
          <w:tcPr>
            <w:tcW w:w="2268" w:type="dxa"/>
            <w:vAlign w:val="center"/>
          </w:tcPr>
          <w:p>
            <w:pPr>
              <w:pStyle w:val="13"/>
            </w:pPr>
            <w:r>
              <w:t>≥2700万元/座</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排涝能力提升率</w:t>
            </w:r>
          </w:p>
        </w:tc>
        <w:tc>
          <w:tcPr>
            <w:tcW w:w="5386" w:type="dxa"/>
            <w:vAlign w:val="center"/>
          </w:tcPr>
          <w:p>
            <w:pPr>
              <w:pStyle w:val="13"/>
            </w:pPr>
            <w:r>
              <w:t>反映新建后排涝能力较之前提升百分比</w:t>
            </w:r>
          </w:p>
        </w:tc>
        <w:tc>
          <w:tcPr>
            <w:tcW w:w="2268" w:type="dxa"/>
            <w:vAlign w:val="center"/>
          </w:tcPr>
          <w:p>
            <w:pPr>
              <w:pStyle w:val="13"/>
            </w:pPr>
            <w:r>
              <w:t>≥95%</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&gt;95%</w:t>
            </w:r>
          </w:p>
        </w:tc>
        <w:tc>
          <w:tcPr>
            <w:tcW w:w="1276" w:type="dxa"/>
            <w:vAlign w:val="center"/>
          </w:tcPr>
          <w:p>
            <w:pPr>
              <w:pStyle w:val="13"/>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&gt;95%</w:t>
            </w:r>
          </w:p>
        </w:tc>
        <w:tc>
          <w:tcPr>
            <w:tcW w:w="1276" w:type="dxa"/>
            <w:vAlign w:val="center"/>
          </w:tcPr>
          <w:p>
            <w:pPr>
              <w:pStyle w:val="13"/>
            </w:pPr>
            <w:r>
              <w:t>根据工作情况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12、无极县公厕和垃圾中转站改造项目绩效目标表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13013025P00017610626W</w:t>
            </w:r>
          </w:p>
        </w:tc>
        <w:tc>
          <w:tcPr>
            <w:tcW w:w="2835" w:type="dxa"/>
            <w:vAlign w:val="center"/>
          </w:tcPr>
          <w:p>
            <w:pPr>
              <w:pStyle w:val="11"/>
            </w:pPr>
            <w:r>
              <w:t>项目名称</w:t>
            </w:r>
          </w:p>
        </w:tc>
        <w:tc>
          <w:tcPr>
            <w:tcW w:w="6095" w:type="dxa"/>
            <w:gridSpan w:val="3"/>
            <w:vAlign w:val="center"/>
          </w:tcPr>
          <w:p>
            <w:pPr>
              <w:pStyle w:val="13"/>
            </w:pPr>
            <w:r>
              <w:t>无极县公厕和垃圾中转站改造项目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253.80</w:t>
            </w:r>
          </w:p>
        </w:tc>
        <w:tc>
          <w:tcPr>
            <w:tcW w:w="2835" w:type="dxa"/>
            <w:vAlign w:val="center"/>
          </w:tcPr>
          <w:p>
            <w:pPr>
              <w:pStyle w:val="11"/>
            </w:pPr>
            <w:r>
              <w:t>其中：财政    资金</w:t>
            </w:r>
          </w:p>
        </w:tc>
        <w:tc>
          <w:tcPr>
            <w:tcW w:w="2551" w:type="dxa"/>
            <w:vAlign w:val="center"/>
          </w:tcPr>
          <w:p>
            <w:pPr>
              <w:pStyle w:val="13"/>
            </w:pPr>
            <w:r>
              <w:t>253.80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无极县公厕和垃圾中转站改造项目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253.80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1.公厕和垃圾中转站全年正常运行设备正常运行</w:t>
            </w:r>
          </w:p>
          <w:p>
            <w:pPr>
              <w:pStyle w:val="13"/>
            </w:pPr>
          </w:p>
          <w:p>
            <w:pPr>
              <w:pStyle w:val="13"/>
            </w:pPr>
            <w:r>
              <w:t>2.成本控制良好未造成财政资金浪费</w:t>
            </w:r>
          </w:p>
          <w:p>
            <w:pPr>
              <w:pStyle w:val="13"/>
            </w:pPr>
          </w:p>
          <w:p>
            <w:pPr>
              <w:pStyle w:val="13"/>
            </w:pPr>
            <w:r>
              <w:t>3.及时完成各项任务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是否完成数量目标</w:t>
            </w:r>
          </w:p>
        </w:tc>
        <w:tc>
          <w:tcPr>
            <w:tcW w:w="5386" w:type="dxa"/>
            <w:vAlign w:val="center"/>
          </w:tcPr>
          <w:p>
            <w:pPr>
              <w:pStyle w:val="13"/>
            </w:pPr>
            <w:r>
              <w:t>公厕和垃圾中转站全年正常运行设备正常运行</w:t>
            </w:r>
          </w:p>
        </w:tc>
        <w:tc>
          <w:tcPr>
            <w:tcW w:w="2268" w:type="dxa"/>
            <w:vAlign w:val="center"/>
          </w:tcPr>
          <w:p>
            <w:pPr>
              <w:pStyle w:val="13"/>
            </w:pPr>
            <w:r>
              <w:t>公厕和垃圾中转站全年正常运行设备正常运行</w:t>
            </w:r>
          </w:p>
        </w:tc>
        <w:tc>
          <w:tcPr>
            <w:tcW w:w="1276" w:type="dxa"/>
            <w:vAlign w:val="center"/>
          </w:tcPr>
          <w:p>
            <w:pPr>
              <w:pStyle w:val="13"/>
            </w:pPr>
            <w:r>
              <w:t>公厕和垃圾中转站全年正常运行设备正常运行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垃圾处理无害化处理率是否达标</w:t>
            </w:r>
          </w:p>
        </w:tc>
        <w:tc>
          <w:tcPr>
            <w:tcW w:w="5386" w:type="dxa"/>
            <w:vAlign w:val="center"/>
          </w:tcPr>
          <w:p>
            <w:pPr>
              <w:pStyle w:val="13"/>
            </w:pPr>
            <w:r>
              <w:t>通过查看检测报告查看垃圾无害化处理是否达标</w:t>
            </w:r>
          </w:p>
        </w:tc>
        <w:tc>
          <w:tcPr>
            <w:tcW w:w="2268" w:type="dxa"/>
            <w:vAlign w:val="center"/>
          </w:tcPr>
          <w:p>
            <w:pPr>
              <w:pStyle w:val="13"/>
            </w:pPr>
            <w:r>
              <w:t>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按时清运垃圾</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是否节约财政资金</w:t>
            </w:r>
          </w:p>
        </w:tc>
        <w:tc>
          <w:tcPr>
            <w:tcW w:w="5386" w:type="dxa"/>
            <w:vAlign w:val="center"/>
          </w:tcPr>
          <w:p>
            <w:pPr>
              <w:pStyle w:val="13"/>
            </w:pPr>
            <w:r>
              <w:t>成本控制良好未造成财政资金浪费</w:t>
            </w:r>
          </w:p>
        </w:tc>
        <w:tc>
          <w:tcPr>
            <w:tcW w:w="2268" w:type="dxa"/>
            <w:vAlign w:val="center"/>
          </w:tcPr>
          <w:p>
            <w:pPr>
              <w:pStyle w:val="13"/>
            </w:pPr>
            <w:r>
              <w:t>成本控制良好未造成财政资金浪费</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满足垃圾场正常运行</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保障正常运转</w:t>
            </w:r>
          </w:p>
        </w:tc>
        <w:tc>
          <w:tcPr>
            <w:tcW w:w="5386" w:type="dxa"/>
            <w:vAlign w:val="center"/>
          </w:tcPr>
          <w:p>
            <w:pPr>
              <w:pStyle w:val="13"/>
            </w:pPr>
            <w:r>
              <w:t>通过开展维修、购置等工作</w:t>
            </w:r>
          </w:p>
        </w:tc>
        <w:tc>
          <w:tcPr>
            <w:tcW w:w="2268" w:type="dxa"/>
            <w:vAlign w:val="center"/>
          </w:tcPr>
          <w:p>
            <w:pPr>
              <w:pStyle w:val="13"/>
            </w:pPr>
            <w:r>
              <w:t>保障正常运转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项目实施是否对环境产生积极的影响</w:t>
            </w:r>
          </w:p>
        </w:tc>
        <w:tc>
          <w:tcPr>
            <w:tcW w:w="5386" w:type="dxa"/>
            <w:vAlign w:val="center"/>
          </w:tcPr>
          <w:p>
            <w:pPr>
              <w:pStyle w:val="13"/>
            </w:pPr>
            <w:r>
              <w:t>项目实施过程中不造成二次污染</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为日常工作开展提供有力保障。</w:t>
            </w:r>
          </w:p>
        </w:tc>
        <w:tc>
          <w:tcPr>
            <w:tcW w:w="2268" w:type="dxa"/>
            <w:vAlign w:val="center"/>
          </w:tcPr>
          <w:p>
            <w:pPr>
              <w:pStyle w:val="13"/>
            </w:pPr>
            <w:r>
              <w:t>保证正常运转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13、无极县公厕和垃圾中转站改造项目绩效目标表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13013025P00017610627G</w:t>
            </w:r>
          </w:p>
        </w:tc>
        <w:tc>
          <w:tcPr>
            <w:tcW w:w="2835" w:type="dxa"/>
            <w:vAlign w:val="center"/>
          </w:tcPr>
          <w:p>
            <w:pPr>
              <w:pStyle w:val="11"/>
            </w:pPr>
            <w:r>
              <w:t>项目名称</w:t>
            </w:r>
          </w:p>
        </w:tc>
        <w:tc>
          <w:tcPr>
            <w:tcW w:w="6095" w:type="dxa"/>
            <w:gridSpan w:val="3"/>
            <w:vAlign w:val="center"/>
          </w:tcPr>
          <w:p>
            <w:pPr>
              <w:pStyle w:val="13"/>
            </w:pPr>
            <w:r>
              <w:t>无极县公厕和垃圾中转站改造项目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公厕和垃圾中转站全年正常运行设备正常运行</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1.公厕和垃圾中转站全年正常运行设备正常运行</w:t>
            </w:r>
          </w:p>
          <w:p>
            <w:pPr>
              <w:pStyle w:val="13"/>
            </w:pPr>
            <w:r>
              <w:t>2.及时完成各项任务</w:t>
            </w:r>
          </w:p>
          <w:p>
            <w:pPr>
              <w:pStyle w:val="13"/>
            </w:pPr>
            <w:r>
              <w:t>3.垃圾处理无害化处理率是否达标</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是否完成数量目标</w:t>
            </w:r>
          </w:p>
        </w:tc>
        <w:tc>
          <w:tcPr>
            <w:tcW w:w="5386" w:type="dxa"/>
            <w:vAlign w:val="center"/>
          </w:tcPr>
          <w:p>
            <w:pPr>
              <w:pStyle w:val="13"/>
            </w:pPr>
            <w:r>
              <w:t>公厕和垃圾中转站全年正常运行设备正常运行</w:t>
            </w:r>
          </w:p>
        </w:tc>
        <w:tc>
          <w:tcPr>
            <w:tcW w:w="2268" w:type="dxa"/>
            <w:vAlign w:val="center"/>
          </w:tcPr>
          <w:p>
            <w:pPr>
              <w:pStyle w:val="13"/>
            </w:pPr>
            <w:r>
              <w:t>公厕和垃圾中转站全年正常运行设备正常运行</w:t>
            </w:r>
          </w:p>
        </w:tc>
        <w:tc>
          <w:tcPr>
            <w:tcW w:w="1276" w:type="dxa"/>
            <w:vAlign w:val="center"/>
          </w:tcPr>
          <w:p>
            <w:pPr>
              <w:pStyle w:val="13"/>
            </w:pPr>
            <w:r>
              <w:t>公厕和垃圾中转站全年正常运行设备正常运行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垃圾处理无害化处理率是否达标</w:t>
            </w:r>
          </w:p>
        </w:tc>
        <w:tc>
          <w:tcPr>
            <w:tcW w:w="5386" w:type="dxa"/>
            <w:vAlign w:val="center"/>
          </w:tcPr>
          <w:p>
            <w:pPr>
              <w:pStyle w:val="13"/>
            </w:pPr>
            <w:r>
              <w:t>通过查看检测报告查看垃圾无害化处理是否达标</w:t>
            </w:r>
          </w:p>
        </w:tc>
        <w:tc>
          <w:tcPr>
            <w:tcW w:w="2268" w:type="dxa"/>
            <w:vAlign w:val="center"/>
          </w:tcPr>
          <w:p>
            <w:pPr>
              <w:pStyle w:val="13"/>
            </w:pPr>
            <w:r>
              <w:t>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按时清运垃圾</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是否节约财政资金</w:t>
            </w:r>
          </w:p>
        </w:tc>
        <w:tc>
          <w:tcPr>
            <w:tcW w:w="5386" w:type="dxa"/>
            <w:vAlign w:val="center"/>
          </w:tcPr>
          <w:p>
            <w:pPr>
              <w:pStyle w:val="13"/>
            </w:pPr>
            <w:r>
              <w:t>成本控制良好未造成财政资金浪费</w:t>
            </w:r>
          </w:p>
        </w:tc>
        <w:tc>
          <w:tcPr>
            <w:tcW w:w="2268" w:type="dxa"/>
            <w:vAlign w:val="center"/>
          </w:tcPr>
          <w:p>
            <w:pPr>
              <w:pStyle w:val="13"/>
            </w:pPr>
            <w:r>
              <w:t>成本控制良好未造成财政资金浪费</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满足垃圾场正常运行</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保障正常运转</w:t>
            </w:r>
          </w:p>
        </w:tc>
        <w:tc>
          <w:tcPr>
            <w:tcW w:w="5386" w:type="dxa"/>
            <w:vAlign w:val="center"/>
          </w:tcPr>
          <w:p>
            <w:pPr>
              <w:pStyle w:val="13"/>
            </w:pPr>
            <w:r>
              <w:t>通过开展维修、购置等工作</w:t>
            </w:r>
          </w:p>
        </w:tc>
        <w:tc>
          <w:tcPr>
            <w:tcW w:w="2268" w:type="dxa"/>
            <w:vAlign w:val="center"/>
          </w:tcPr>
          <w:p>
            <w:pPr>
              <w:pStyle w:val="13"/>
            </w:pPr>
            <w:r>
              <w:t>保障正常运转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项目实施是否对环境产生积极的影响</w:t>
            </w:r>
          </w:p>
        </w:tc>
        <w:tc>
          <w:tcPr>
            <w:tcW w:w="5386" w:type="dxa"/>
            <w:vAlign w:val="center"/>
          </w:tcPr>
          <w:p>
            <w:pPr>
              <w:pStyle w:val="13"/>
            </w:pPr>
            <w:r>
              <w:t>项目实施过程中不造成二次污染</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为日常工作开展提供有力保障。</w:t>
            </w:r>
          </w:p>
        </w:tc>
        <w:tc>
          <w:tcPr>
            <w:tcW w:w="2268" w:type="dxa"/>
            <w:vAlign w:val="center"/>
          </w:tcPr>
          <w:p>
            <w:pPr>
              <w:pStyle w:val="13"/>
            </w:pPr>
            <w:r>
              <w:t>保证正常运转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14、无极县污水处理厂提标改造及配套设施建设项目绩效目标表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13013024P000020102947</w:t>
            </w:r>
          </w:p>
        </w:tc>
        <w:tc>
          <w:tcPr>
            <w:tcW w:w="2835" w:type="dxa"/>
            <w:vAlign w:val="center"/>
          </w:tcPr>
          <w:p>
            <w:pPr>
              <w:pStyle w:val="11"/>
            </w:pPr>
            <w:r>
              <w:t>项目名称</w:t>
            </w:r>
          </w:p>
        </w:tc>
        <w:tc>
          <w:tcPr>
            <w:tcW w:w="6095" w:type="dxa"/>
            <w:gridSpan w:val="3"/>
            <w:vAlign w:val="center"/>
          </w:tcPr>
          <w:p>
            <w:pPr>
              <w:pStyle w:val="13"/>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1.按时支付污水污泥处理费用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按时支付污水污泥处理费用</w:t>
            </w:r>
          </w:p>
        </w:tc>
        <w:tc>
          <w:tcPr>
            <w:tcW w:w="5386" w:type="dxa"/>
            <w:vAlign w:val="center"/>
          </w:tcPr>
          <w:p>
            <w:pPr>
              <w:pStyle w:val="13"/>
            </w:pPr>
            <w:r>
              <w:t>按时支付污水污泥处理费用</w:t>
            </w:r>
          </w:p>
        </w:tc>
        <w:tc>
          <w:tcPr>
            <w:tcW w:w="2268" w:type="dxa"/>
            <w:vAlign w:val="center"/>
          </w:tcPr>
          <w:p>
            <w:pPr>
              <w:pStyle w:val="13"/>
            </w:pPr>
            <w:r>
              <w:t>按时支付污水污泥处理费用</w:t>
            </w:r>
          </w:p>
        </w:tc>
        <w:tc>
          <w:tcPr>
            <w:tcW w:w="1276" w:type="dxa"/>
            <w:vAlign w:val="center"/>
          </w:tcPr>
          <w:p>
            <w:pPr>
              <w:pStyle w:val="13"/>
            </w:pPr>
            <w:r>
              <w:t>按时支付污水污泥处理费用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反映污水处理厂工作情况</w:t>
            </w:r>
          </w:p>
        </w:tc>
        <w:tc>
          <w:tcPr>
            <w:tcW w:w="5386" w:type="dxa"/>
            <w:vAlign w:val="center"/>
          </w:tcPr>
          <w:p>
            <w:pPr>
              <w:pStyle w:val="13"/>
            </w:pPr>
            <w:r>
              <w:t>反映污水处理厂工作情况</w:t>
            </w:r>
          </w:p>
        </w:tc>
        <w:tc>
          <w:tcPr>
            <w:tcW w:w="2268" w:type="dxa"/>
            <w:vAlign w:val="center"/>
          </w:tcPr>
          <w:p>
            <w:pPr>
              <w:pStyle w:val="13"/>
            </w:pPr>
            <w:r>
              <w:t>反映污水处理厂工作情况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15、无极县污水处理厂提标改造及配套设施建设项目绩效目标表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13013025P00000210289Q</w:t>
            </w:r>
          </w:p>
        </w:tc>
        <w:tc>
          <w:tcPr>
            <w:tcW w:w="2835" w:type="dxa"/>
            <w:vAlign w:val="center"/>
          </w:tcPr>
          <w:p>
            <w:pPr>
              <w:pStyle w:val="11"/>
            </w:pPr>
            <w:r>
              <w:t>项目名称</w:t>
            </w:r>
          </w:p>
        </w:tc>
        <w:tc>
          <w:tcPr>
            <w:tcW w:w="6095" w:type="dxa"/>
            <w:gridSpan w:val="3"/>
            <w:vAlign w:val="center"/>
          </w:tcPr>
          <w:p>
            <w:pPr>
              <w:pStyle w:val="13"/>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1900.00</w:t>
            </w:r>
          </w:p>
        </w:tc>
        <w:tc>
          <w:tcPr>
            <w:tcW w:w="2835" w:type="dxa"/>
            <w:vAlign w:val="center"/>
          </w:tcPr>
          <w:p>
            <w:pPr>
              <w:pStyle w:val="11"/>
            </w:pPr>
            <w:r>
              <w:t>其中：财政    资金</w:t>
            </w:r>
          </w:p>
        </w:tc>
        <w:tc>
          <w:tcPr>
            <w:tcW w:w="2551" w:type="dxa"/>
            <w:vAlign w:val="center"/>
          </w:tcPr>
          <w:p>
            <w:pPr>
              <w:pStyle w:val="13"/>
            </w:pPr>
            <w:r>
              <w:t>1900.00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1900.00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1.无极县污水处理厂提标改造及配套设施建设项目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按时支付污水污泥处理费用</w:t>
            </w:r>
          </w:p>
        </w:tc>
        <w:tc>
          <w:tcPr>
            <w:tcW w:w="5386" w:type="dxa"/>
            <w:vAlign w:val="center"/>
          </w:tcPr>
          <w:p>
            <w:pPr>
              <w:pStyle w:val="13"/>
            </w:pPr>
            <w:r>
              <w:t>按时支付污水污泥处理费用</w:t>
            </w:r>
          </w:p>
        </w:tc>
        <w:tc>
          <w:tcPr>
            <w:tcW w:w="2268" w:type="dxa"/>
            <w:vAlign w:val="center"/>
          </w:tcPr>
          <w:p>
            <w:pPr>
              <w:pStyle w:val="13"/>
            </w:pPr>
            <w:r>
              <w:t>按时支付污水污泥处理费用</w:t>
            </w:r>
          </w:p>
        </w:tc>
        <w:tc>
          <w:tcPr>
            <w:tcW w:w="1276" w:type="dxa"/>
            <w:vAlign w:val="center"/>
          </w:tcPr>
          <w:p>
            <w:pPr>
              <w:pStyle w:val="13"/>
            </w:pPr>
            <w:r>
              <w:t>按时支付污水污泥处理费用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反映污水处理厂工作情况</w:t>
            </w:r>
          </w:p>
        </w:tc>
        <w:tc>
          <w:tcPr>
            <w:tcW w:w="5386" w:type="dxa"/>
            <w:vAlign w:val="center"/>
          </w:tcPr>
          <w:p>
            <w:pPr>
              <w:pStyle w:val="13"/>
            </w:pPr>
            <w:r>
              <w:t>反映污水处理厂工作情况</w:t>
            </w:r>
          </w:p>
        </w:tc>
        <w:tc>
          <w:tcPr>
            <w:tcW w:w="2268" w:type="dxa"/>
            <w:vAlign w:val="center"/>
          </w:tcPr>
          <w:p>
            <w:pPr>
              <w:pStyle w:val="13"/>
            </w:pPr>
            <w:r>
              <w:t>反映污水处理厂工作情况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16、无极县污水处理厂提标改造及配套设施建设项目绩效目标表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13013025P000002102904</w:t>
            </w:r>
          </w:p>
        </w:tc>
        <w:tc>
          <w:tcPr>
            <w:tcW w:w="2835" w:type="dxa"/>
            <w:vAlign w:val="center"/>
          </w:tcPr>
          <w:p>
            <w:pPr>
              <w:pStyle w:val="11"/>
            </w:pPr>
            <w:r>
              <w:t>项目名称</w:t>
            </w:r>
          </w:p>
        </w:tc>
        <w:tc>
          <w:tcPr>
            <w:tcW w:w="6095" w:type="dxa"/>
            <w:gridSpan w:val="3"/>
            <w:vAlign w:val="center"/>
          </w:tcPr>
          <w:p>
            <w:pPr>
              <w:pStyle w:val="13"/>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1453.79</w:t>
            </w:r>
          </w:p>
        </w:tc>
        <w:tc>
          <w:tcPr>
            <w:tcW w:w="2835" w:type="dxa"/>
            <w:vAlign w:val="center"/>
          </w:tcPr>
          <w:p>
            <w:pPr>
              <w:pStyle w:val="11"/>
            </w:pPr>
            <w:r>
              <w:t>其中：财政    资金</w:t>
            </w:r>
          </w:p>
        </w:tc>
        <w:tc>
          <w:tcPr>
            <w:tcW w:w="2551" w:type="dxa"/>
            <w:vAlign w:val="center"/>
          </w:tcPr>
          <w:p>
            <w:pPr>
              <w:pStyle w:val="13"/>
            </w:pPr>
            <w:r>
              <w:t>1453.79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1453.79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1.按时完成污水处理厂提标改造及配套设施建设项目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按时支付无极县污水处理厂提标改造及配套设施建设项目</w:t>
            </w:r>
            <w:r>
              <w:tab/>
            </w:r>
          </w:p>
          <w:p>
            <w:pPr>
              <w:pStyle w:val="13"/>
            </w:pPr>
            <w:r>
              <w:t>费用</w:t>
            </w:r>
          </w:p>
        </w:tc>
        <w:tc>
          <w:tcPr>
            <w:tcW w:w="5386" w:type="dxa"/>
            <w:vAlign w:val="center"/>
          </w:tcPr>
          <w:p>
            <w:pPr>
              <w:pStyle w:val="13"/>
            </w:pPr>
            <w:r>
              <w:t>按时支付无极县污水处理厂提标改造及配套设施建设项目</w:t>
            </w:r>
            <w:r>
              <w:tab/>
            </w:r>
          </w:p>
          <w:p>
            <w:pPr>
              <w:pStyle w:val="13"/>
            </w:pPr>
            <w:r>
              <w:t>费用</w:t>
            </w:r>
          </w:p>
        </w:tc>
        <w:tc>
          <w:tcPr>
            <w:tcW w:w="2268" w:type="dxa"/>
            <w:vAlign w:val="center"/>
          </w:tcPr>
          <w:p>
            <w:pPr>
              <w:pStyle w:val="13"/>
            </w:pPr>
            <w:r>
              <w:t>支付无极县污水处理厂提标改造及配套设施建设项目</w:t>
            </w:r>
            <w:r>
              <w:tab/>
            </w:r>
          </w:p>
          <w:p>
            <w:pPr>
              <w:pStyle w:val="13"/>
            </w:pPr>
            <w:r>
              <w:t>费用"</w:t>
            </w:r>
          </w:p>
          <w:p>
            <w:pPr>
              <w:pStyle w:val="13"/>
            </w:pP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满足我县水生态环境达标排放</w:t>
            </w:r>
          </w:p>
        </w:tc>
        <w:tc>
          <w:tcPr>
            <w:tcW w:w="5386" w:type="dxa"/>
            <w:vAlign w:val="center"/>
          </w:tcPr>
          <w:p>
            <w:pPr>
              <w:pStyle w:val="13"/>
            </w:pPr>
            <w:r>
              <w:t>保护县水生态环境</w:t>
            </w:r>
          </w:p>
        </w:tc>
        <w:tc>
          <w:tcPr>
            <w:tcW w:w="2268" w:type="dxa"/>
            <w:vAlign w:val="center"/>
          </w:tcPr>
          <w:p>
            <w:pPr>
              <w:pStyle w:val="13"/>
            </w:pPr>
            <w:r>
              <w:t>满足我县水生态环境达标排放</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确保污水达标排放</w:t>
            </w:r>
          </w:p>
        </w:tc>
        <w:tc>
          <w:tcPr>
            <w:tcW w:w="5386" w:type="dxa"/>
            <w:vAlign w:val="center"/>
          </w:tcPr>
          <w:p>
            <w:pPr>
              <w:pStyle w:val="13"/>
            </w:pPr>
            <w:r>
              <w:t>通过开展无极县域内污水，确保污水达标排放等工作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反映确保污水处理厂的正常运行和达标排放工作情况</w:t>
            </w:r>
          </w:p>
        </w:tc>
        <w:tc>
          <w:tcPr>
            <w:tcW w:w="5386" w:type="dxa"/>
            <w:vAlign w:val="center"/>
          </w:tcPr>
          <w:p>
            <w:pPr>
              <w:pStyle w:val="13"/>
            </w:pPr>
            <w:r>
              <w:t>反映确保污水处理厂的正常运行和达标排放工作情况</w:t>
            </w:r>
          </w:p>
        </w:tc>
        <w:tc>
          <w:tcPr>
            <w:tcW w:w="2268" w:type="dxa"/>
            <w:vAlign w:val="center"/>
          </w:tcPr>
          <w:p>
            <w:pPr>
              <w:pStyle w:val="13"/>
            </w:pPr>
            <w:r>
              <w:t>反映确保污水处理厂的正常运行和达标排放工作情况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17、无极县无害化垃圾处理场封场工程绩效目标表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13013025P00000210292B</w:t>
            </w:r>
          </w:p>
        </w:tc>
        <w:tc>
          <w:tcPr>
            <w:tcW w:w="2835" w:type="dxa"/>
            <w:vAlign w:val="center"/>
          </w:tcPr>
          <w:p>
            <w:pPr>
              <w:pStyle w:val="11"/>
            </w:pPr>
            <w:r>
              <w:t>项目名称</w:t>
            </w:r>
          </w:p>
        </w:tc>
        <w:tc>
          <w:tcPr>
            <w:tcW w:w="6095" w:type="dxa"/>
            <w:gridSpan w:val="3"/>
            <w:vAlign w:val="center"/>
          </w:tcPr>
          <w:p>
            <w:pPr>
              <w:pStyle w:val="13"/>
            </w:pPr>
            <w:r>
              <w:t>无极县无害化垃圾处理场封场工程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162.67</w:t>
            </w:r>
          </w:p>
        </w:tc>
        <w:tc>
          <w:tcPr>
            <w:tcW w:w="2835" w:type="dxa"/>
            <w:vAlign w:val="center"/>
          </w:tcPr>
          <w:p>
            <w:pPr>
              <w:pStyle w:val="11"/>
            </w:pPr>
            <w:r>
              <w:t>其中：财政    资金</w:t>
            </w:r>
          </w:p>
        </w:tc>
        <w:tc>
          <w:tcPr>
            <w:tcW w:w="2551" w:type="dxa"/>
            <w:vAlign w:val="center"/>
          </w:tcPr>
          <w:p>
            <w:pPr>
              <w:pStyle w:val="13"/>
            </w:pPr>
            <w:r>
              <w:t>162.67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无害化垃圾处理场封场工程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162.67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1.及时处理生活垃圾，保护生态环境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按时支付处理生活垃圾费用</w:t>
            </w:r>
          </w:p>
        </w:tc>
        <w:tc>
          <w:tcPr>
            <w:tcW w:w="5386" w:type="dxa"/>
            <w:vAlign w:val="center"/>
          </w:tcPr>
          <w:p>
            <w:pPr>
              <w:pStyle w:val="13"/>
            </w:pPr>
            <w:r>
              <w:t>按时支付处理生活垃圾费用</w:t>
            </w:r>
          </w:p>
        </w:tc>
        <w:tc>
          <w:tcPr>
            <w:tcW w:w="2268" w:type="dxa"/>
            <w:vAlign w:val="center"/>
          </w:tcPr>
          <w:p>
            <w:pPr>
              <w:pStyle w:val="13"/>
            </w:pPr>
            <w:r>
              <w:t>按时支付处理生活垃圾费用</w:t>
            </w:r>
          </w:p>
        </w:tc>
        <w:tc>
          <w:tcPr>
            <w:tcW w:w="1276" w:type="dxa"/>
            <w:vAlign w:val="center"/>
          </w:tcPr>
          <w:p>
            <w:pPr>
              <w:pStyle w:val="13"/>
            </w:pPr>
            <w:r>
              <w:t>按时支付处理生活垃圾费用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2D436B"/>
    <w:multiLevelType w:val="singleLevel"/>
    <w:tmpl w:val="FF2D436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F05227"/>
    <w:rsid w:val="68D44CFF"/>
    <w:rsid w:val="6BEF72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64</Pages>
  <TotalTime>1</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2026-02-26T14:35:00Z</dcterms:created>
  <dc:creator>hp</dc:creator>
  <cp:lastModifiedBy>hp</cp:lastModifiedBy>
  <dcterms:modified xsi:type="dcterms:W3CDTF">2026-02-26T06:35:01Z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