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一、无极县妇女联合会本级收支预算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一、无极县妇女联合会本级收支预算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713001无极县妇女联合会本级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52.92</w:t>
            </w:r>
          </w:p>
        </w:tc>
        <w:tc>
          <w:tcPr>
            <w:tcW w:w="4535" w:type="dxa"/>
            <w:vAlign w:val="center"/>
          </w:tcPr>
          <w:p>
            <w:pPr>
              <w:pStyle w:val="12"/>
            </w:pPr>
            <w:r>
              <w:t>一、一般公共服务支出</w:t>
            </w:r>
          </w:p>
        </w:tc>
        <w:tc>
          <w:tcPr>
            <w:tcW w:w="2126" w:type="dxa"/>
            <w:vAlign w:val="center"/>
          </w:tcPr>
          <w:p>
            <w:pPr>
              <w:pStyle w:val="11"/>
            </w:pPr>
            <w:r>
              <w:t>47.12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52.92</w:t>
            </w:r>
          </w:p>
        </w:tc>
        <w:tc>
          <w:tcPr>
            <w:tcW w:w="4535" w:type="dxa"/>
            <w:vAlign w:val="center"/>
          </w:tcPr>
          <w:p>
            <w:pPr>
              <w:pStyle w:val="14"/>
            </w:pPr>
            <w:r>
              <w:t>本年支出合计</w:t>
            </w:r>
          </w:p>
        </w:tc>
        <w:tc>
          <w:tcPr>
            <w:tcW w:w="2126" w:type="dxa"/>
            <w:vAlign w:val="center"/>
          </w:tcPr>
          <w:p>
            <w:pPr>
              <w:pStyle w:val="15"/>
            </w:pPr>
            <w:r>
              <w:t>52.92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52.92</w:t>
            </w:r>
          </w:p>
        </w:tc>
        <w:tc>
          <w:tcPr>
            <w:tcW w:w="4535" w:type="dxa"/>
            <w:vAlign w:val="center"/>
          </w:tcPr>
          <w:p>
            <w:pPr>
              <w:pStyle w:val="14"/>
            </w:pPr>
            <w:r>
              <w:t>支出总计</w:t>
            </w:r>
          </w:p>
        </w:tc>
        <w:tc>
          <w:tcPr>
            <w:tcW w:w="2126" w:type="dxa"/>
            <w:vAlign w:val="center"/>
          </w:tcPr>
          <w:p>
            <w:pPr>
              <w:pStyle w:val="15"/>
            </w:pPr>
            <w:r>
              <w:t>52.92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713001无极县妇女联合会本级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52.92</w:t>
            </w:r>
          </w:p>
        </w:tc>
        <w:tc>
          <w:tcPr>
            <w:tcW w:w="1134" w:type="dxa"/>
            <w:vAlign w:val="center"/>
          </w:tcPr>
          <w:p>
            <w:pPr>
              <w:pStyle w:val="15"/>
            </w:pPr>
            <w:r>
              <w:t>52.92</w:t>
            </w:r>
          </w:p>
        </w:tc>
        <w:tc>
          <w:tcPr>
            <w:tcW w:w="1134" w:type="dxa"/>
            <w:vAlign w:val="center"/>
          </w:tcPr>
          <w:p>
            <w:pPr>
              <w:pStyle w:val="15"/>
            </w:pPr>
            <w:r>
              <w:t>52.92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47.12</w:t>
            </w:r>
          </w:p>
        </w:tc>
        <w:tc>
          <w:tcPr>
            <w:tcW w:w="1134" w:type="dxa"/>
            <w:vAlign w:val="center"/>
          </w:tcPr>
          <w:p>
            <w:pPr>
              <w:pStyle w:val="11"/>
            </w:pPr>
            <w:r>
              <w:t>47.12</w:t>
            </w:r>
          </w:p>
        </w:tc>
        <w:tc>
          <w:tcPr>
            <w:tcW w:w="1134" w:type="dxa"/>
            <w:vAlign w:val="center"/>
          </w:tcPr>
          <w:p>
            <w:pPr>
              <w:pStyle w:val="11"/>
            </w:pPr>
            <w:r>
              <w:t>47.12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47.12</w:t>
            </w:r>
          </w:p>
        </w:tc>
        <w:tc>
          <w:tcPr>
            <w:tcW w:w="1134" w:type="dxa"/>
            <w:vAlign w:val="center"/>
          </w:tcPr>
          <w:p>
            <w:pPr>
              <w:pStyle w:val="11"/>
            </w:pPr>
            <w:r>
              <w:t>47.12</w:t>
            </w:r>
          </w:p>
        </w:tc>
        <w:tc>
          <w:tcPr>
            <w:tcW w:w="1134" w:type="dxa"/>
            <w:vAlign w:val="center"/>
          </w:tcPr>
          <w:p>
            <w:pPr>
              <w:pStyle w:val="11"/>
            </w:pPr>
            <w:r>
              <w:t>47.12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47.12</w:t>
            </w:r>
          </w:p>
        </w:tc>
        <w:tc>
          <w:tcPr>
            <w:tcW w:w="1134" w:type="dxa"/>
            <w:vAlign w:val="center"/>
          </w:tcPr>
          <w:p>
            <w:pPr>
              <w:pStyle w:val="11"/>
            </w:pPr>
            <w:r>
              <w:t>47.12</w:t>
            </w:r>
          </w:p>
        </w:tc>
        <w:tc>
          <w:tcPr>
            <w:tcW w:w="1134" w:type="dxa"/>
            <w:vAlign w:val="center"/>
          </w:tcPr>
          <w:p>
            <w:pPr>
              <w:pStyle w:val="11"/>
            </w:pPr>
            <w:r>
              <w:t>47.12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4.20</w:t>
            </w:r>
          </w:p>
        </w:tc>
        <w:tc>
          <w:tcPr>
            <w:tcW w:w="1134" w:type="dxa"/>
            <w:vAlign w:val="center"/>
          </w:tcPr>
          <w:p>
            <w:pPr>
              <w:pStyle w:val="11"/>
            </w:pPr>
            <w:r>
              <w:t>4.20</w:t>
            </w:r>
          </w:p>
        </w:tc>
        <w:tc>
          <w:tcPr>
            <w:tcW w:w="1134" w:type="dxa"/>
            <w:vAlign w:val="center"/>
          </w:tcPr>
          <w:p>
            <w:pPr>
              <w:pStyle w:val="11"/>
            </w:pPr>
            <w:r>
              <w:t>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4.20</w:t>
            </w:r>
          </w:p>
        </w:tc>
        <w:tc>
          <w:tcPr>
            <w:tcW w:w="1134" w:type="dxa"/>
            <w:vAlign w:val="center"/>
          </w:tcPr>
          <w:p>
            <w:pPr>
              <w:pStyle w:val="11"/>
            </w:pPr>
            <w:r>
              <w:t>4.20</w:t>
            </w:r>
          </w:p>
        </w:tc>
        <w:tc>
          <w:tcPr>
            <w:tcW w:w="1134" w:type="dxa"/>
            <w:vAlign w:val="center"/>
          </w:tcPr>
          <w:p>
            <w:pPr>
              <w:pStyle w:val="11"/>
            </w:pPr>
            <w:r>
              <w:t>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4.20</w:t>
            </w:r>
          </w:p>
        </w:tc>
        <w:tc>
          <w:tcPr>
            <w:tcW w:w="1134" w:type="dxa"/>
            <w:vAlign w:val="center"/>
          </w:tcPr>
          <w:p>
            <w:pPr>
              <w:pStyle w:val="11"/>
            </w:pPr>
            <w:r>
              <w:t>4.20</w:t>
            </w:r>
          </w:p>
        </w:tc>
        <w:tc>
          <w:tcPr>
            <w:tcW w:w="1134" w:type="dxa"/>
            <w:vAlign w:val="center"/>
          </w:tcPr>
          <w:p>
            <w:pPr>
              <w:pStyle w:val="11"/>
            </w:pPr>
            <w:r>
              <w:t>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52.92</w:t>
            </w:r>
          </w:p>
        </w:tc>
        <w:tc>
          <w:tcPr>
            <w:tcW w:w="1361" w:type="dxa"/>
            <w:vAlign w:val="center"/>
          </w:tcPr>
          <w:p>
            <w:pPr>
              <w:pStyle w:val="15"/>
            </w:pPr>
            <w:r>
              <w:t>52.92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47.12</w:t>
            </w:r>
          </w:p>
        </w:tc>
        <w:tc>
          <w:tcPr>
            <w:tcW w:w="1361" w:type="dxa"/>
            <w:vAlign w:val="center"/>
          </w:tcPr>
          <w:p>
            <w:pPr>
              <w:pStyle w:val="11"/>
            </w:pPr>
            <w:r>
              <w:t>47.12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47.12</w:t>
            </w:r>
          </w:p>
        </w:tc>
        <w:tc>
          <w:tcPr>
            <w:tcW w:w="1361" w:type="dxa"/>
            <w:vAlign w:val="center"/>
          </w:tcPr>
          <w:p>
            <w:pPr>
              <w:pStyle w:val="11"/>
            </w:pPr>
            <w:r>
              <w:t>47.12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47.12</w:t>
            </w:r>
          </w:p>
        </w:tc>
        <w:tc>
          <w:tcPr>
            <w:tcW w:w="1361" w:type="dxa"/>
            <w:vAlign w:val="center"/>
          </w:tcPr>
          <w:p>
            <w:pPr>
              <w:pStyle w:val="11"/>
            </w:pPr>
            <w:r>
              <w:t>47.12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4.20</w:t>
            </w:r>
          </w:p>
        </w:tc>
        <w:tc>
          <w:tcPr>
            <w:tcW w:w="1361" w:type="dxa"/>
            <w:vAlign w:val="center"/>
          </w:tcPr>
          <w:p>
            <w:pPr>
              <w:pStyle w:val="11"/>
            </w:pPr>
            <w:r>
              <w:t>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4.20</w:t>
            </w:r>
          </w:p>
        </w:tc>
        <w:tc>
          <w:tcPr>
            <w:tcW w:w="1361" w:type="dxa"/>
            <w:vAlign w:val="center"/>
          </w:tcPr>
          <w:p>
            <w:pPr>
              <w:pStyle w:val="11"/>
            </w:pPr>
            <w:r>
              <w:t>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4.20</w:t>
            </w:r>
          </w:p>
        </w:tc>
        <w:tc>
          <w:tcPr>
            <w:tcW w:w="1361" w:type="dxa"/>
            <w:vAlign w:val="center"/>
          </w:tcPr>
          <w:p>
            <w:pPr>
              <w:pStyle w:val="11"/>
            </w:pPr>
            <w:r>
              <w:t>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1.60</w:t>
            </w:r>
          </w:p>
        </w:tc>
        <w:tc>
          <w:tcPr>
            <w:tcW w:w="1361" w:type="dxa"/>
            <w:vAlign w:val="center"/>
          </w:tcPr>
          <w:p>
            <w:pPr>
              <w:pStyle w:val="11"/>
            </w:pPr>
            <w:r>
              <w:t>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1.60</w:t>
            </w:r>
          </w:p>
        </w:tc>
        <w:tc>
          <w:tcPr>
            <w:tcW w:w="1361" w:type="dxa"/>
            <w:vAlign w:val="center"/>
          </w:tcPr>
          <w:p>
            <w:pPr>
              <w:pStyle w:val="11"/>
            </w:pPr>
            <w:r>
              <w:t>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1.60</w:t>
            </w:r>
          </w:p>
        </w:tc>
        <w:tc>
          <w:tcPr>
            <w:tcW w:w="1361" w:type="dxa"/>
            <w:vAlign w:val="center"/>
          </w:tcPr>
          <w:p>
            <w:pPr>
              <w:pStyle w:val="11"/>
            </w:pPr>
            <w:r>
              <w:t>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52.92</w:t>
            </w:r>
          </w:p>
        </w:tc>
        <w:tc>
          <w:tcPr>
            <w:tcW w:w="3402" w:type="dxa"/>
            <w:vAlign w:val="center"/>
          </w:tcPr>
          <w:p>
            <w:pPr>
              <w:pStyle w:val="12"/>
            </w:pPr>
            <w:r>
              <w:t>一、一般公共服务支出</w:t>
            </w:r>
          </w:p>
        </w:tc>
        <w:tc>
          <w:tcPr>
            <w:tcW w:w="1474" w:type="dxa"/>
            <w:vAlign w:val="center"/>
          </w:tcPr>
          <w:p>
            <w:pPr>
              <w:pStyle w:val="11"/>
            </w:pPr>
            <w:r>
              <w:t>47.12</w:t>
            </w:r>
          </w:p>
        </w:tc>
        <w:tc>
          <w:tcPr>
            <w:tcW w:w="1474" w:type="dxa"/>
            <w:vAlign w:val="center"/>
          </w:tcPr>
          <w:p>
            <w:pPr>
              <w:pStyle w:val="11"/>
            </w:pPr>
            <w:r>
              <w:t>47.12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4.20</w:t>
            </w:r>
          </w:p>
        </w:tc>
        <w:tc>
          <w:tcPr>
            <w:tcW w:w="1474" w:type="dxa"/>
            <w:vAlign w:val="center"/>
          </w:tcPr>
          <w:p>
            <w:pPr>
              <w:pStyle w:val="11"/>
            </w:pPr>
            <w:r>
              <w:t>4.20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1.60</w:t>
            </w:r>
          </w:p>
        </w:tc>
        <w:tc>
          <w:tcPr>
            <w:tcW w:w="1474" w:type="dxa"/>
            <w:vAlign w:val="center"/>
          </w:tcPr>
          <w:p>
            <w:pPr>
              <w:pStyle w:val="11"/>
            </w:pPr>
            <w:r>
              <w:t>1.60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52.92</w:t>
            </w:r>
          </w:p>
        </w:tc>
        <w:tc>
          <w:tcPr>
            <w:tcW w:w="3402" w:type="dxa"/>
            <w:vAlign w:val="center"/>
          </w:tcPr>
          <w:p>
            <w:pPr>
              <w:pStyle w:val="14"/>
            </w:pPr>
            <w:r>
              <w:t>本年支出合计</w:t>
            </w:r>
          </w:p>
        </w:tc>
        <w:tc>
          <w:tcPr>
            <w:tcW w:w="1474" w:type="dxa"/>
            <w:vAlign w:val="center"/>
          </w:tcPr>
          <w:p>
            <w:pPr>
              <w:pStyle w:val="15"/>
            </w:pPr>
            <w:r>
              <w:t>52.92</w:t>
            </w:r>
          </w:p>
        </w:tc>
        <w:tc>
          <w:tcPr>
            <w:tcW w:w="1474" w:type="dxa"/>
            <w:vAlign w:val="center"/>
          </w:tcPr>
          <w:p>
            <w:pPr>
              <w:pStyle w:val="15"/>
            </w:pPr>
            <w:r>
              <w:t>52.92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52.92</w:t>
            </w:r>
          </w:p>
        </w:tc>
        <w:tc>
          <w:tcPr>
            <w:tcW w:w="3402" w:type="dxa"/>
            <w:vAlign w:val="center"/>
          </w:tcPr>
          <w:p>
            <w:pPr>
              <w:pStyle w:val="14"/>
            </w:pPr>
            <w:r>
              <w:t>支出总计</w:t>
            </w:r>
          </w:p>
        </w:tc>
        <w:tc>
          <w:tcPr>
            <w:tcW w:w="1474" w:type="dxa"/>
            <w:vAlign w:val="center"/>
          </w:tcPr>
          <w:p>
            <w:pPr>
              <w:pStyle w:val="15"/>
            </w:pPr>
            <w:r>
              <w:t>52.92</w:t>
            </w:r>
          </w:p>
        </w:tc>
        <w:tc>
          <w:tcPr>
            <w:tcW w:w="1474" w:type="dxa"/>
            <w:vAlign w:val="center"/>
          </w:tcPr>
          <w:p>
            <w:pPr>
              <w:pStyle w:val="15"/>
            </w:pPr>
            <w:r>
              <w:t>52.92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52.92</w:t>
            </w:r>
          </w:p>
        </w:tc>
        <w:tc>
          <w:tcPr>
            <w:tcW w:w="2551" w:type="dxa"/>
            <w:vAlign w:val="center"/>
          </w:tcPr>
          <w:p>
            <w:pPr>
              <w:pStyle w:val="15"/>
            </w:pPr>
            <w:r>
              <w:t>52.92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47.12</w:t>
            </w:r>
          </w:p>
        </w:tc>
        <w:tc>
          <w:tcPr>
            <w:tcW w:w="2551" w:type="dxa"/>
            <w:vAlign w:val="center"/>
          </w:tcPr>
          <w:p>
            <w:pPr>
              <w:pStyle w:val="11"/>
            </w:pPr>
            <w:r>
              <w:t>47.12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47.12</w:t>
            </w:r>
          </w:p>
        </w:tc>
        <w:tc>
          <w:tcPr>
            <w:tcW w:w="2551" w:type="dxa"/>
            <w:vAlign w:val="center"/>
          </w:tcPr>
          <w:p>
            <w:pPr>
              <w:pStyle w:val="11"/>
            </w:pPr>
            <w:r>
              <w:t>47.12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47.12</w:t>
            </w:r>
          </w:p>
        </w:tc>
        <w:tc>
          <w:tcPr>
            <w:tcW w:w="2551" w:type="dxa"/>
            <w:vAlign w:val="center"/>
          </w:tcPr>
          <w:p>
            <w:pPr>
              <w:pStyle w:val="11"/>
            </w:pPr>
            <w:r>
              <w:t>47.12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4.20</w:t>
            </w:r>
          </w:p>
        </w:tc>
        <w:tc>
          <w:tcPr>
            <w:tcW w:w="2551" w:type="dxa"/>
            <w:vAlign w:val="center"/>
          </w:tcPr>
          <w:p>
            <w:pPr>
              <w:pStyle w:val="11"/>
            </w:pPr>
            <w:r>
              <w:t>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4.20</w:t>
            </w:r>
          </w:p>
        </w:tc>
        <w:tc>
          <w:tcPr>
            <w:tcW w:w="2551" w:type="dxa"/>
            <w:vAlign w:val="center"/>
          </w:tcPr>
          <w:p>
            <w:pPr>
              <w:pStyle w:val="11"/>
            </w:pPr>
            <w:r>
              <w:t>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4.20</w:t>
            </w:r>
          </w:p>
        </w:tc>
        <w:tc>
          <w:tcPr>
            <w:tcW w:w="2551" w:type="dxa"/>
            <w:vAlign w:val="center"/>
          </w:tcPr>
          <w:p>
            <w:pPr>
              <w:pStyle w:val="11"/>
            </w:pPr>
            <w:r>
              <w:t>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52.92</w:t>
            </w:r>
          </w:p>
        </w:tc>
        <w:tc>
          <w:tcPr>
            <w:tcW w:w="2551" w:type="dxa"/>
            <w:vAlign w:val="center"/>
          </w:tcPr>
          <w:p>
            <w:pPr>
              <w:pStyle w:val="15"/>
            </w:pPr>
            <w:r>
              <w:t>47.22</w:t>
            </w:r>
          </w:p>
        </w:tc>
        <w:tc>
          <w:tcPr>
            <w:tcW w:w="2551" w:type="dxa"/>
            <w:vAlign w:val="center"/>
          </w:tcPr>
          <w:p>
            <w:pPr>
              <w:pStyle w:val="15"/>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34.72</w:t>
            </w:r>
          </w:p>
        </w:tc>
        <w:tc>
          <w:tcPr>
            <w:tcW w:w="2551" w:type="dxa"/>
            <w:vAlign w:val="center"/>
          </w:tcPr>
          <w:p>
            <w:pPr>
              <w:pStyle w:val="11"/>
            </w:pPr>
            <w:r>
              <w:t>34.72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7.10</w:t>
            </w:r>
          </w:p>
        </w:tc>
        <w:tc>
          <w:tcPr>
            <w:tcW w:w="2551" w:type="dxa"/>
            <w:vAlign w:val="center"/>
          </w:tcPr>
          <w:p>
            <w:pPr>
              <w:pStyle w:val="11"/>
            </w:pPr>
            <w:r>
              <w:t>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6.68</w:t>
            </w:r>
          </w:p>
        </w:tc>
        <w:tc>
          <w:tcPr>
            <w:tcW w:w="2551" w:type="dxa"/>
            <w:vAlign w:val="center"/>
          </w:tcPr>
          <w:p>
            <w:pPr>
              <w:pStyle w:val="11"/>
            </w:pPr>
            <w:r>
              <w:t>6.68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4.20</w:t>
            </w:r>
          </w:p>
        </w:tc>
        <w:tc>
          <w:tcPr>
            <w:tcW w:w="2551" w:type="dxa"/>
            <w:vAlign w:val="center"/>
          </w:tcPr>
          <w:p>
            <w:pPr>
              <w:pStyle w:val="11"/>
            </w:pPr>
            <w:r>
              <w:t>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0.14</w:t>
            </w:r>
          </w:p>
        </w:tc>
        <w:tc>
          <w:tcPr>
            <w:tcW w:w="2551" w:type="dxa"/>
            <w:vAlign w:val="center"/>
          </w:tcPr>
          <w:p>
            <w:pPr>
              <w:pStyle w:val="11"/>
            </w:pPr>
            <w:r>
              <w:t>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5.70</w:t>
            </w:r>
          </w:p>
        </w:tc>
        <w:tc>
          <w:tcPr>
            <w:tcW w:w="2551" w:type="dxa"/>
            <w:vAlign w:val="center"/>
          </w:tcPr>
          <w:p>
            <w:pPr>
              <w:pStyle w:val="11"/>
            </w:pPr>
          </w:p>
        </w:tc>
        <w:tc>
          <w:tcPr>
            <w:tcW w:w="2551" w:type="dxa"/>
            <w:vAlign w:val="center"/>
          </w:tcPr>
          <w:p>
            <w:pPr>
              <w:pStyle w:val="11"/>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1.70</w:t>
            </w:r>
          </w:p>
        </w:tc>
        <w:tc>
          <w:tcPr>
            <w:tcW w:w="2551" w:type="dxa"/>
            <w:vAlign w:val="center"/>
          </w:tcPr>
          <w:p>
            <w:pPr>
              <w:pStyle w:val="11"/>
            </w:pPr>
          </w:p>
        </w:tc>
        <w:tc>
          <w:tcPr>
            <w:tcW w:w="2551" w:type="dxa"/>
            <w:vAlign w:val="center"/>
          </w:tcPr>
          <w:p>
            <w:pPr>
              <w:pStyle w:val="11"/>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12.50</w:t>
            </w:r>
          </w:p>
        </w:tc>
        <w:tc>
          <w:tcPr>
            <w:tcW w:w="2551" w:type="dxa"/>
            <w:vAlign w:val="center"/>
          </w:tcPr>
          <w:p>
            <w:pPr>
              <w:pStyle w:val="11"/>
            </w:pPr>
            <w:r>
              <w:t>12.50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12.50</w:t>
            </w:r>
          </w:p>
        </w:tc>
        <w:tc>
          <w:tcPr>
            <w:tcW w:w="2551" w:type="dxa"/>
            <w:vAlign w:val="center"/>
          </w:tcPr>
          <w:p>
            <w:pPr>
              <w:pStyle w:val="11"/>
            </w:pPr>
            <w:r>
              <w:t>12.50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无极县妇女联合会本级2026年单位预算信息公开情况说明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按照《中华人民共和国预算法》、《地方预决算公开操作规程》和《关于进一步推进预算公开工作的实施意见》规定，现将无极县妇女联合会本级2026年单位预算公开如下：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在上级部门的正确领导下，紧紧围绕县委县政府中心工作，制定了各项职能绩效目标，在推动科学发展、后发赶超、同步小康和妇女儿童事业发展中发挥重要作用。县妇联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在妇女儿童事务管理达标中设置出“优、良、中、差”四个档次，力争达优。</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无极县妇女联合会本级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52.92万元，其中：一般公共预算收入52.92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妇女联合会本级年度单位预算中支出预算的总体情况。2026年支出预算52.92万元，其中基本支出52.92万元，包括人员经费47.22万元和日常公用经费5.70万元；项目支出0.00万元，主要为本单位无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2026年预算收支安排52.92万元，较2025年预算减少12.88万元，其中：基本支出减少12.88万元，主要为人员减少。项目支出增加0.00万元，主要为本单位今年与去年相比项目金额一样</w:t>
      </w:r>
      <w:bookmarkStart w:id="1" w:name="_GoBack"/>
      <w:bookmarkEnd w:id="1"/>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2026年，我单位机关运行经费共计安排5.70万元，主要用于日常维修、办公用房水电费、办公用房取暖费、办公用房物业管理费等日常运行支出。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单位无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713001无极县妇女联合会本级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无极县妇女联合会本级上年末固定资产金额为8.11万元（详见下表）。本年度拟购置固定资产总额为0.00万元，已按要求列入政府采购预算，详见政府采购预算表。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713001无极县妇女联合会本级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29</w:t>
            </w:r>
          </w:p>
        </w:tc>
        <w:tc>
          <w:tcPr>
            <w:tcW w:w="2835" w:type="dxa"/>
            <w:vAlign w:val="center"/>
          </w:tcPr>
          <w:p>
            <w:pPr>
              <w:pStyle w:val="11"/>
            </w:pPr>
            <w:r>
              <w:t>8.11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9A4467"/>
    <w:rsid w:val="6B3D5D1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20</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2026-02-25T15:26:00Z</dcterms:created>
  <dc:creator>Administrator</dc:creator>
  <cp:lastModifiedBy>Administrator</cp:lastModifiedBy>
  <dcterms:modified xsi:type="dcterms:W3CDTF">2026-02-28T01:20:28Z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8E45CACC344C40CE899EFF055C394E12</vt:lpwstr>
  </property>
</Properties>
</file>