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319001无极县审计局本级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407.81</w:t>
            </w:r>
          </w:p>
        </w:tc>
        <w:tc>
          <w:tcPr>
            <w:tcW w:w="4535" w:type="dxa"/>
            <w:vAlign w:val="center"/>
          </w:tcPr>
          <w:p>
            <w:pPr>
              <w:pStyle w:val="12"/>
            </w:pPr>
            <w:r>
              <w:t>一、一般公共服务支出</w:t>
            </w:r>
          </w:p>
        </w:tc>
        <w:tc>
          <w:tcPr>
            <w:tcW w:w="2126" w:type="dxa"/>
            <w:vAlign w:val="center"/>
          </w:tcPr>
          <w:p>
            <w:pPr>
              <w:pStyle w:val="11"/>
            </w:pPr>
            <w:r>
              <w:t>376.82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407.81</w:t>
            </w:r>
          </w:p>
        </w:tc>
        <w:tc>
          <w:tcPr>
            <w:tcW w:w="4535" w:type="dxa"/>
            <w:vAlign w:val="center"/>
          </w:tcPr>
          <w:p>
            <w:pPr>
              <w:pStyle w:val="14"/>
            </w:pPr>
            <w:r>
              <w:t>本年支出合计</w:t>
            </w:r>
          </w:p>
        </w:tc>
        <w:tc>
          <w:tcPr>
            <w:tcW w:w="2126" w:type="dxa"/>
            <w:vAlign w:val="center"/>
          </w:tcPr>
          <w:p>
            <w:pPr>
              <w:pStyle w:val="15"/>
            </w:pPr>
            <w:r>
              <w:t>415.82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8.01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415.82</w:t>
            </w:r>
          </w:p>
        </w:tc>
        <w:tc>
          <w:tcPr>
            <w:tcW w:w="4535" w:type="dxa"/>
            <w:vAlign w:val="center"/>
          </w:tcPr>
          <w:p>
            <w:pPr>
              <w:pStyle w:val="14"/>
            </w:pPr>
            <w:r>
              <w:t>支出总计</w:t>
            </w:r>
          </w:p>
        </w:tc>
        <w:tc>
          <w:tcPr>
            <w:tcW w:w="2126" w:type="dxa"/>
            <w:vAlign w:val="center"/>
          </w:tcPr>
          <w:p>
            <w:pPr>
              <w:pStyle w:val="15"/>
            </w:pPr>
            <w:r>
              <w:t>415.82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415.82</w:t>
            </w:r>
          </w:p>
        </w:tc>
        <w:tc>
          <w:tcPr>
            <w:tcW w:w="1134" w:type="dxa"/>
            <w:vAlign w:val="center"/>
          </w:tcPr>
          <w:p>
            <w:pPr>
              <w:pStyle w:val="15"/>
            </w:pPr>
            <w:r>
              <w:t>407.81</w:t>
            </w:r>
          </w:p>
        </w:tc>
        <w:tc>
          <w:tcPr>
            <w:tcW w:w="1134" w:type="dxa"/>
            <w:vAlign w:val="center"/>
          </w:tcPr>
          <w:p>
            <w:pPr>
              <w:pStyle w:val="15"/>
            </w:pPr>
            <w:r>
              <w:t>407.81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376.82</w:t>
            </w:r>
          </w:p>
        </w:tc>
        <w:tc>
          <w:tcPr>
            <w:tcW w:w="1134" w:type="dxa"/>
            <w:vAlign w:val="center"/>
          </w:tcPr>
          <w:p>
            <w:pPr>
              <w:pStyle w:val="11"/>
            </w:pPr>
            <w:r>
              <w:t>368.81</w:t>
            </w:r>
          </w:p>
        </w:tc>
        <w:tc>
          <w:tcPr>
            <w:tcW w:w="1134" w:type="dxa"/>
            <w:vAlign w:val="center"/>
          </w:tcPr>
          <w:p>
            <w:pPr>
              <w:pStyle w:val="11"/>
            </w:pPr>
            <w:r>
              <w:t>368.81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376.82</w:t>
            </w:r>
          </w:p>
        </w:tc>
        <w:tc>
          <w:tcPr>
            <w:tcW w:w="1134" w:type="dxa"/>
            <w:vAlign w:val="center"/>
          </w:tcPr>
          <w:p>
            <w:pPr>
              <w:pStyle w:val="11"/>
            </w:pPr>
            <w:r>
              <w:t>368.81</w:t>
            </w:r>
          </w:p>
        </w:tc>
        <w:tc>
          <w:tcPr>
            <w:tcW w:w="1134" w:type="dxa"/>
            <w:vAlign w:val="center"/>
          </w:tcPr>
          <w:p>
            <w:pPr>
              <w:pStyle w:val="11"/>
            </w:pPr>
            <w:r>
              <w:t>368.81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348.81</w:t>
            </w:r>
          </w:p>
        </w:tc>
        <w:tc>
          <w:tcPr>
            <w:tcW w:w="1134" w:type="dxa"/>
            <w:vAlign w:val="center"/>
          </w:tcPr>
          <w:p>
            <w:pPr>
              <w:pStyle w:val="11"/>
            </w:pPr>
            <w:r>
              <w:t>348.81</w:t>
            </w:r>
          </w:p>
        </w:tc>
        <w:tc>
          <w:tcPr>
            <w:tcW w:w="1134" w:type="dxa"/>
            <w:vAlign w:val="center"/>
          </w:tcPr>
          <w:p>
            <w:pPr>
              <w:pStyle w:val="11"/>
            </w:pPr>
            <w:r>
              <w:t>348.81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2010899</w:t>
            </w:r>
          </w:p>
        </w:tc>
        <w:tc>
          <w:tcPr>
            <w:tcW w:w="1559" w:type="dxa"/>
            <w:vAlign w:val="center"/>
          </w:tcPr>
          <w:p>
            <w:pPr>
              <w:pStyle w:val="12"/>
            </w:pPr>
            <w:r>
              <w:t>其他审计事务支出</w:t>
            </w:r>
          </w:p>
        </w:tc>
        <w:tc>
          <w:tcPr>
            <w:tcW w:w="1134" w:type="dxa"/>
            <w:vAlign w:val="center"/>
          </w:tcPr>
          <w:p>
            <w:pPr>
              <w:pStyle w:val="11"/>
            </w:pPr>
            <w:r>
              <w:t>28.01</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415.82</w:t>
            </w:r>
          </w:p>
        </w:tc>
        <w:tc>
          <w:tcPr>
            <w:tcW w:w="1361" w:type="dxa"/>
            <w:vAlign w:val="center"/>
          </w:tcPr>
          <w:p>
            <w:pPr>
              <w:pStyle w:val="15"/>
            </w:pPr>
            <w:r>
              <w:t>387.81</w:t>
            </w:r>
          </w:p>
        </w:tc>
        <w:tc>
          <w:tcPr>
            <w:tcW w:w="1361" w:type="dxa"/>
            <w:vAlign w:val="center"/>
          </w:tcPr>
          <w:p>
            <w:pPr>
              <w:pStyle w:val="15"/>
            </w:pPr>
            <w:r>
              <w:t>28.01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376.82</w:t>
            </w:r>
          </w:p>
        </w:tc>
        <w:tc>
          <w:tcPr>
            <w:tcW w:w="1361" w:type="dxa"/>
            <w:vAlign w:val="center"/>
          </w:tcPr>
          <w:p>
            <w:pPr>
              <w:pStyle w:val="11"/>
            </w:pPr>
            <w:r>
              <w:t>348.81</w:t>
            </w:r>
          </w:p>
        </w:tc>
        <w:tc>
          <w:tcPr>
            <w:tcW w:w="1361" w:type="dxa"/>
            <w:vAlign w:val="center"/>
          </w:tcPr>
          <w:p>
            <w:pPr>
              <w:pStyle w:val="11"/>
            </w:pPr>
            <w:r>
              <w:t>28.01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376.82</w:t>
            </w:r>
          </w:p>
        </w:tc>
        <w:tc>
          <w:tcPr>
            <w:tcW w:w="1361" w:type="dxa"/>
            <w:vAlign w:val="center"/>
          </w:tcPr>
          <w:p>
            <w:pPr>
              <w:pStyle w:val="11"/>
            </w:pPr>
            <w:r>
              <w:t>348.81</w:t>
            </w:r>
          </w:p>
        </w:tc>
        <w:tc>
          <w:tcPr>
            <w:tcW w:w="1361" w:type="dxa"/>
            <w:vAlign w:val="center"/>
          </w:tcPr>
          <w:p>
            <w:pPr>
              <w:pStyle w:val="11"/>
            </w:pPr>
            <w:r>
              <w:t>28.01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348.81</w:t>
            </w:r>
          </w:p>
        </w:tc>
        <w:tc>
          <w:tcPr>
            <w:tcW w:w="1361" w:type="dxa"/>
            <w:vAlign w:val="center"/>
          </w:tcPr>
          <w:p>
            <w:pPr>
              <w:pStyle w:val="11"/>
            </w:pPr>
            <w:r>
              <w:t>348.81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2010899</w:t>
            </w:r>
          </w:p>
        </w:tc>
        <w:tc>
          <w:tcPr>
            <w:tcW w:w="4535" w:type="dxa"/>
            <w:vAlign w:val="center"/>
          </w:tcPr>
          <w:p>
            <w:pPr>
              <w:pStyle w:val="12"/>
            </w:pPr>
            <w:r>
              <w:t>其他审计事务支出</w:t>
            </w:r>
          </w:p>
        </w:tc>
        <w:tc>
          <w:tcPr>
            <w:tcW w:w="1361" w:type="dxa"/>
            <w:vAlign w:val="center"/>
          </w:tcPr>
          <w:p>
            <w:pPr>
              <w:pStyle w:val="11"/>
            </w:pPr>
            <w:r>
              <w:t>28.01</w:t>
            </w:r>
          </w:p>
        </w:tc>
        <w:tc>
          <w:tcPr>
            <w:tcW w:w="1361" w:type="dxa"/>
            <w:vAlign w:val="center"/>
          </w:tcPr>
          <w:p>
            <w:pPr>
              <w:pStyle w:val="11"/>
            </w:pPr>
          </w:p>
        </w:tc>
        <w:tc>
          <w:tcPr>
            <w:tcW w:w="1361" w:type="dxa"/>
            <w:vAlign w:val="center"/>
          </w:tcPr>
          <w:p>
            <w:pPr>
              <w:pStyle w:val="11"/>
            </w:pPr>
            <w:r>
              <w:t>28.01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407.81</w:t>
            </w:r>
          </w:p>
        </w:tc>
        <w:tc>
          <w:tcPr>
            <w:tcW w:w="3402" w:type="dxa"/>
            <w:vAlign w:val="center"/>
          </w:tcPr>
          <w:p>
            <w:pPr>
              <w:pStyle w:val="12"/>
            </w:pPr>
            <w:r>
              <w:t>一、一般公共服务支出</w:t>
            </w:r>
          </w:p>
        </w:tc>
        <w:tc>
          <w:tcPr>
            <w:tcW w:w="1474" w:type="dxa"/>
            <w:vAlign w:val="center"/>
          </w:tcPr>
          <w:p>
            <w:pPr>
              <w:pStyle w:val="11"/>
            </w:pPr>
            <w:r>
              <w:t>376.82</w:t>
            </w:r>
          </w:p>
        </w:tc>
        <w:tc>
          <w:tcPr>
            <w:tcW w:w="1474" w:type="dxa"/>
            <w:vAlign w:val="center"/>
          </w:tcPr>
          <w:p>
            <w:pPr>
              <w:pStyle w:val="11"/>
            </w:pPr>
            <w:r>
              <w:t>376.82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28.00</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11.00</w:t>
            </w:r>
          </w:p>
        </w:tc>
        <w:tc>
          <w:tcPr>
            <w:tcW w:w="1474" w:type="dxa"/>
            <w:vAlign w:val="center"/>
          </w:tcPr>
          <w:p>
            <w:pPr>
              <w:pStyle w:val="11"/>
            </w:pPr>
            <w:r>
              <w:t>11.00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407.81</w:t>
            </w:r>
          </w:p>
        </w:tc>
        <w:tc>
          <w:tcPr>
            <w:tcW w:w="3402" w:type="dxa"/>
            <w:vAlign w:val="center"/>
          </w:tcPr>
          <w:p>
            <w:pPr>
              <w:pStyle w:val="14"/>
            </w:pPr>
            <w:r>
              <w:t>本年支出合计</w:t>
            </w:r>
          </w:p>
        </w:tc>
        <w:tc>
          <w:tcPr>
            <w:tcW w:w="1474" w:type="dxa"/>
            <w:vAlign w:val="center"/>
          </w:tcPr>
          <w:p>
            <w:pPr>
              <w:pStyle w:val="15"/>
            </w:pPr>
            <w:r>
              <w:t>415.82</w:t>
            </w:r>
          </w:p>
        </w:tc>
        <w:tc>
          <w:tcPr>
            <w:tcW w:w="1474" w:type="dxa"/>
            <w:vAlign w:val="center"/>
          </w:tcPr>
          <w:p>
            <w:pPr>
              <w:pStyle w:val="15"/>
            </w:pPr>
            <w:r>
              <w:t>415.82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8.01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8.01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415.82</w:t>
            </w:r>
          </w:p>
        </w:tc>
        <w:tc>
          <w:tcPr>
            <w:tcW w:w="3402" w:type="dxa"/>
            <w:vAlign w:val="center"/>
          </w:tcPr>
          <w:p>
            <w:pPr>
              <w:pStyle w:val="14"/>
            </w:pPr>
            <w:r>
              <w:t>支出总计</w:t>
            </w:r>
          </w:p>
        </w:tc>
        <w:tc>
          <w:tcPr>
            <w:tcW w:w="1474" w:type="dxa"/>
            <w:vAlign w:val="center"/>
          </w:tcPr>
          <w:p>
            <w:pPr>
              <w:pStyle w:val="15"/>
            </w:pPr>
            <w:r>
              <w:t>415.82</w:t>
            </w:r>
          </w:p>
        </w:tc>
        <w:tc>
          <w:tcPr>
            <w:tcW w:w="1474" w:type="dxa"/>
            <w:vAlign w:val="center"/>
          </w:tcPr>
          <w:p>
            <w:pPr>
              <w:pStyle w:val="15"/>
            </w:pPr>
            <w:r>
              <w:t>415.82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415.82</w:t>
            </w:r>
          </w:p>
        </w:tc>
        <w:tc>
          <w:tcPr>
            <w:tcW w:w="2551" w:type="dxa"/>
            <w:vAlign w:val="center"/>
          </w:tcPr>
          <w:p>
            <w:pPr>
              <w:pStyle w:val="15"/>
            </w:pPr>
            <w:r>
              <w:t>387.81</w:t>
            </w:r>
          </w:p>
        </w:tc>
        <w:tc>
          <w:tcPr>
            <w:tcW w:w="2551" w:type="dxa"/>
            <w:vAlign w:val="center"/>
          </w:tcPr>
          <w:p>
            <w:pPr>
              <w:pStyle w:val="15"/>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376.82</w:t>
            </w:r>
          </w:p>
        </w:tc>
        <w:tc>
          <w:tcPr>
            <w:tcW w:w="2551" w:type="dxa"/>
            <w:vAlign w:val="center"/>
          </w:tcPr>
          <w:p>
            <w:pPr>
              <w:pStyle w:val="11"/>
            </w:pPr>
            <w:r>
              <w:t>348.81</w:t>
            </w:r>
          </w:p>
        </w:tc>
        <w:tc>
          <w:tcPr>
            <w:tcW w:w="2551" w:type="dxa"/>
            <w:vAlign w:val="center"/>
          </w:tcPr>
          <w:p>
            <w:pPr>
              <w:pStyle w:val="11"/>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376.82</w:t>
            </w:r>
          </w:p>
        </w:tc>
        <w:tc>
          <w:tcPr>
            <w:tcW w:w="2551" w:type="dxa"/>
            <w:vAlign w:val="center"/>
          </w:tcPr>
          <w:p>
            <w:pPr>
              <w:pStyle w:val="11"/>
            </w:pPr>
            <w:r>
              <w:t>348.81</w:t>
            </w:r>
          </w:p>
        </w:tc>
        <w:tc>
          <w:tcPr>
            <w:tcW w:w="2551" w:type="dxa"/>
            <w:vAlign w:val="center"/>
          </w:tcPr>
          <w:p>
            <w:pPr>
              <w:pStyle w:val="11"/>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348.81</w:t>
            </w:r>
          </w:p>
        </w:tc>
        <w:tc>
          <w:tcPr>
            <w:tcW w:w="2551" w:type="dxa"/>
            <w:vAlign w:val="center"/>
          </w:tcPr>
          <w:p>
            <w:pPr>
              <w:pStyle w:val="11"/>
            </w:pPr>
            <w:r>
              <w:t>348.81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2010899</w:t>
            </w:r>
          </w:p>
        </w:tc>
        <w:tc>
          <w:tcPr>
            <w:tcW w:w="4535" w:type="dxa"/>
            <w:vAlign w:val="center"/>
          </w:tcPr>
          <w:p>
            <w:pPr>
              <w:pStyle w:val="12"/>
            </w:pPr>
            <w:r>
              <w:t>其他审计事务支出</w:t>
            </w:r>
          </w:p>
        </w:tc>
        <w:tc>
          <w:tcPr>
            <w:tcW w:w="2551" w:type="dxa"/>
            <w:vAlign w:val="center"/>
          </w:tcPr>
          <w:p>
            <w:pPr>
              <w:pStyle w:val="11"/>
            </w:pPr>
            <w:r>
              <w:t>28.01</w:t>
            </w:r>
          </w:p>
        </w:tc>
        <w:tc>
          <w:tcPr>
            <w:tcW w:w="2551" w:type="dxa"/>
            <w:vAlign w:val="center"/>
          </w:tcPr>
          <w:p>
            <w:pPr>
              <w:pStyle w:val="11"/>
            </w:pPr>
          </w:p>
        </w:tc>
        <w:tc>
          <w:tcPr>
            <w:tcW w:w="2551" w:type="dxa"/>
            <w:vAlign w:val="center"/>
          </w:tcPr>
          <w:p>
            <w:pPr>
              <w:pStyle w:val="11"/>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387.81</w:t>
            </w:r>
          </w:p>
        </w:tc>
        <w:tc>
          <w:tcPr>
            <w:tcW w:w="2551" w:type="dxa"/>
            <w:vAlign w:val="center"/>
          </w:tcPr>
          <w:p>
            <w:pPr>
              <w:pStyle w:val="15"/>
            </w:pPr>
            <w:r>
              <w:t>362.10</w:t>
            </w:r>
          </w:p>
        </w:tc>
        <w:tc>
          <w:tcPr>
            <w:tcW w:w="2551" w:type="dxa"/>
            <w:vAlign w:val="center"/>
          </w:tcPr>
          <w:p>
            <w:pPr>
              <w:pStyle w:val="15"/>
            </w:pPr>
            <w:r>
              <w:t>25.71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316.10</w:t>
            </w:r>
          </w:p>
        </w:tc>
        <w:tc>
          <w:tcPr>
            <w:tcW w:w="2551" w:type="dxa"/>
            <w:vAlign w:val="center"/>
          </w:tcPr>
          <w:p>
            <w:pPr>
              <w:pStyle w:val="11"/>
            </w:pPr>
            <w:r>
              <w:t>316.10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184.00</w:t>
            </w:r>
          </w:p>
        </w:tc>
        <w:tc>
          <w:tcPr>
            <w:tcW w:w="2551" w:type="dxa"/>
            <w:vAlign w:val="center"/>
          </w:tcPr>
          <w:p>
            <w:pPr>
              <w:pStyle w:val="11"/>
            </w:pPr>
            <w:r>
              <w:t>184.00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31.30</w:t>
            </w:r>
          </w:p>
        </w:tc>
        <w:tc>
          <w:tcPr>
            <w:tcW w:w="2551" w:type="dxa"/>
            <w:vAlign w:val="center"/>
          </w:tcPr>
          <w:p>
            <w:pPr>
              <w:pStyle w:val="11"/>
            </w:pPr>
            <w:r>
              <w:t>31.30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19.10</w:t>
            </w:r>
          </w:p>
        </w:tc>
        <w:tc>
          <w:tcPr>
            <w:tcW w:w="2551" w:type="dxa"/>
            <w:vAlign w:val="center"/>
          </w:tcPr>
          <w:p>
            <w:pPr>
              <w:pStyle w:val="11"/>
            </w:pPr>
            <w:r>
              <w:t>19.10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25.71</w:t>
            </w:r>
          </w:p>
        </w:tc>
        <w:tc>
          <w:tcPr>
            <w:tcW w:w="2551" w:type="dxa"/>
            <w:vAlign w:val="center"/>
          </w:tcPr>
          <w:p>
            <w:pPr>
              <w:pStyle w:val="11"/>
            </w:pPr>
          </w:p>
        </w:tc>
        <w:tc>
          <w:tcPr>
            <w:tcW w:w="2551" w:type="dxa"/>
            <w:vAlign w:val="center"/>
          </w:tcPr>
          <w:p>
            <w:pPr>
              <w:pStyle w:val="11"/>
            </w:pPr>
            <w:r>
              <w:t>25.71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3.90</w:t>
            </w:r>
          </w:p>
        </w:tc>
        <w:tc>
          <w:tcPr>
            <w:tcW w:w="2551" w:type="dxa"/>
            <w:vAlign w:val="center"/>
          </w:tcPr>
          <w:p>
            <w:pPr>
              <w:pStyle w:val="11"/>
            </w:pPr>
          </w:p>
        </w:tc>
        <w:tc>
          <w:tcPr>
            <w:tcW w:w="2551"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无极县审计局本级2026年单位预算信息公开情况说明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按照《中华人民共和国预算法》、《地方预决算公开操作规程》和《关于进一步推进预算公开工作的实施意见》规定，现将无极县审计局本级2026年单位预算公开如下：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（一）对县直各部门（含直属单位）和乡镇政府预算执行情况和决算以及预算外资金的管理和使用情况进行审计监督。</w:t>
      </w:r>
    </w:p>
    <w:p>
      <w:pPr>
        <w:pStyle w:val="17"/>
      </w:pPr>
      <w:r>
        <w:t>　　　　（二）对县级财政预算执行情况进行审计，并代表县政府向人大常委会提交审计工作报告。</w:t>
      </w:r>
    </w:p>
    <w:p>
      <w:pPr>
        <w:pStyle w:val="17"/>
      </w:pPr>
      <w:r>
        <w:t>　　　　（三）对全县国有企业的资产、负债、损益情况进行审计。</w:t>
      </w:r>
    </w:p>
    <w:p>
      <w:pPr>
        <w:pStyle w:val="17"/>
      </w:pPr>
      <w:r>
        <w:t>　　　　（四）对全县国有事业组织的财务收支进行审计监督。</w:t>
      </w:r>
    </w:p>
    <w:p>
      <w:pPr>
        <w:pStyle w:val="17"/>
      </w:pPr>
      <w:r>
        <w:t>　　　　（五）对全县基建项目预算的执行情况和决算进行审计监督。</w:t>
      </w:r>
    </w:p>
    <w:p>
      <w:pPr>
        <w:pStyle w:val="17"/>
      </w:pPr>
      <w:r>
        <w:t>　　　　（六）对政府部门管理和社会团体受政府委托管理的社会保障基金以及其他有关基金、资金的财务收支进行审计监督。</w:t>
      </w:r>
    </w:p>
    <w:p>
      <w:pPr>
        <w:pStyle w:val="17"/>
      </w:pPr>
      <w:r>
        <w:t>　　　　（七）对全县国际组织和外国政府援助、贷款项目的财务收支进行审计监督。</w:t>
      </w:r>
    </w:p>
    <w:p>
      <w:pPr>
        <w:pStyle w:val="17"/>
      </w:pPr>
      <w:r>
        <w:t>　　　　（八）受政府委托，对地方非银行金融机构的财务收支及资产、负债、损益情况进行审计监督。</w:t>
      </w:r>
    </w:p>
    <w:p>
      <w:pPr>
        <w:pStyle w:val="17"/>
      </w:pPr>
      <w:r>
        <w:t>　　　　（九）受县委、县政府、纪检、组织部门委托进行领导干部任期经济责任审计。</w:t>
      </w:r>
    </w:p>
    <w:p>
      <w:pPr>
        <w:pStyle w:val="17"/>
      </w:pPr>
      <w:r>
        <w:t>　　　　（十）对社会审计组织进行审计质量执业检查。</w:t>
      </w:r>
    </w:p>
    <w:p>
      <w:pPr>
        <w:pStyle w:val="17"/>
      </w:pPr>
      <w:r>
        <w:t>　　　　（十一）指导和监督内部审计工作。</w:t>
      </w:r>
    </w:p>
    <w:p>
      <w:pPr>
        <w:pStyle w:val="17"/>
      </w:pPr>
      <w:r>
        <w:t>　　　　（十二）对其他法律、法规规定应当进行审计的事项进行审计监督。</w:t>
      </w:r>
    </w:p>
    <w:p>
      <w:pPr>
        <w:pStyle w:val="17"/>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415.82万元，其中：一般公共预算收入407.81万元，基金预算收入0.00万元，国有资本经营预算收入0.00万元，财政专户核拨收入0.00万元，单位资金收入0.00万元，上年结转结余8.01万元。</w:t>
      </w:r>
    </w:p>
    <w:p>
      <w:pPr>
        <w:pStyle w:val="18"/>
      </w:pPr>
      <w:r>
        <w:t>2、支出说明</w:t>
      </w:r>
    </w:p>
    <w:p>
      <w:pPr>
        <w:pStyle w:val="18"/>
      </w:pPr>
      <w:r>
        <w:t>收支预算总表支出栏、基本支出表、项目支出表按经济分类和支出功能分类科目编制，反映无极县审计局本级年度单位预算中支出预算的总体情况。2026年支出预算415.82万元，其中基本支出387.81万元，包括人员经费362.10万元和日常公用经费25.71万元；项目支出28.01万元，主要为上级转移支付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2026年预算收支安排415.82万元，较2025年预算减少46.78万元，其中：基本支出减少54.79万元，主要为人员经费中保险个人部分。项目支出增加8.01万元，主要为上年未支付完成的上级转移支付资金</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1、提前下达2025年中央对地方审计专项补助经费绩效目标表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13013025P000002100116</w:t>
            </w:r>
          </w:p>
        </w:tc>
        <w:tc>
          <w:tcPr>
            <w:tcW w:w="2835" w:type="dxa"/>
            <w:vAlign w:val="center"/>
          </w:tcPr>
          <w:p>
            <w:pPr>
              <w:pStyle w:val="10"/>
            </w:pPr>
            <w:r>
              <w:t>项目名称</w:t>
            </w:r>
          </w:p>
        </w:tc>
        <w:tc>
          <w:tcPr>
            <w:tcW w:w="6095" w:type="dxa"/>
            <w:gridSpan w:val="3"/>
            <w:vAlign w:val="center"/>
          </w:tcPr>
          <w:p>
            <w:pPr>
              <w:pStyle w:val="12"/>
            </w:pPr>
            <w:r>
              <w:t>提前下达2025年中央对地方审计专项补助经费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8.01</w:t>
            </w:r>
          </w:p>
        </w:tc>
        <w:tc>
          <w:tcPr>
            <w:tcW w:w="2835" w:type="dxa"/>
            <w:vAlign w:val="center"/>
          </w:tcPr>
          <w:p>
            <w:pPr>
              <w:pStyle w:val="10"/>
            </w:pPr>
            <w:r>
              <w:t>其中：财政    资金</w:t>
            </w:r>
          </w:p>
        </w:tc>
        <w:tc>
          <w:tcPr>
            <w:tcW w:w="2551" w:type="dxa"/>
            <w:vAlign w:val="center"/>
          </w:tcPr>
          <w:p>
            <w:pPr>
              <w:pStyle w:val="12"/>
            </w:pPr>
            <w:r>
              <w:t>8.01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审计机关困难补助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6.00</w:t>
            </w:r>
          </w:p>
        </w:tc>
        <w:tc>
          <w:tcPr>
            <w:tcW w:w="2551" w:type="dxa"/>
            <w:vAlign w:val="center"/>
          </w:tcPr>
          <w:p>
            <w:pPr>
              <w:pStyle w:val="13"/>
            </w:pPr>
            <w:r>
              <w:t>8.01</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1.保障困难地区审计机关能正常开展审计工作，全面独立地履行监督职责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补助单位数</w:t>
            </w:r>
          </w:p>
        </w:tc>
        <w:tc>
          <w:tcPr>
            <w:tcW w:w="5386" w:type="dxa"/>
            <w:vAlign w:val="center"/>
          </w:tcPr>
          <w:p>
            <w:pPr>
              <w:pStyle w:val="12"/>
            </w:pPr>
            <w:r>
              <w:t>补助单位数</w:t>
            </w:r>
          </w:p>
        </w:tc>
        <w:tc>
          <w:tcPr>
            <w:tcW w:w="2268" w:type="dxa"/>
            <w:vAlign w:val="center"/>
          </w:tcPr>
          <w:p>
            <w:pPr>
              <w:pStyle w:val="12"/>
            </w:pPr>
            <w:r>
              <w:t>1个</w:t>
            </w:r>
          </w:p>
        </w:tc>
        <w:tc>
          <w:tcPr>
            <w:tcW w:w="1276" w:type="dxa"/>
            <w:vAlign w:val="center"/>
          </w:tcPr>
          <w:p>
            <w:pPr>
              <w:pStyle w:val="12"/>
            </w:pPr>
            <w:r>
              <w:t>资金补助到位情况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审计计划完成率</w:t>
            </w:r>
          </w:p>
        </w:tc>
        <w:tc>
          <w:tcPr>
            <w:tcW w:w="5386" w:type="dxa"/>
            <w:vAlign w:val="center"/>
          </w:tcPr>
          <w:p>
            <w:pPr>
              <w:pStyle w:val="12"/>
            </w:pPr>
            <w:r>
              <w:t>审计计划完成率</w:t>
            </w:r>
          </w:p>
        </w:tc>
        <w:tc>
          <w:tcPr>
            <w:tcW w:w="2268" w:type="dxa"/>
            <w:vAlign w:val="center"/>
          </w:tcPr>
          <w:p>
            <w:pPr>
              <w:pStyle w:val="12"/>
            </w:pPr>
            <w:r>
              <w:t>100%</w:t>
            </w:r>
          </w:p>
        </w:tc>
        <w:tc>
          <w:tcPr>
            <w:tcW w:w="1276" w:type="dxa"/>
            <w:vAlign w:val="center"/>
          </w:tcPr>
          <w:p>
            <w:pPr>
              <w:pStyle w:val="12"/>
            </w:pPr>
            <w:r>
              <w:t>年终总结报告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审计项目按时归档率</w:t>
            </w:r>
          </w:p>
        </w:tc>
        <w:tc>
          <w:tcPr>
            <w:tcW w:w="5386" w:type="dxa"/>
            <w:vAlign w:val="center"/>
          </w:tcPr>
          <w:p>
            <w:pPr>
              <w:pStyle w:val="12"/>
            </w:pPr>
            <w:r>
              <w:t>审计项目按时归档率</w:t>
            </w:r>
          </w:p>
        </w:tc>
        <w:tc>
          <w:tcPr>
            <w:tcW w:w="2268" w:type="dxa"/>
            <w:vAlign w:val="center"/>
          </w:tcPr>
          <w:p>
            <w:pPr>
              <w:pStyle w:val="12"/>
            </w:pPr>
            <w:r>
              <w:t>100%</w:t>
            </w:r>
          </w:p>
        </w:tc>
        <w:tc>
          <w:tcPr>
            <w:tcW w:w="1276" w:type="dxa"/>
            <w:vAlign w:val="center"/>
          </w:tcPr>
          <w:p>
            <w:pPr>
              <w:pStyle w:val="12"/>
            </w:pPr>
            <w:r>
              <w:t>年终总结报告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审计项目按时完成率</w:t>
            </w:r>
          </w:p>
        </w:tc>
        <w:tc>
          <w:tcPr>
            <w:tcW w:w="5386" w:type="dxa"/>
            <w:vAlign w:val="center"/>
          </w:tcPr>
          <w:p>
            <w:pPr>
              <w:pStyle w:val="12"/>
            </w:pPr>
            <w:r>
              <w:t>审计项目按时完成率</w:t>
            </w:r>
          </w:p>
        </w:tc>
        <w:tc>
          <w:tcPr>
            <w:tcW w:w="2268" w:type="dxa"/>
            <w:vAlign w:val="center"/>
          </w:tcPr>
          <w:p>
            <w:pPr>
              <w:pStyle w:val="12"/>
            </w:pPr>
            <w:r>
              <w:t>100%</w:t>
            </w:r>
          </w:p>
        </w:tc>
        <w:tc>
          <w:tcPr>
            <w:tcW w:w="1276" w:type="dxa"/>
            <w:vAlign w:val="center"/>
          </w:tcPr>
          <w:p>
            <w:pPr>
              <w:pStyle w:val="12"/>
            </w:pPr>
            <w:r>
              <w:t>年终总结报告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≤20</w:t>
            </w:r>
          </w:p>
        </w:tc>
        <w:tc>
          <w:tcPr>
            <w:tcW w:w="1276" w:type="dxa"/>
            <w:vAlign w:val="center"/>
          </w:tcPr>
          <w:p>
            <w:pPr>
              <w:pStyle w:val="12"/>
            </w:pPr>
            <w:r>
              <w:t>年终决算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保障审计机关正常开展审计工作</w:t>
            </w:r>
          </w:p>
        </w:tc>
        <w:tc>
          <w:tcPr>
            <w:tcW w:w="5386" w:type="dxa"/>
            <w:vAlign w:val="center"/>
          </w:tcPr>
          <w:p>
            <w:pPr>
              <w:pStyle w:val="12"/>
            </w:pPr>
            <w:r>
              <w:t>能保障审计机关正常开展审计工作</w:t>
            </w:r>
          </w:p>
        </w:tc>
        <w:tc>
          <w:tcPr>
            <w:tcW w:w="2268" w:type="dxa"/>
            <w:vAlign w:val="center"/>
          </w:tcPr>
          <w:p>
            <w:pPr>
              <w:pStyle w:val="12"/>
            </w:pPr>
            <w:r>
              <w:t>100能保障审计机关正常开展审计工作</w:t>
            </w:r>
          </w:p>
        </w:tc>
        <w:tc>
          <w:tcPr>
            <w:tcW w:w="1276" w:type="dxa"/>
            <w:vAlign w:val="center"/>
          </w:tcPr>
          <w:p>
            <w:pPr>
              <w:pStyle w:val="12"/>
            </w:pPr>
            <w:r>
              <w:t>能保障审计机关正常开展审计工作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5386" w:type="dxa"/>
            <w:vAlign w:val="center"/>
          </w:tcPr>
          <w:p>
            <w:pPr>
              <w:pStyle w:val="12"/>
            </w:pPr>
            <w:r>
              <w:t>审计违纪投诉率</w:t>
            </w:r>
          </w:p>
        </w:tc>
        <w:tc>
          <w:tcPr>
            <w:tcW w:w="2268" w:type="dxa"/>
            <w:vAlign w:val="center"/>
          </w:tcPr>
          <w:p>
            <w:pPr>
              <w:pStyle w:val="12"/>
            </w:pPr>
            <w:r>
              <w:t>≤5%</w:t>
            </w:r>
          </w:p>
        </w:tc>
        <w:tc>
          <w:tcPr>
            <w:tcW w:w="1276" w:type="dxa"/>
            <w:vAlign w:val="center"/>
          </w:tcPr>
          <w:p>
            <w:pPr>
              <w:pStyle w:val="12"/>
            </w:pPr>
            <w:r>
              <w:t>年终考核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2、提前下达2026年中央对地方审计专项补助经费绩效目标表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13013026P00003510003N</w:t>
            </w:r>
          </w:p>
        </w:tc>
        <w:tc>
          <w:tcPr>
            <w:tcW w:w="2835" w:type="dxa"/>
            <w:vAlign w:val="center"/>
          </w:tcPr>
          <w:p>
            <w:pPr>
              <w:pStyle w:val="10"/>
            </w:pPr>
            <w:r>
              <w:t>项目名称</w:t>
            </w:r>
          </w:p>
        </w:tc>
        <w:tc>
          <w:tcPr>
            <w:tcW w:w="6095" w:type="dxa"/>
            <w:gridSpan w:val="3"/>
            <w:vAlign w:val="center"/>
          </w:tcPr>
          <w:p>
            <w:pPr>
              <w:pStyle w:val="12"/>
            </w:pPr>
            <w:r>
              <w:t>提前下达2026年中央对地方审计专项补助经费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保障机关正常工作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1.保障我单位能正常开展审计工作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审计项目数量</w:t>
            </w:r>
          </w:p>
        </w:tc>
        <w:tc>
          <w:tcPr>
            <w:tcW w:w="5386" w:type="dxa"/>
            <w:vAlign w:val="center"/>
          </w:tcPr>
          <w:p>
            <w:pPr>
              <w:pStyle w:val="12"/>
            </w:pPr>
            <w:r>
              <w:t>反映审计项目数量情况。</w:t>
            </w:r>
          </w:p>
        </w:tc>
        <w:tc>
          <w:tcPr>
            <w:tcW w:w="2268" w:type="dxa"/>
            <w:vAlign w:val="center"/>
          </w:tcPr>
          <w:p>
            <w:pPr>
              <w:pStyle w:val="12"/>
            </w:pPr>
            <w:r>
              <w:t>≥100%</w:t>
            </w:r>
          </w:p>
        </w:tc>
        <w:tc>
          <w:tcPr>
            <w:tcW w:w="1276" w:type="dxa"/>
            <w:vAlign w:val="center"/>
          </w:tcPr>
          <w:p>
            <w:pPr>
              <w:pStyle w:val="12"/>
            </w:pPr>
            <w:r>
              <w:t>完成当年审计计划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审计计划完成率</w:t>
            </w:r>
          </w:p>
        </w:tc>
        <w:tc>
          <w:tcPr>
            <w:tcW w:w="5386" w:type="dxa"/>
            <w:vAlign w:val="center"/>
          </w:tcPr>
          <w:p>
            <w:pPr>
              <w:pStyle w:val="12"/>
            </w:pPr>
            <w:r>
              <w:t>审计计划完成率</w:t>
            </w:r>
          </w:p>
        </w:tc>
        <w:tc>
          <w:tcPr>
            <w:tcW w:w="2268" w:type="dxa"/>
            <w:vAlign w:val="center"/>
          </w:tcPr>
          <w:p>
            <w:pPr>
              <w:pStyle w:val="12"/>
            </w:pPr>
            <w:r>
              <w:t>100%</w:t>
            </w:r>
          </w:p>
        </w:tc>
        <w:tc>
          <w:tcPr>
            <w:tcW w:w="1276" w:type="dxa"/>
            <w:vAlign w:val="center"/>
          </w:tcPr>
          <w:p>
            <w:pPr>
              <w:pStyle w:val="12"/>
            </w:pPr>
            <w:r>
              <w:t>年终汇总报告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未按时完成审计档案归档的审计项</w:t>
            </w:r>
          </w:p>
        </w:tc>
        <w:tc>
          <w:tcPr>
            <w:tcW w:w="5386" w:type="dxa"/>
            <w:vAlign w:val="center"/>
          </w:tcPr>
          <w:p>
            <w:pPr>
              <w:pStyle w:val="12"/>
            </w:pPr>
            <w:r>
              <w:t>未按时完成审计档案归档的审计项目数量</w:t>
            </w:r>
          </w:p>
        </w:tc>
        <w:tc>
          <w:tcPr>
            <w:tcW w:w="2268" w:type="dxa"/>
            <w:vAlign w:val="center"/>
          </w:tcPr>
          <w:p>
            <w:pPr>
              <w:pStyle w:val="12"/>
            </w:pPr>
            <w:r>
              <w:t>0个</w:t>
            </w:r>
          </w:p>
        </w:tc>
        <w:tc>
          <w:tcPr>
            <w:tcW w:w="1276" w:type="dxa"/>
            <w:vAlign w:val="center"/>
          </w:tcPr>
          <w:p>
            <w:pPr>
              <w:pStyle w:val="12"/>
            </w:pPr>
            <w:r>
              <w:t>年终档案工作汇总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资金支出金额</w:t>
            </w:r>
          </w:p>
        </w:tc>
        <w:tc>
          <w:tcPr>
            <w:tcW w:w="2268" w:type="dxa"/>
            <w:vAlign w:val="center"/>
          </w:tcPr>
          <w:p>
            <w:pPr>
              <w:pStyle w:val="12"/>
            </w:pPr>
            <w:r>
              <w:t>≤20万元</w:t>
            </w:r>
          </w:p>
        </w:tc>
        <w:tc>
          <w:tcPr>
            <w:tcW w:w="1276" w:type="dxa"/>
            <w:vAlign w:val="center"/>
          </w:tcPr>
          <w:p>
            <w:pPr>
              <w:pStyle w:val="12"/>
            </w:pPr>
            <w:r>
              <w:t>年终决算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保障我局正常开展审计工作</w:t>
            </w:r>
          </w:p>
        </w:tc>
        <w:tc>
          <w:tcPr>
            <w:tcW w:w="5386" w:type="dxa"/>
            <w:vAlign w:val="center"/>
          </w:tcPr>
          <w:p>
            <w:pPr>
              <w:pStyle w:val="12"/>
            </w:pPr>
            <w:r>
              <w:t>能保障我局开展审计工作</w:t>
            </w:r>
          </w:p>
        </w:tc>
        <w:tc>
          <w:tcPr>
            <w:tcW w:w="2268" w:type="dxa"/>
            <w:vAlign w:val="center"/>
          </w:tcPr>
          <w:p>
            <w:pPr>
              <w:pStyle w:val="12"/>
            </w:pPr>
            <w:r>
              <w:t>能保障我局开展审计工作</w:t>
            </w:r>
          </w:p>
        </w:tc>
        <w:tc>
          <w:tcPr>
            <w:tcW w:w="1276" w:type="dxa"/>
            <w:vAlign w:val="center"/>
          </w:tcPr>
          <w:p>
            <w:pPr>
              <w:pStyle w:val="12"/>
            </w:pPr>
            <w:r>
              <w:t>年度工作报告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5386" w:type="dxa"/>
            <w:vAlign w:val="center"/>
          </w:tcPr>
          <w:p>
            <w:pPr>
              <w:pStyle w:val="12"/>
            </w:pPr>
            <w:r>
              <w:t>审计违纪投诉率</w:t>
            </w:r>
          </w:p>
        </w:tc>
        <w:tc>
          <w:tcPr>
            <w:tcW w:w="2268" w:type="dxa"/>
            <w:vAlign w:val="center"/>
          </w:tcPr>
          <w:p>
            <w:pPr>
              <w:pStyle w:val="12"/>
            </w:pPr>
            <w:r>
              <w:t>≤5%</w:t>
            </w:r>
          </w:p>
        </w:tc>
        <w:tc>
          <w:tcPr>
            <w:tcW w:w="1276" w:type="dxa"/>
            <w:vAlign w:val="center"/>
          </w:tcPr>
          <w:p>
            <w:pPr>
              <w:pStyle w:val="12"/>
            </w:pPr>
            <w:r>
              <w:t>年终总结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319001无极县审计局本级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无极县审计局本级上年末固定资产金额为102.53万元（详见下表）。本年度拟购置固定资产总额为0.00万元，已按要求列入政府采购预算，详见政府采购预算表。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319001无极县审计局本级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170</w:t>
            </w:r>
          </w:p>
        </w:tc>
        <w:tc>
          <w:tcPr>
            <w:tcW w:w="2835" w:type="dxa"/>
            <w:vAlign w:val="center"/>
          </w:tcPr>
          <w:p>
            <w:pPr>
              <w:pStyle w:val="11"/>
            </w:pPr>
            <w:r>
              <w:t>95.56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4713087"/>
    <w:rsid w:val="3DF821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2026-02-26T15:14:00Z</dcterms:created>
  <dc:creator>Administrator</dc:creator>
  <cp:lastModifiedBy>李润泽</cp:lastModifiedBy>
  <dcterms:modified xsi:type="dcterms:W3CDTF">2026-03-02T05:49:27Z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AD5B724A72CE49D5AFFC338B4A57A125</vt:lpwstr>
  </property>
</Properties>
</file>