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2508.14</w:t>
            </w:r>
          </w:p>
        </w:tc>
        <w:tc>
          <w:tcPr>
            <w:tcW w:w="4535" w:type="dxa"/>
            <w:vAlign w:val="center"/>
          </w:tcPr>
          <w:p>
            <w:pPr>
              <w:pStyle w:val="12"/>
            </w:pPr>
            <w:r>
              <w:t>一、一般公共服务支出</w:t>
            </w:r>
          </w:p>
        </w:tc>
        <w:tc>
          <w:tcPr>
            <w:tcW w:w="2126" w:type="dxa"/>
            <w:vAlign w:val="center"/>
          </w:tcPr>
          <w:p>
            <w:pPr>
              <w:pStyle w:val="11"/>
            </w:pPr>
            <w:r>
              <w:t>2238.14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2508.14</w:t>
            </w:r>
          </w:p>
        </w:tc>
        <w:tc>
          <w:tcPr>
            <w:tcW w:w="4535" w:type="dxa"/>
            <w:vAlign w:val="center"/>
          </w:tcPr>
          <w:p>
            <w:pPr>
              <w:pStyle w:val="14"/>
            </w:pPr>
            <w:r>
              <w:t>本年支出合计</w:t>
            </w:r>
          </w:p>
        </w:tc>
        <w:tc>
          <w:tcPr>
            <w:tcW w:w="2126" w:type="dxa"/>
            <w:vAlign w:val="center"/>
          </w:tcPr>
          <w:p>
            <w:pPr>
              <w:pStyle w:val="15"/>
            </w:pPr>
            <w:r>
              <w:t>2508.14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2508.14</w:t>
            </w:r>
          </w:p>
        </w:tc>
        <w:tc>
          <w:tcPr>
            <w:tcW w:w="4535" w:type="dxa"/>
            <w:vAlign w:val="center"/>
          </w:tcPr>
          <w:p>
            <w:pPr>
              <w:pStyle w:val="14"/>
            </w:pPr>
            <w:r>
              <w:t>支出总计</w:t>
            </w:r>
          </w:p>
        </w:tc>
        <w:tc>
          <w:tcPr>
            <w:tcW w:w="2126" w:type="dxa"/>
            <w:vAlign w:val="center"/>
          </w:tcPr>
          <w:p>
            <w:pPr>
              <w:pStyle w:val="15"/>
            </w:pPr>
            <w:r>
              <w:t>2508.14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2508.14</w:t>
            </w:r>
          </w:p>
        </w:tc>
        <w:tc>
          <w:tcPr>
            <w:tcW w:w="1134" w:type="dxa"/>
            <w:vAlign w:val="center"/>
          </w:tcPr>
          <w:p>
            <w:pPr>
              <w:pStyle w:val="15"/>
            </w:pPr>
            <w:r>
              <w:t>2508.14</w:t>
            </w:r>
          </w:p>
        </w:tc>
        <w:tc>
          <w:tcPr>
            <w:tcW w:w="1134" w:type="dxa"/>
            <w:vAlign w:val="center"/>
          </w:tcPr>
          <w:p>
            <w:pPr>
              <w:pStyle w:val="15"/>
            </w:pPr>
            <w:r>
              <w:t>2508.14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2238.14</w:t>
            </w:r>
          </w:p>
        </w:tc>
        <w:tc>
          <w:tcPr>
            <w:tcW w:w="1134" w:type="dxa"/>
            <w:vAlign w:val="center"/>
          </w:tcPr>
          <w:p>
            <w:pPr>
              <w:pStyle w:val="11"/>
            </w:pPr>
            <w:r>
              <w:t>2238.14</w:t>
            </w:r>
          </w:p>
        </w:tc>
        <w:tc>
          <w:tcPr>
            <w:tcW w:w="1134" w:type="dxa"/>
            <w:vAlign w:val="center"/>
          </w:tcPr>
          <w:p>
            <w:pPr>
              <w:pStyle w:val="11"/>
            </w:pPr>
            <w:r>
              <w:t>2238.14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2238.14</w:t>
            </w:r>
          </w:p>
        </w:tc>
        <w:tc>
          <w:tcPr>
            <w:tcW w:w="1134" w:type="dxa"/>
            <w:vAlign w:val="center"/>
          </w:tcPr>
          <w:p>
            <w:pPr>
              <w:pStyle w:val="11"/>
            </w:pPr>
            <w:r>
              <w:t>2238.14</w:t>
            </w:r>
          </w:p>
        </w:tc>
        <w:tc>
          <w:tcPr>
            <w:tcW w:w="1134" w:type="dxa"/>
            <w:vAlign w:val="center"/>
          </w:tcPr>
          <w:p>
            <w:pPr>
              <w:pStyle w:val="11"/>
            </w:pPr>
            <w:r>
              <w:t>2238.14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2203.14</w:t>
            </w:r>
          </w:p>
        </w:tc>
        <w:tc>
          <w:tcPr>
            <w:tcW w:w="1134" w:type="dxa"/>
            <w:vAlign w:val="center"/>
          </w:tcPr>
          <w:p>
            <w:pPr>
              <w:pStyle w:val="11"/>
            </w:pPr>
            <w:r>
              <w:t>2203.14</w:t>
            </w:r>
          </w:p>
        </w:tc>
        <w:tc>
          <w:tcPr>
            <w:tcW w:w="1134" w:type="dxa"/>
            <w:vAlign w:val="center"/>
          </w:tcPr>
          <w:p>
            <w:pPr>
              <w:pStyle w:val="11"/>
            </w:pPr>
            <w:r>
              <w:t>2203.14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2508.14</w:t>
            </w:r>
          </w:p>
        </w:tc>
        <w:tc>
          <w:tcPr>
            <w:tcW w:w="1361" w:type="dxa"/>
            <w:vAlign w:val="center"/>
          </w:tcPr>
          <w:p>
            <w:pPr>
              <w:pStyle w:val="15"/>
            </w:pPr>
            <w:r>
              <w:t>2473.14</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2238.14</w:t>
            </w:r>
          </w:p>
        </w:tc>
        <w:tc>
          <w:tcPr>
            <w:tcW w:w="1361" w:type="dxa"/>
            <w:vAlign w:val="center"/>
          </w:tcPr>
          <w:p>
            <w:pPr>
              <w:pStyle w:val="11"/>
            </w:pPr>
            <w:r>
              <w:t>2203.14</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2238.14</w:t>
            </w:r>
          </w:p>
        </w:tc>
        <w:tc>
          <w:tcPr>
            <w:tcW w:w="1361" w:type="dxa"/>
            <w:vAlign w:val="center"/>
          </w:tcPr>
          <w:p>
            <w:pPr>
              <w:pStyle w:val="11"/>
            </w:pPr>
            <w:r>
              <w:t>2203.14</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2203.14</w:t>
            </w:r>
          </w:p>
        </w:tc>
        <w:tc>
          <w:tcPr>
            <w:tcW w:w="1361" w:type="dxa"/>
            <w:vAlign w:val="center"/>
          </w:tcPr>
          <w:p>
            <w:pPr>
              <w:pStyle w:val="11"/>
            </w:pPr>
            <w:r>
              <w:t>2203.14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2508.14</w:t>
            </w:r>
          </w:p>
        </w:tc>
        <w:tc>
          <w:tcPr>
            <w:tcW w:w="3402" w:type="dxa"/>
            <w:vAlign w:val="center"/>
          </w:tcPr>
          <w:p>
            <w:pPr>
              <w:pStyle w:val="12"/>
            </w:pPr>
            <w:r>
              <w:t>一、一般公共服务支出</w:t>
            </w:r>
          </w:p>
        </w:tc>
        <w:tc>
          <w:tcPr>
            <w:tcW w:w="1474" w:type="dxa"/>
            <w:vAlign w:val="center"/>
          </w:tcPr>
          <w:p>
            <w:pPr>
              <w:pStyle w:val="11"/>
            </w:pPr>
            <w:r>
              <w:t>2238.14</w:t>
            </w:r>
          </w:p>
        </w:tc>
        <w:tc>
          <w:tcPr>
            <w:tcW w:w="1474" w:type="dxa"/>
            <w:vAlign w:val="center"/>
          </w:tcPr>
          <w:p>
            <w:pPr>
              <w:pStyle w:val="11"/>
            </w:pPr>
            <w:r>
              <w:t>2238.14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70.00</w:t>
            </w:r>
          </w:p>
        </w:tc>
        <w:tc>
          <w:tcPr>
            <w:tcW w:w="1474" w:type="dxa"/>
            <w:vAlign w:val="center"/>
          </w:tcPr>
          <w:p>
            <w:pPr>
              <w:pStyle w:val="11"/>
            </w:pPr>
            <w:r>
              <w:t>70.00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2508.14</w:t>
            </w:r>
          </w:p>
        </w:tc>
        <w:tc>
          <w:tcPr>
            <w:tcW w:w="3402" w:type="dxa"/>
            <w:vAlign w:val="center"/>
          </w:tcPr>
          <w:p>
            <w:pPr>
              <w:pStyle w:val="14"/>
            </w:pPr>
            <w:r>
              <w:t>本年支出合计</w:t>
            </w:r>
          </w:p>
        </w:tc>
        <w:tc>
          <w:tcPr>
            <w:tcW w:w="1474" w:type="dxa"/>
            <w:vAlign w:val="center"/>
          </w:tcPr>
          <w:p>
            <w:pPr>
              <w:pStyle w:val="15"/>
            </w:pPr>
            <w:r>
              <w:t>2508.14</w:t>
            </w:r>
          </w:p>
        </w:tc>
        <w:tc>
          <w:tcPr>
            <w:tcW w:w="1474" w:type="dxa"/>
            <w:vAlign w:val="center"/>
          </w:tcPr>
          <w:p>
            <w:pPr>
              <w:pStyle w:val="15"/>
            </w:pPr>
            <w:r>
              <w:t>2508.14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2508.14</w:t>
            </w:r>
          </w:p>
        </w:tc>
        <w:tc>
          <w:tcPr>
            <w:tcW w:w="3402" w:type="dxa"/>
            <w:vAlign w:val="center"/>
          </w:tcPr>
          <w:p>
            <w:pPr>
              <w:pStyle w:val="14"/>
            </w:pPr>
            <w:r>
              <w:t>支出总计</w:t>
            </w:r>
          </w:p>
        </w:tc>
        <w:tc>
          <w:tcPr>
            <w:tcW w:w="1474" w:type="dxa"/>
            <w:vAlign w:val="center"/>
          </w:tcPr>
          <w:p>
            <w:pPr>
              <w:pStyle w:val="15"/>
            </w:pPr>
            <w:r>
              <w:t>2508.14</w:t>
            </w:r>
          </w:p>
        </w:tc>
        <w:tc>
          <w:tcPr>
            <w:tcW w:w="1474" w:type="dxa"/>
            <w:vAlign w:val="center"/>
          </w:tcPr>
          <w:p>
            <w:pPr>
              <w:pStyle w:val="15"/>
            </w:pPr>
            <w:r>
              <w:t>2508.14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2508.14</w:t>
            </w:r>
          </w:p>
        </w:tc>
        <w:tc>
          <w:tcPr>
            <w:tcW w:w="2551" w:type="dxa"/>
            <w:vAlign w:val="center"/>
          </w:tcPr>
          <w:p>
            <w:pPr>
              <w:pStyle w:val="15"/>
            </w:pPr>
            <w:r>
              <w:t>2473.14</w:t>
            </w: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2238.14</w:t>
            </w:r>
          </w:p>
        </w:tc>
        <w:tc>
          <w:tcPr>
            <w:tcW w:w="2551" w:type="dxa"/>
            <w:vAlign w:val="center"/>
          </w:tcPr>
          <w:p>
            <w:pPr>
              <w:pStyle w:val="11"/>
            </w:pPr>
            <w:r>
              <w:t>2203.14</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2238.14</w:t>
            </w:r>
          </w:p>
        </w:tc>
        <w:tc>
          <w:tcPr>
            <w:tcW w:w="2551" w:type="dxa"/>
            <w:vAlign w:val="center"/>
          </w:tcPr>
          <w:p>
            <w:pPr>
              <w:pStyle w:val="11"/>
            </w:pPr>
            <w:r>
              <w:t>2203.14</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2203.14</w:t>
            </w:r>
          </w:p>
        </w:tc>
        <w:tc>
          <w:tcPr>
            <w:tcW w:w="2551" w:type="dxa"/>
            <w:vAlign w:val="center"/>
          </w:tcPr>
          <w:p>
            <w:pPr>
              <w:pStyle w:val="11"/>
            </w:pPr>
            <w:r>
              <w:t>2203.14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2473.14</w:t>
            </w:r>
          </w:p>
        </w:tc>
        <w:tc>
          <w:tcPr>
            <w:tcW w:w="2551" w:type="dxa"/>
            <w:vAlign w:val="center"/>
          </w:tcPr>
          <w:p>
            <w:pPr>
              <w:pStyle w:val="15"/>
            </w:pPr>
            <w:r>
              <w:t>2311.14</w:t>
            </w:r>
          </w:p>
        </w:tc>
        <w:tc>
          <w:tcPr>
            <w:tcW w:w="2551" w:type="dxa"/>
            <w:vAlign w:val="center"/>
          </w:tcPr>
          <w:p>
            <w:pPr>
              <w:pStyle w:val="15"/>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1896.70</w:t>
            </w:r>
          </w:p>
        </w:tc>
        <w:tc>
          <w:tcPr>
            <w:tcW w:w="2551" w:type="dxa"/>
            <w:vAlign w:val="center"/>
          </w:tcPr>
          <w:p>
            <w:pPr>
              <w:pStyle w:val="11"/>
            </w:pPr>
            <w:r>
              <w:t>1896.70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1023.00</w:t>
            </w:r>
          </w:p>
        </w:tc>
        <w:tc>
          <w:tcPr>
            <w:tcW w:w="2551" w:type="dxa"/>
            <w:vAlign w:val="center"/>
          </w:tcPr>
          <w:p>
            <w:pPr>
              <w:pStyle w:val="11"/>
            </w:pPr>
            <w:r>
              <w:t>1023.00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228.10</w:t>
            </w:r>
          </w:p>
        </w:tc>
        <w:tc>
          <w:tcPr>
            <w:tcW w:w="2551" w:type="dxa"/>
            <w:vAlign w:val="center"/>
          </w:tcPr>
          <w:p>
            <w:pPr>
              <w:pStyle w:val="11"/>
            </w:pPr>
            <w:r>
              <w:t>228.10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162.10</w:t>
            </w:r>
          </w:p>
        </w:tc>
        <w:tc>
          <w:tcPr>
            <w:tcW w:w="2551" w:type="dxa"/>
            <w:vAlign w:val="center"/>
          </w:tcPr>
          <w:p>
            <w:pPr>
              <w:pStyle w:val="11"/>
            </w:pPr>
            <w:r>
              <w:t>162.10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205.50</w:t>
            </w:r>
          </w:p>
        </w:tc>
        <w:tc>
          <w:tcPr>
            <w:tcW w:w="2551" w:type="dxa"/>
            <w:vAlign w:val="center"/>
          </w:tcPr>
          <w:p>
            <w:pPr>
              <w:pStyle w:val="11"/>
            </w:pPr>
            <w:r>
              <w:t>205.50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162.00</w:t>
            </w:r>
          </w:p>
        </w:tc>
        <w:tc>
          <w:tcPr>
            <w:tcW w:w="2551" w:type="dxa"/>
            <w:vAlign w:val="center"/>
          </w:tcPr>
          <w:p>
            <w:pPr>
              <w:pStyle w:val="11"/>
            </w:pPr>
          </w:p>
        </w:tc>
        <w:tc>
          <w:tcPr>
            <w:tcW w:w="2551" w:type="dxa"/>
            <w:vAlign w:val="center"/>
          </w:tcPr>
          <w:p>
            <w:pPr>
              <w:pStyle w:val="11"/>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82.00</w:t>
            </w:r>
          </w:p>
        </w:tc>
        <w:tc>
          <w:tcPr>
            <w:tcW w:w="2551" w:type="dxa"/>
            <w:vAlign w:val="center"/>
          </w:tcPr>
          <w:p>
            <w:pPr>
              <w:pStyle w:val="11"/>
            </w:pPr>
          </w:p>
        </w:tc>
        <w:tc>
          <w:tcPr>
            <w:tcW w:w="2551" w:type="dxa"/>
            <w:vAlign w:val="center"/>
          </w:tcPr>
          <w:p>
            <w:pPr>
              <w:pStyle w:val="11"/>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414.44</w:t>
            </w:r>
          </w:p>
        </w:tc>
        <w:tc>
          <w:tcPr>
            <w:tcW w:w="2551" w:type="dxa"/>
            <w:vAlign w:val="center"/>
          </w:tcPr>
          <w:p>
            <w:pPr>
              <w:pStyle w:val="11"/>
            </w:pPr>
            <w:r>
              <w:t>414.44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15.14</w:t>
            </w:r>
          </w:p>
        </w:tc>
        <w:tc>
          <w:tcPr>
            <w:tcW w:w="2551" w:type="dxa"/>
            <w:vAlign w:val="center"/>
          </w:tcPr>
          <w:p>
            <w:pPr>
              <w:pStyle w:val="11"/>
            </w:pPr>
            <w:r>
              <w:t>15.14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399.30</w:t>
            </w:r>
          </w:p>
        </w:tc>
        <w:tc>
          <w:tcPr>
            <w:tcW w:w="2551" w:type="dxa"/>
            <w:vAlign w:val="center"/>
          </w:tcPr>
          <w:p>
            <w:pPr>
              <w:pStyle w:val="11"/>
            </w:pPr>
            <w:r>
              <w:t>399.30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17"/>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17"/>
      </w:pPr>
      <w:r>
        <w:t>（三） 负责全县市场监管综合执法工作。负责全县市场监管综合执法队伍建设工作，推动实行统一的市场监管。组织查处重大违法案件。规范市场监管行政执法行为。</w:t>
      </w:r>
    </w:p>
    <w:p>
      <w:pPr>
        <w:pStyle w:val="17"/>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17"/>
      </w:pPr>
      <w:r>
        <w:t>依法组织查处无照生产经营和相关无证生产经营行为。指导市消费者协会开展消费维权工作。</w:t>
      </w:r>
    </w:p>
    <w:p>
      <w:pPr>
        <w:pStyle w:val="17"/>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17"/>
      </w:pPr>
      <w:r>
        <w:t>（六）负责全县产品质量安全监督管理。承担县级产品质量安全风险监控、监督抽查工作。组织实施质量分级制度、质量安全追溯制度、工业产品生产许可管理制度。负责纤维质量监督工作。</w:t>
      </w:r>
    </w:p>
    <w:p>
      <w:pPr>
        <w:pStyle w:val="17"/>
      </w:pPr>
      <w:r>
        <w:t>（七）负责全县特种设备安全监督管理。综合管理特种设备安全监察、监督工作，监督检查高耗能特种设备节能标准和锅炉环境保护标准的执行情况。</w:t>
      </w:r>
    </w:p>
    <w:p>
      <w:pPr>
        <w:pStyle w:val="17"/>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17"/>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7"/>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17"/>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17"/>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17"/>
      </w:pPr>
      <w:r>
        <w:t>（十三）负责统一管理全县计量工作。推行法定计量单位和国家计量制度，管理计量器具及量值传递和比对工作。规范、监督商品量和市场计量行为。</w:t>
      </w:r>
    </w:p>
    <w:p>
      <w:pPr>
        <w:pStyle w:val="17"/>
      </w:pPr>
      <w:r>
        <w:t>（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17"/>
      </w:pPr>
      <w:r>
        <w:t>（十五）负责统一管理全县检验检测工作。推进检验检测机构整合和改革，规范检验检测市场，完善检验检测体系，指导协调检验检测行业发展。</w:t>
      </w:r>
    </w:p>
    <w:p>
      <w:pPr>
        <w:pStyle w:val="17"/>
      </w:pPr>
      <w:r>
        <w:t>（十六）负责统一管理、监督和协调全县认证认可工作。组织贯彻实施国家统一的认证认可和合格评定监督管理制度。</w:t>
      </w:r>
    </w:p>
    <w:p>
      <w:pPr>
        <w:pStyle w:val="17"/>
      </w:pPr>
      <w:r>
        <w:t>（十七）负责推进全县知识产权管理工作。拟订加强知识产权强市建设的重大方针政策和发展规划。拟订强化知识产权创造、保护和运用的政策和制度，并组织实施。</w:t>
      </w:r>
    </w:p>
    <w:p>
      <w:pPr>
        <w:pStyle w:val="17"/>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17"/>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17"/>
      </w:pPr>
      <w:r>
        <w:t>（二十）承担上级授权的知识产权代办工作任务。负责知识产权的初审注册登记。组织实施原产地地理标志统一认定制度。</w:t>
      </w:r>
    </w:p>
    <w:p>
      <w:pPr>
        <w:pStyle w:val="17"/>
      </w:pPr>
      <w:r>
        <w:t>（二十一）负责全县市场监督管理科技和信息化建设、新闻宣传、对外交流与合作。按规定承担技术性贸易措施有关工作。负责统筹协调涉外知识产权事宜，承担知识产权对外转让审查工作。</w:t>
      </w:r>
    </w:p>
    <w:p>
      <w:pPr>
        <w:pStyle w:val="17"/>
      </w:pPr>
      <w:r>
        <w:t>（二十二）完成市市场监督管理局、市药品监督管理局、市委、市政府交办的其他任务。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2508.14万元，其中：一般公共预算收入2508.14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市场监督管理局本级年度单位预算中支出预算的总体情况。2026年支出预算2508.14万元，其中基本支出2473.14万元，包括人员经费2311.14万元和日常公用经费162.00万元；项目支出35.00万元，主要为提前下达2026年省级市场监管补助经费</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2508.14万元，较2025年预算减少540.80万元，其中：基本支出减少541.80万元，主要为人员减少，基本支出减少。项目支出增加1.00万元，主要为提前下达2026年省级市场监管补助经费比2025年增加5万元，2026年知识产权资金减少4万元，所以项目支出增加1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13013026P00004510001N</w:t>
            </w:r>
          </w:p>
        </w:tc>
        <w:tc>
          <w:tcPr>
            <w:tcW w:w="2835" w:type="dxa"/>
            <w:vAlign w:val="center"/>
          </w:tcPr>
          <w:p>
            <w:pPr>
              <w:pStyle w:val="10"/>
            </w:pPr>
            <w:r>
              <w:t>项目名称</w:t>
            </w:r>
          </w:p>
        </w:tc>
        <w:tc>
          <w:tcPr>
            <w:tcW w:w="6095" w:type="dxa"/>
            <w:gridSpan w:val="3"/>
            <w:vAlign w:val="center"/>
          </w:tcPr>
          <w:p>
            <w:pPr>
              <w:pStyle w:val="12"/>
            </w:pPr>
            <w:r>
              <w:t>关于提前下达2026年省级市场监管补助经费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增强各类市场诚信经营意识、规范网络交易管理、维护市场秩序。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1.增强各类市场诚信经营意识、规范网络交易管理、维护市场秩序。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特种设备检验检测批次</w:t>
            </w:r>
          </w:p>
        </w:tc>
        <w:tc>
          <w:tcPr>
            <w:tcW w:w="5386" w:type="dxa"/>
            <w:vAlign w:val="center"/>
          </w:tcPr>
          <w:p>
            <w:pPr>
              <w:pStyle w:val="12"/>
            </w:pPr>
            <w:r>
              <w:t>特种设备检验检测批次</w:t>
            </w:r>
          </w:p>
        </w:tc>
        <w:tc>
          <w:tcPr>
            <w:tcW w:w="2268" w:type="dxa"/>
            <w:vAlign w:val="center"/>
          </w:tcPr>
          <w:p>
            <w:pPr>
              <w:pStyle w:val="12"/>
            </w:pPr>
            <w:r>
              <w:t>≥60次</w:t>
            </w:r>
          </w:p>
        </w:tc>
        <w:tc>
          <w:tcPr>
            <w:tcW w:w="1276" w:type="dxa"/>
            <w:vAlign w:val="center"/>
          </w:tcPr>
          <w:p>
            <w:pPr>
              <w:pStyle w:val="12"/>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特种设备检验检测完成率</w:t>
            </w:r>
          </w:p>
        </w:tc>
        <w:tc>
          <w:tcPr>
            <w:tcW w:w="5386" w:type="dxa"/>
            <w:vAlign w:val="center"/>
          </w:tcPr>
          <w:p>
            <w:pPr>
              <w:pStyle w:val="12"/>
            </w:pPr>
            <w:r>
              <w:t>特种设备检验检测完成率</w:t>
            </w:r>
          </w:p>
        </w:tc>
        <w:tc>
          <w:tcPr>
            <w:tcW w:w="2268" w:type="dxa"/>
            <w:vAlign w:val="center"/>
          </w:tcPr>
          <w:p>
            <w:pPr>
              <w:pStyle w:val="12"/>
            </w:pPr>
            <w:r>
              <w:t>≥95%</w:t>
            </w:r>
          </w:p>
        </w:tc>
        <w:tc>
          <w:tcPr>
            <w:tcW w:w="1276" w:type="dxa"/>
            <w:vAlign w:val="center"/>
          </w:tcPr>
          <w:p>
            <w:pPr>
              <w:pStyle w:val="12"/>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特种设备检验检测完成时限</w:t>
            </w:r>
          </w:p>
        </w:tc>
        <w:tc>
          <w:tcPr>
            <w:tcW w:w="5386" w:type="dxa"/>
            <w:vAlign w:val="center"/>
          </w:tcPr>
          <w:p>
            <w:pPr>
              <w:pStyle w:val="12"/>
            </w:pPr>
            <w:r>
              <w:t>特种设备检验检测完成时限</w:t>
            </w:r>
          </w:p>
        </w:tc>
        <w:tc>
          <w:tcPr>
            <w:tcW w:w="2268" w:type="dxa"/>
            <w:vAlign w:val="center"/>
          </w:tcPr>
          <w:p>
            <w:pPr>
              <w:pStyle w:val="12"/>
            </w:pPr>
            <w:r>
              <w:t>2026年12月31日前</w:t>
            </w:r>
          </w:p>
        </w:tc>
        <w:tc>
          <w:tcPr>
            <w:tcW w:w="1276" w:type="dxa"/>
            <w:vAlign w:val="center"/>
          </w:tcPr>
          <w:p>
            <w:pPr>
              <w:pStyle w:val="12"/>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社会反馈意见对市场监管满意度</w:t>
            </w:r>
          </w:p>
        </w:tc>
        <w:tc>
          <w:tcPr>
            <w:tcW w:w="5386" w:type="dxa"/>
            <w:vAlign w:val="center"/>
          </w:tcPr>
          <w:p>
            <w:pPr>
              <w:pStyle w:val="12"/>
            </w:pPr>
            <w:r>
              <w:t>社会反馈意见对市场监管满意度</w:t>
            </w:r>
          </w:p>
        </w:tc>
        <w:tc>
          <w:tcPr>
            <w:tcW w:w="2268" w:type="dxa"/>
            <w:vAlign w:val="center"/>
          </w:tcPr>
          <w:p>
            <w:pPr>
              <w:pStyle w:val="12"/>
            </w:pPr>
            <w:r>
              <w:t>≥90%</w:t>
            </w:r>
          </w:p>
        </w:tc>
        <w:tc>
          <w:tcPr>
            <w:tcW w:w="1276" w:type="dxa"/>
            <w:vAlign w:val="center"/>
          </w:tcPr>
          <w:p>
            <w:pPr>
              <w:pStyle w:val="12"/>
            </w:pPr>
            <w:r>
              <w:t>社会反馈意见对市场监管满意度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无极县市场监督管理局本级上年末固定资产金额为1593.12万元（详见下表）。本年度拟购置固定资产总额为0.00万元，已按要求列入政府采购预算，详见政府采购预算表。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414001无极县市场监督管理局本级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11379.97</w:t>
            </w:r>
          </w:p>
        </w:tc>
        <w:tc>
          <w:tcPr>
            <w:tcW w:w="2835" w:type="dxa"/>
            <w:vAlign w:val="center"/>
          </w:tcPr>
          <w:p>
            <w:pPr>
              <w:pStyle w:val="11"/>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11214.37</w:t>
            </w:r>
          </w:p>
        </w:tc>
        <w:tc>
          <w:tcPr>
            <w:tcW w:w="2835" w:type="dxa"/>
            <w:vAlign w:val="center"/>
          </w:tcPr>
          <w:p>
            <w:pPr>
              <w:pStyle w:val="11"/>
            </w:pPr>
            <w:r>
              <w:t>575.80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19</w:t>
            </w:r>
          </w:p>
        </w:tc>
        <w:tc>
          <w:tcPr>
            <w:tcW w:w="2835" w:type="dxa"/>
            <w:vAlign w:val="center"/>
          </w:tcPr>
          <w:p>
            <w:pPr>
              <w:pStyle w:val="11"/>
            </w:pPr>
            <w:r>
              <w:t>163.73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10459</w:t>
            </w:r>
          </w:p>
        </w:tc>
        <w:tc>
          <w:tcPr>
            <w:tcW w:w="2835" w:type="dxa"/>
            <w:vAlign w:val="center"/>
          </w:tcPr>
          <w:p>
            <w:pPr>
              <w:pStyle w:val="11"/>
            </w:pPr>
            <w:r>
              <w:t>845.56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25C7DE5"/>
    <w:rsid w:val="69D5454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2026-02-25T15:54:00Z</dcterms:created>
  <dc:creator>Administrator</dc:creator>
  <cp:lastModifiedBy>李润泽</cp:lastModifiedBy>
  <dcterms:modified xsi:type="dcterms:W3CDTF">2026-03-02T05:52:19Z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EB33A5E09FAA4B209827AF9C424AFC5D</vt:lpwstr>
  </property>
</Properties>
</file>