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426无极县应急管理局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397.82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496.59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397.82</w:t>
            </w:r>
          </w:p>
        </w:tc>
        <w:tc>
          <w:tcPr>
            <w:tcW w:w="4535" w:type="dxa"/>
            <w:vAlign w:val="center"/>
          </w:tcPr>
          <w:p>
            <w:pPr>
              <w:pStyle w:val="15"/>
            </w:pPr>
            <w:r>
              <w:t>本年支出合计</w:t>
            </w:r>
          </w:p>
        </w:tc>
        <w:tc>
          <w:tcPr>
            <w:tcW w:w="2126" w:type="dxa"/>
            <w:vAlign w:val="center"/>
          </w:tcPr>
          <w:p>
            <w:pPr>
              <w:pStyle w:val="16"/>
            </w:pPr>
            <w:r>
              <w:t>547.59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149.76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547.59</w:t>
            </w:r>
          </w:p>
        </w:tc>
        <w:tc>
          <w:tcPr>
            <w:tcW w:w="4535" w:type="dxa"/>
            <w:vAlign w:val="center"/>
          </w:tcPr>
          <w:p>
            <w:pPr>
              <w:pStyle w:val="15"/>
            </w:pPr>
            <w:r>
              <w:t>支出总计</w:t>
            </w:r>
          </w:p>
        </w:tc>
        <w:tc>
          <w:tcPr>
            <w:tcW w:w="2126" w:type="dxa"/>
            <w:vAlign w:val="center"/>
          </w:tcPr>
          <w:p>
            <w:pPr>
              <w:pStyle w:val="16"/>
            </w:pPr>
            <w:r>
              <w:t>547.59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426无极县应急管理局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547.59</w:t>
            </w:r>
          </w:p>
        </w:tc>
        <w:tc>
          <w:tcPr>
            <w:tcW w:w="1134" w:type="dxa"/>
            <w:vAlign w:val="center"/>
          </w:tcPr>
          <w:p>
            <w:pPr>
              <w:pStyle w:val="16"/>
            </w:pPr>
            <w:r>
              <w:t>397.82</w:t>
            </w:r>
          </w:p>
        </w:tc>
        <w:tc>
          <w:tcPr>
            <w:tcW w:w="1134" w:type="dxa"/>
            <w:vAlign w:val="center"/>
          </w:tcPr>
          <w:p>
            <w:pPr>
              <w:pStyle w:val="16"/>
            </w:pPr>
            <w:r>
              <w:t>397.82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496.59</w:t>
            </w:r>
          </w:p>
        </w:tc>
        <w:tc>
          <w:tcPr>
            <w:tcW w:w="1134" w:type="dxa"/>
            <w:vAlign w:val="center"/>
          </w:tcPr>
          <w:p>
            <w:pPr>
              <w:pStyle w:val="12"/>
            </w:pPr>
            <w:r>
              <w:t>346.82</w:t>
            </w:r>
          </w:p>
        </w:tc>
        <w:tc>
          <w:tcPr>
            <w:tcW w:w="1134" w:type="dxa"/>
            <w:vAlign w:val="center"/>
          </w:tcPr>
          <w:p>
            <w:pPr>
              <w:pStyle w:val="12"/>
            </w:pPr>
            <w:r>
              <w:t>346.82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437.56</w:t>
            </w:r>
          </w:p>
        </w:tc>
        <w:tc>
          <w:tcPr>
            <w:tcW w:w="1134" w:type="dxa"/>
            <w:vAlign w:val="center"/>
          </w:tcPr>
          <w:p>
            <w:pPr>
              <w:pStyle w:val="12"/>
            </w:pPr>
            <w:r>
              <w:t>287.80</w:t>
            </w:r>
          </w:p>
        </w:tc>
        <w:tc>
          <w:tcPr>
            <w:tcW w:w="1134" w:type="dxa"/>
            <w:vAlign w:val="center"/>
          </w:tcPr>
          <w:p>
            <w:pPr>
              <w:pStyle w:val="12"/>
            </w:pPr>
            <w:r>
              <w:t>287.80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287.80</w:t>
            </w:r>
          </w:p>
        </w:tc>
        <w:tc>
          <w:tcPr>
            <w:tcW w:w="1134" w:type="dxa"/>
            <w:vAlign w:val="center"/>
          </w:tcPr>
          <w:p>
            <w:pPr>
              <w:pStyle w:val="12"/>
            </w:pPr>
            <w:r>
              <w:t>287.80</w:t>
            </w:r>
          </w:p>
        </w:tc>
        <w:tc>
          <w:tcPr>
            <w:tcW w:w="1134" w:type="dxa"/>
            <w:vAlign w:val="center"/>
          </w:tcPr>
          <w:p>
            <w:pPr>
              <w:pStyle w:val="12"/>
            </w:pPr>
            <w:r>
              <w:t>287.80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2240199</w:t>
            </w:r>
          </w:p>
        </w:tc>
        <w:tc>
          <w:tcPr>
            <w:tcW w:w="1559" w:type="dxa"/>
            <w:vAlign w:val="center"/>
          </w:tcPr>
          <w:p>
            <w:pPr>
              <w:pStyle w:val="13"/>
            </w:pPr>
            <w:r>
              <w:t>其他应急管理支出</w:t>
            </w:r>
          </w:p>
        </w:tc>
        <w:tc>
          <w:tcPr>
            <w:tcW w:w="1134" w:type="dxa"/>
            <w:vAlign w:val="center"/>
          </w:tcPr>
          <w:p>
            <w:pPr>
              <w:pStyle w:val="12"/>
            </w:pPr>
            <w:r>
              <w:t>149.76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57.52</w:t>
            </w:r>
          </w:p>
        </w:tc>
        <w:tc>
          <w:tcPr>
            <w:tcW w:w="1134" w:type="dxa"/>
            <w:vAlign w:val="center"/>
          </w:tcPr>
          <w:p>
            <w:pPr>
              <w:pStyle w:val="12"/>
            </w:pPr>
            <w:r>
              <w:t>57.52</w:t>
            </w:r>
          </w:p>
        </w:tc>
        <w:tc>
          <w:tcPr>
            <w:tcW w:w="1134" w:type="dxa"/>
            <w:vAlign w:val="center"/>
          </w:tcPr>
          <w:p>
            <w:pPr>
              <w:pStyle w:val="12"/>
            </w:pPr>
            <w:r>
              <w:t>57.52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57.52</w:t>
            </w:r>
          </w:p>
        </w:tc>
        <w:tc>
          <w:tcPr>
            <w:tcW w:w="1134" w:type="dxa"/>
            <w:vAlign w:val="center"/>
          </w:tcPr>
          <w:p>
            <w:pPr>
              <w:pStyle w:val="12"/>
            </w:pPr>
            <w:r>
              <w:t>57.52</w:t>
            </w:r>
          </w:p>
        </w:tc>
        <w:tc>
          <w:tcPr>
            <w:tcW w:w="1134" w:type="dxa"/>
            <w:vAlign w:val="center"/>
          </w:tcPr>
          <w:p>
            <w:pPr>
              <w:pStyle w:val="12"/>
            </w:pPr>
            <w:r>
              <w:t>57.52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547.59</w:t>
            </w:r>
          </w:p>
        </w:tc>
        <w:tc>
          <w:tcPr>
            <w:tcW w:w="1361" w:type="dxa"/>
            <w:vAlign w:val="center"/>
          </w:tcPr>
          <w:p>
            <w:pPr>
              <w:pStyle w:val="16"/>
            </w:pPr>
            <w:r>
              <w:t>338.80</w:t>
            </w:r>
          </w:p>
        </w:tc>
        <w:tc>
          <w:tcPr>
            <w:tcW w:w="1361" w:type="dxa"/>
            <w:vAlign w:val="center"/>
          </w:tcPr>
          <w:p>
            <w:pPr>
              <w:pStyle w:val="16"/>
            </w:pPr>
            <w:r>
              <w:t>208.79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36.00</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36.00</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36.00</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496.59</w:t>
            </w:r>
          </w:p>
        </w:tc>
        <w:tc>
          <w:tcPr>
            <w:tcW w:w="1361" w:type="dxa"/>
            <w:vAlign w:val="center"/>
          </w:tcPr>
          <w:p>
            <w:pPr>
              <w:pStyle w:val="12"/>
            </w:pPr>
            <w:r>
              <w:t>287.80</w:t>
            </w:r>
          </w:p>
        </w:tc>
        <w:tc>
          <w:tcPr>
            <w:tcW w:w="1361" w:type="dxa"/>
            <w:vAlign w:val="center"/>
          </w:tcPr>
          <w:p>
            <w:pPr>
              <w:pStyle w:val="12"/>
            </w:pPr>
            <w:r>
              <w:t>208.79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22401</w:t>
            </w:r>
          </w:p>
        </w:tc>
        <w:tc>
          <w:tcPr>
            <w:tcW w:w="4535" w:type="dxa"/>
            <w:vAlign w:val="center"/>
          </w:tcPr>
          <w:p>
            <w:pPr>
              <w:pStyle w:val="13"/>
            </w:pPr>
            <w:r>
              <w:t>应急管理事务</w:t>
            </w:r>
          </w:p>
        </w:tc>
        <w:tc>
          <w:tcPr>
            <w:tcW w:w="1361" w:type="dxa"/>
            <w:vAlign w:val="center"/>
          </w:tcPr>
          <w:p>
            <w:pPr>
              <w:pStyle w:val="12"/>
            </w:pPr>
            <w:r>
              <w:t>437.56</w:t>
            </w:r>
          </w:p>
        </w:tc>
        <w:tc>
          <w:tcPr>
            <w:tcW w:w="1361" w:type="dxa"/>
            <w:vAlign w:val="center"/>
          </w:tcPr>
          <w:p>
            <w:pPr>
              <w:pStyle w:val="12"/>
            </w:pPr>
            <w:r>
              <w:t>287.80</w:t>
            </w:r>
          </w:p>
        </w:tc>
        <w:tc>
          <w:tcPr>
            <w:tcW w:w="1361" w:type="dxa"/>
            <w:vAlign w:val="center"/>
          </w:tcPr>
          <w:p>
            <w:pPr>
              <w:pStyle w:val="12"/>
            </w:pPr>
            <w:r>
              <w:t>149.76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2240101</w:t>
            </w:r>
          </w:p>
        </w:tc>
        <w:tc>
          <w:tcPr>
            <w:tcW w:w="4535" w:type="dxa"/>
            <w:vAlign w:val="center"/>
          </w:tcPr>
          <w:p>
            <w:pPr>
              <w:pStyle w:val="13"/>
            </w:pPr>
            <w:r>
              <w:t>行政运行</w:t>
            </w:r>
          </w:p>
        </w:tc>
        <w:tc>
          <w:tcPr>
            <w:tcW w:w="1361" w:type="dxa"/>
            <w:vAlign w:val="center"/>
          </w:tcPr>
          <w:p>
            <w:pPr>
              <w:pStyle w:val="12"/>
            </w:pPr>
            <w:r>
              <w:t>287.80</w:t>
            </w:r>
          </w:p>
        </w:tc>
        <w:tc>
          <w:tcPr>
            <w:tcW w:w="1361" w:type="dxa"/>
            <w:vAlign w:val="center"/>
          </w:tcPr>
          <w:p>
            <w:pPr>
              <w:pStyle w:val="12"/>
            </w:pPr>
            <w:r>
              <w:t>287.80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2240199</w:t>
            </w:r>
          </w:p>
        </w:tc>
        <w:tc>
          <w:tcPr>
            <w:tcW w:w="4535" w:type="dxa"/>
            <w:vAlign w:val="center"/>
          </w:tcPr>
          <w:p>
            <w:pPr>
              <w:pStyle w:val="13"/>
            </w:pPr>
            <w:r>
              <w:t>其他应急管理支出</w:t>
            </w:r>
          </w:p>
        </w:tc>
        <w:tc>
          <w:tcPr>
            <w:tcW w:w="1361" w:type="dxa"/>
            <w:vAlign w:val="center"/>
          </w:tcPr>
          <w:p>
            <w:pPr>
              <w:pStyle w:val="12"/>
            </w:pPr>
            <w:r>
              <w:t>149.76</w:t>
            </w:r>
          </w:p>
        </w:tc>
        <w:tc>
          <w:tcPr>
            <w:tcW w:w="1361" w:type="dxa"/>
            <w:vAlign w:val="center"/>
          </w:tcPr>
          <w:p>
            <w:pPr>
              <w:pStyle w:val="12"/>
            </w:pPr>
          </w:p>
        </w:tc>
        <w:tc>
          <w:tcPr>
            <w:tcW w:w="1361" w:type="dxa"/>
            <w:vAlign w:val="center"/>
          </w:tcPr>
          <w:p>
            <w:pPr>
              <w:pStyle w:val="12"/>
            </w:pPr>
            <w:r>
              <w:t>149.76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22405</w:t>
            </w:r>
          </w:p>
        </w:tc>
        <w:tc>
          <w:tcPr>
            <w:tcW w:w="4535" w:type="dxa"/>
            <w:vAlign w:val="center"/>
          </w:tcPr>
          <w:p>
            <w:pPr>
              <w:pStyle w:val="13"/>
            </w:pPr>
            <w:r>
              <w:t>地震事务</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2240505</w:t>
            </w:r>
          </w:p>
        </w:tc>
        <w:tc>
          <w:tcPr>
            <w:tcW w:w="4535" w:type="dxa"/>
            <w:vAlign w:val="center"/>
          </w:tcPr>
          <w:p>
            <w:pPr>
              <w:pStyle w:val="13"/>
            </w:pPr>
            <w:r>
              <w:t>地震预测预报</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57.52</w:t>
            </w:r>
          </w:p>
        </w:tc>
        <w:tc>
          <w:tcPr>
            <w:tcW w:w="1361" w:type="dxa"/>
            <w:vAlign w:val="center"/>
          </w:tcPr>
          <w:p>
            <w:pPr>
              <w:pStyle w:val="12"/>
            </w:pPr>
          </w:p>
        </w:tc>
        <w:tc>
          <w:tcPr>
            <w:tcW w:w="1361" w:type="dxa"/>
            <w:vAlign w:val="center"/>
          </w:tcPr>
          <w:p>
            <w:pPr>
              <w:pStyle w:val="12"/>
            </w:pPr>
            <w:r>
              <w:t>57.52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2240703</w:t>
            </w:r>
          </w:p>
        </w:tc>
        <w:tc>
          <w:tcPr>
            <w:tcW w:w="4535" w:type="dxa"/>
            <w:vAlign w:val="center"/>
          </w:tcPr>
          <w:p>
            <w:pPr>
              <w:pStyle w:val="13"/>
            </w:pPr>
            <w:r>
              <w:t>自然灾害救灾补助</w:t>
            </w:r>
          </w:p>
        </w:tc>
        <w:tc>
          <w:tcPr>
            <w:tcW w:w="1361" w:type="dxa"/>
            <w:vAlign w:val="center"/>
          </w:tcPr>
          <w:p>
            <w:pPr>
              <w:pStyle w:val="12"/>
            </w:pPr>
            <w:r>
              <w:t>57.52</w:t>
            </w:r>
          </w:p>
        </w:tc>
        <w:tc>
          <w:tcPr>
            <w:tcW w:w="1361" w:type="dxa"/>
            <w:vAlign w:val="center"/>
          </w:tcPr>
          <w:p>
            <w:pPr>
              <w:pStyle w:val="12"/>
            </w:pPr>
          </w:p>
        </w:tc>
        <w:tc>
          <w:tcPr>
            <w:tcW w:w="1361" w:type="dxa"/>
            <w:vAlign w:val="center"/>
          </w:tcPr>
          <w:p>
            <w:pPr>
              <w:pStyle w:val="12"/>
            </w:pPr>
            <w:r>
              <w:t>57.52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397.82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36.00</w:t>
            </w:r>
          </w:p>
        </w:tc>
        <w:tc>
          <w:tcPr>
            <w:tcW w:w="1474" w:type="dxa"/>
            <w:vAlign w:val="center"/>
          </w:tcPr>
          <w:p>
            <w:pPr>
              <w:pStyle w:val="12"/>
            </w:pPr>
            <w:r>
              <w:t>36.00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496.59</w:t>
            </w:r>
          </w:p>
        </w:tc>
        <w:tc>
          <w:tcPr>
            <w:tcW w:w="1474" w:type="dxa"/>
            <w:vAlign w:val="center"/>
          </w:tcPr>
          <w:p>
            <w:pPr>
              <w:pStyle w:val="12"/>
            </w:pPr>
            <w:r>
              <w:t>496.59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397.82</w:t>
            </w:r>
          </w:p>
        </w:tc>
        <w:tc>
          <w:tcPr>
            <w:tcW w:w="3402" w:type="dxa"/>
            <w:vAlign w:val="center"/>
          </w:tcPr>
          <w:p>
            <w:pPr>
              <w:pStyle w:val="15"/>
            </w:pPr>
            <w:r>
              <w:t>本年支出合计</w:t>
            </w:r>
          </w:p>
        </w:tc>
        <w:tc>
          <w:tcPr>
            <w:tcW w:w="1474" w:type="dxa"/>
            <w:vAlign w:val="center"/>
          </w:tcPr>
          <w:p>
            <w:pPr>
              <w:pStyle w:val="16"/>
            </w:pPr>
            <w:r>
              <w:t>547.59</w:t>
            </w:r>
          </w:p>
        </w:tc>
        <w:tc>
          <w:tcPr>
            <w:tcW w:w="1474" w:type="dxa"/>
            <w:vAlign w:val="center"/>
          </w:tcPr>
          <w:p>
            <w:pPr>
              <w:pStyle w:val="16"/>
            </w:pPr>
            <w:r>
              <w:t>547.59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149.76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149.76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547.59</w:t>
            </w:r>
          </w:p>
        </w:tc>
        <w:tc>
          <w:tcPr>
            <w:tcW w:w="3402" w:type="dxa"/>
            <w:vAlign w:val="center"/>
          </w:tcPr>
          <w:p>
            <w:pPr>
              <w:pStyle w:val="15"/>
            </w:pPr>
            <w:r>
              <w:t>支出总计</w:t>
            </w:r>
          </w:p>
        </w:tc>
        <w:tc>
          <w:tcPr>
            <w:tcW w:w="1474" w:type="dxa"/>
            <w:vAlign w:val="center"/>
          </w:tcPr>
          <w:p>
            <w:pPr>
              <w:pStyle w:val="16"/>
            </w:pPr>
            <w:r>
              <w:t>547.59</w:t>
            </w:r>
          </w:p>
        </w:tc>
        <w:tc>
          <w:tcPr>
            <w:tcW w:w="1474" w:type="dxa"/>
            <w:vAlign w:val="center"/>
          </w:tcPr>
          <w:p>
            <w:pPr>
              <w:pStyle w:val="16"/>
            </w:pPr>
            <w:r>
              <w:t>547.59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547.59</w:t>
            </w:r>
          </w:p>
        </w:tc>
        <w:tc>
          <w:tcPr>
            <w:tcW w:w="2551" w:type="dxa"/>
            <w:vAlign w:val="center"/>
          </w:tcPr>
          <w:p>
            <w:pPr>
              <w:pStyle w:val="16"/>
            </w:pPr>
            <w:r>
              <w:t>338.80</w:t>
            </w:r>
          </w:p>
        </w:tc>
        <w:tc>
          <w:tcPr>
            <w:tcW w:w="2551" w:type="dxa"/>
            <w:vAlign w:val="center"/>
          </w:tcPr>
          <w:p>
            <w:pPr>
              <w:pStyle w:val="16"/>
            </w:pPr>
            <w:r>
              <w:t>208.79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496.59</w:t>
            </w:r>
          </w:p>
        </w:tc>
        <w:tc>
          <w:tcPr>
            <w:tcW w:w="2551" w:type="dxa"/>
            <w:vAlign w:val="center"/>
          </w:tcPr>
          <w:p>
            <w:pPr>
              <w:pStyle w:val="12"/>
            </w:pPr>
            <w:r>
              <w:t>287.80</w:t>
            </w:r>
          </w:p>
        </w:tc>
        <w:tc>
          <w:tcPr>
            <w:tcW w:w="2551" w:type="dxa"/>
            <w:vAlign w:val="center"/>
          </w:tcPr>
          <w:p>
            <w:pPr>
              <w:pStyle w:val="12"/>
            </w:pPr>
            <w:r>
              <w:t>208.79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437.56</w:t>
            </w:r>
          </w:p>
        </w:tc>
        <w:tc>
          <w:tcPr>
            <w:tcW w:w="2551" w:type="dxa"/>
            <w:vAlign w:val="center"/>
          </w:tcPr>
          <w:p>
            <w:pPr>
              <w:pStyle w:val="12"/>
            </w:pPr>
            <w:r>
              <w:t>287.80</w:t>
            </w:r>
          </w:p>
        </w:tc>
        <w:tc>
          <w:tcPr>
            <w:tcW w:w="2551" w:type="dxa"/>
            <w:vAlign w:val="center"/>
          </w:tcPr>
          <w:p>
            <w:pPr>
              <w:pStyle w:val="12"/>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287.80</w:t>
            </w:r>
          </w:p>
        </w:tc>
        <w:tc>
          <w:tcPr>
            <w:tcW w:w="2551" w:type="dxa"/>
            <w:vAlign w:val="center"/>
          </w:tcPr>
          <w:p>
            <w:pPr>
              <w:pStyle w:val="12"/>
            </w:pPr>
            <w:r>
              <w:t>287.80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2240199</w:t>
            </w:r>
          </w:p>
        </w:tc>
        <w:tc>
          <w:tcPr>
            <w:tcW w:w="4535" w:type="dxa"/>
            <w:vAlign w:val="center"/>
          </w:tcPr>
          <w:p>
            <w:pPr>
              <w:pStyle w:val="13"/>
            </w:pPr>
            <w:r>
              <w:t>其他应急管理支出</w:t>
            </w:r>
          </w:p>
        </w:tc>
        <w:tc>
          <w:tcPr>
            <w:tcW w:w="2551" w:type="dxa"/>
            <w:vAlign w:val="center"/>
          </w:tcPr>
          <w:p>
            <w:pPr>
              <w:pStyle w:val="12"/>
            </w:pPr>
            <w:r>
              <w:t>149.76</w:t>
            </w:r>
          </w:p>
        </w:tc>
        <w:tc>
          <w:tcPr>
            <w:tcW w:w="2551" w:type="dxa"/>
            <w:vAlign w:val="center"/>
          </w:tcPr>
          <w:p>
            <w:pPr>
              <w:pStyle w:val="12"/>
            </w:pPr>
          </w:p>
        </w:tc>
        <w:tc>
          <w:tcPr>
            <w:tcW w:w="2551" w:type="dxa"/>
            <w:vAlign w:val="center"/>
          </w:tcPr>
          <w:p>
            <w:pPr>
              <w:pStyle w:val="12"/>
            </w:pPr>
            <w:r>
              <w:t>149.76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57.52</w:t>
            </w:r>
          </w:p>
        </w:tc>
        <w:tc>
          <w:tcPr>
            <w:tcW w:w="2551" w:type="dxa"/>
            <w:vAlign w:val="center"/>
          </w:tcPr>
          <w:p>
            <w:pPr>
              <w:pStyle w:val="12"/>
            </w:pPr>
          </w:p>
        </w:tc>
        <w:tc>
          <w:tcPr>
            <w:tcW w:w="2551" w:type="dxa"/>
            <w:vAlign w:val="center"/>
          </w:tcPr>
          <w:p>
            <w:pPr>
              <w:pStyle w:val="12"/>
            </w:pPr>
            <w:r>
              <w:t>57.52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57.52</w:t>
            </w:r>
          </w:p>
        </w:tc>
        <w:tc>
          <w:tcPr>
            <w:tcW w:w="2551" w:type="dxa"/>
            <w:vAlign w:val="center"/>
          </w:tcPr>
          <w:p>
            <w:pPr>
              <w:pStyle w:val="12"/>
            </w:pPr>
          </w:p>
        </w:tc>
        <w:tc>
          <w:tcPr>
            <w:tcW w:w="2551" w:type="dxa"/>
            <w:vAlign w:val="center"/>
          </w:tcPr>
          <w:p>
            <w:pPr>
              <w:pStyle w:val="12"/>
            </w:pPr>
            <w:r>
              <w:t>57.52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338.80</w:t>
            </w:r>
          </w:p>
        </w:tc>
        <w:tc>
          <w:tcPr>
            <w:tcW w:w="2551" w:type="dxa"/>
            <w:vAlign w:val="center"/>
          </w:tcPr>
          <w:p>
            <w:pPr>
              <w:pStyle w:val="16"/>
            </w:pPr>
            <w:r>
              <w:t>320.80</w:t>
            </w:r>
          </w:p>
        </w:tc>
        <w:tc>
          <w:tcPr>
            <w:tcW w:w="2551" w:type="dxa"/>
            <w:vAlign w:val="center"/>
          </w:tcPr>
          <w:p>
            <w:pPr>
              <w:pStyle w:val="16"/>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308.80</w:t>
            </w:r>
          </w:p>
        </w:tc>
        <w:tc>
          <w:tcPr>
            <w:tcW w:w="2551" w:type="dxa"/>
            <w:vAlign w:val="center"/>
          </w:tcPr>
          <w:p>
            <w:pPr>
              <w:pStyle w:val="12"/>
            </w:pPr>
            <w:r>
              <w:t>308.80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47.70</w:t>
            </w:r>
          </w:p>
        </w:tc>
        <w:tc>
          <w:tcPr>
            <w:tcW w:w="2551" w:type="dxa"/>
            <w:vAlign w:val="center"/>
          </w:tcPr>
          <w:p>
            <w:pPr>
              <w:pStyle w:val="12"/>
            </w:pPr>
            <w:r>
              <w:t>47.70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33.90</w:t>
            </w:r>
          </w:p>
        </w:tc>
        <w:tc>
          <w:tcPr>
            <w:tcW w:w="2551" w:type="dxa"/>
            <w:vAlign w:val="center"/>
          </w:tcPr>
          <w:p>
            <w:pPr>
              <w:pStyle w:val="12"/>
            </w:pPr>
            <w:r>
              <w:t>33.90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44.80</w:t>
            </w:r>
          </w:p>
        </w:tc>
        <w:tc>
          <w:tcPr>
            <w:tcW w:w="2551" w:type="dxa"/>
            <w:vAlign w:val="center"/>
          </w:tcPr>
          <w:p>
            <w:pPr>
              <w:pStyle w:val="12"/>
            </w:pPr>
            <w:r>
              <w:t>44.80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426无极县应急管理局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无极县应急管理局2026年部门预算信息公开情况说明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无极县应急管理局2026年部门预算信息公开情况说明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按照《中华人民共和国预算法》、《地方预决算公开操作规程》和《关于进一步推进预算公开工作的实施意见》规定，现将无极县应急管理局2026年部门预算公开如下：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（一）负责应急管理工作。负责全县各部门应对安全生产类、自然灾害类等突发事件和综合防灾减灾救灾工作；负责安全生产综合监督管理和工矿商贸行业安全生产监督管理工作。</w:t>
      </w:r>
    </w:p>
    <w:p>
      <w:pPr>
        <w:pStyle w:val="18"/>
      </w:pPr>
      <w:r>
        <w:t>（二）拟订县级应急管理、安全生产等政策规定的组织实施意见，组织编制县应急体系建设、安全生产和综合防灾减灾规划，起草地方性政府规章草案，组织制定相关具体规程并监督实施。</w:t>
      </w:r>
    </w:p>
    <w:p>
      <w:pPr>
        <w:pStyle w:val="18"/>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8"/>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8"/>
      </w:pPr>
      <w:r>
        <w:t>（五）组织协调安全生产类、自然灾害类等突发事件应急救援，综合研判突发事件发展态势并提出应对建议，协助县委、县政府指定的负责同志组织重大灾害应急处置工作。</w:t>
      </w:r>
    </w:p>
    <w:p>
      <w:pPr>
        <w:pStyle w:val="18"/>
      </w:pPr>
      <w:r>
        <w:t>（六）统一协调指挥各类应急专业队伍，建立应急协调联动机制，推进指挥平台对接，衔接相关部门和专业队伍参与应急救援工作。</w:t>
      </w:r>
    </w:p>
    <w:p>
      <w:pPr>
        <w:pStyle w:val="18"/>
      </w:pPr>
      <w:r>
        <w:t>（七）统筹应急救援力量建设，负责消防火灾扑救、抗洪抢险、地震和地质灾害救援、生产安全事故救援等专业应急救援力量建设，综合协调应急救援队伍，指导全县及社会应急救援力量建设。</w:t>
      </w:r>
    </w:p>
    <w:p>
      <w:pPr>
        <w:pStyle w:val="18"/>
      </w:pPr>
      <w:r>
        <w:t>（八）组织协调消防工作，负责全县消防监督、火灾预防、火灾扑救等工作。</w:t>
      </w:r>
    </w:p>
    <w:p>
      <w:pPr>
        <w:pStyle w:val="18"/>
      </w:pPr>
      <w:r>
        <w:t>（九）组织协调森林和草原火灾、水旱灾害、地震和地质灾害等防治工作，负责自然灾害综合监测预警工作；会同有关部门做好自然灾害综合风险评估工作。</w:t>
      </w:r>
    </w:p>
    <w:p>
      <w:pPr>
        <w:pStyle w:val="18"/>
      </w:pPr>
      <w:r>
        <w:t>（十）组织协调灾害救助工作，负责灾情核查、损失评估、救灾捐赠工作，管理、分配救灾款物并监督使用。</w:t>
      </w:r>
    </w:p>
    <w:p>
      <w:pPr>
        <w:pStyle w:val="18"/>
      </w:pPr>
      <w:r>
        <w:t>（十一）依法行使安全生产综合监督管理职权，指导协调、监督检查各乡（镇）政府、经济开发区（功能区）和县直有关部门的安全生产工作，组织开展安全生产巡查、考核工作。</w:t>
      </w:r>
    </w:p>
    <w:p>
      <w:pPr>
        <w:pStyle w:val="18"/>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18"/>
      </w:pPr>
      <w:r>
        <w:t>（十三）依法开展生产安全事故调查处理，监督事故查处和责任追究落实情况；组织开展自然灾害类突发事件的调查评估工作，并根据评估结果向县政府提出意见或建议。</w:t>
      </w:r>
    </w:p>
    <w:p>
      <w:pPr>
        <w:pStyle w:val="18"/>
      </w:pPr>
      <w:r>
        <w:t>（十四）制定应急物资储备和应急救援装备规划并组织实施，会同县政府相关部门建立健全应急物资信息平台和调拨制度，在救灾时统一调度。</w:t>
      </w:r>
    </w:p>
    <w:p>
      <w:pPr>
        <w:pStyle w:val="18"/>
      </w:pPr>
      <w:r>
        <w:t>（十五）负责应急管理、安全生产宣传教育和培训工作，负责应急管理、安全生产科技成果推广应用和信息化建设工作。</w:t>
      </w:r>
    </w:p>
    <w:p>
      <w:pPr>
        <w:pStyle w:val="18"/>
      </w:pPr>
      <w:r>
        <w:t>（十六）负责组织协调、指导监督全县安全生产行政执法工作，组织开展对县域内企业的执法检查，组织开展对辖区安全生产重点企业的执法抽查。</w:t>
      </w:r>
    </w:p>
    <w:p>
      <w:pPr>
        <w:pStyle w:val="18"/>
      </w:pPr>
      <w:r>
        <w:t>（十七）组织开展应急管理方面的区域交流与合作。</w:t>
      </w:r>
    </w:p>
    <w:p>
      <w:pPr>
        <w:pStyle w:val="18"/>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按照预算管理有关规定，目前部门预算的编制实行综合预算管理，即全部收入和支出都反映在预算中。无极县应急管理局机关及所属事业单位的收支包含在部门预算中。</w:t>
      </w:r>
    </w:p>
    <w:p>
      <w:pPr>
        <w:pStyle w:val="19"/>
      </w:pPr>
      <w:r>
        <w:t>1、收入说明</w:t>
      </w:r>
    </w:p>
    <w:p>
      <w:pPr>
        <w:pStyle w:val="19"/>
      </w:pPr>
      <w:r>
        <w:t>反映本部门当年全部收入。2026年预算收入547.59万元，其中：一般公共预算收入397.82万元，基金预算收入0.00万元，国有资本经营预算收入0.00万元，财政专户核拨收入0.00万元，单位资金收入0.00万元，上年结转结余149.76万元。</w:t>
      </w:r>
    </w:p>
    <w:p>
      <w:pPr>
        <w:pStyle w:val="19"/>
      </w:pPr>
      <w:r>
        <w:t>2、支出说明</w:t>
      </w:r>
    </w:p>
    <w:p>
      <w:pPr>
        <w:pStyle w:val="19"/>
      </w:pPr>
      <w:r>
        <w:t>收支预算总表支出栏、基本支出表、项目支出表按经济分类和支出功能分类科目编制，反映无极县应急管理局年度部门预算中支出预算的总体情况。2026年支出预算547.59万元，其中基本支出338.80万元，包括人员经费320.80万元和日常公用经费18.00万元；项目支出208.79万元，主要为2026年自然灾害救助资金（农房保险试点补助经费）57.5</w:t>
      </w:r>
      <w:r>
        <w:rPr>
          <w:rFonts w:hint="eastAsia"/>
          <w:lang w:val="en-US" w:eastAsia="zh-CN"/>
        </w:rPr>
        <w:t>2</w:t>
      </w:r>
      <w:r>
        <w:t>万元，2026年市级防震减灾群测群防补助资金1.5万元，河北省自然灾害能力提升工程预警指挥项目国债项目县级配套14.53万元、河北省自然灾害能力提升工程预警指挥项目省级补助7.2</w:t>
      </w:r>
      <w:r>
        <w:rPr>
          <w:rFonts w:hint="eastAsia"/>
          <w:lang w:val="en-US" w:eastAsia="zh-CN"/>
        </w:rPr>
        <w:t>7</w:t>
      </w:r>
      <w:r>
        <w:t>万元、河北省自然灾害能力提升工程预警指挥项目12.0</w:t>
      </w:r>
      <w:r>
        <w:rPr>
          <w:rFonts w:hint="eastAsia"/>
          <w:lang w:val="en-US" w:eastAsia="zh-CN"/>
        </w:rPr>
        <w:t>1</w:t>
      </w:r>
      <w:r>
        <w:t>万元、河北省石家庄市基层防灾工程项目国债项目县级配套115.96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547.59万元，较2025年预算减少343.84万元，其中：基本支出减少278.40万元，主要为项目较去年有所减少项目支出减少65.44万元，主要为项目较去年有所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减少3.00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的领导下，在上级部门的大力支持下，以习近平新时代中国特色社会主义思想为指引，牢固树立安全发展理念，弘扬生命至上、安全第一的思想，紧紧围绕年度安全生产工作重点，转变职能，改革创新，加强组织领导，狠抓双控机制建设，强化执法检查，扎实开展安全生产领域风险防范整治工作和化工行业安全生产整治攻坚行动，有效防范各类安全事故的发生，确保了全县安全生产形势的持续稳定。</w:t>
      </w:r>
    </w:p>
    <w:p>
      <w:pPr>
        <w:pStyle w:val="22"/>
      </w:pPr>
      <w:r>
        <w:t>一是完善安全生产考核办法，突出抓好2022年安全生产目标管理考核工作。</w:t>
      </w:r>
    </w:p>
    <w:p>
      <w:pPr>
        <w:pStyle w:val="22"/>
      </w:pPr>
      <w:r>
        <w:t>二是加快机构改革后安委会成员单位安全生产监管职责调整，抓好各级、各部门落实安全生产责任。</w:t>
      </w:r>
    </w:p>
    <w:p>
      <w:pPr>
        <w:pStyle w:val="22"/>
      </w:pPr>
      <w:r>
        <w:t>三是强力推进安全生产风险辨识管控和隐患排查整治双重预防机制建设，在全县所有生产经营单位的落实。试点单位“双控”机制建设完成后，适时组织同行业企业负责人和安全管理人员在试点企业现场观摩学习，对标创建。</w:t>
      </w:r>
    </w:p>
    <w:p>
      <w:pPr>
        <w:pStyle w:val="22"/>
      </w:pPr>
      <w:r>
        <w:t>四是深入开展化工行业安全生产整治攻坚行动，严格落实“四个一批”有关要求。</w:t>
      </w:r>
    </w:p>
    <w:p>
      <w:pPr>
        <w:pStyle w:val="22"/>
      </w:pPr>
      <w:r>
        <w:t>五是继续深入开展危险化学品“打非治违”专项行动，对重点区域、重点行业、重点企业开展拉网式集中执法检查，集中打击整治一批非法违法行为。</w:t>
      </w:r>
    </w:p>
    <w:p>
      <w:pPr>
        <w:pStyle w:val="22"/>
      </w:pPr>
      <w:r>
        <w:t>六是扎实开展有限空间作业专项整治，加大执法检查力度，督促企业认真汲取事故教训，落实主体责任，全面辨识有限空间作业风险，集中整治一批违法违规行为，防范有限空间作业事故的发生。</w:t>
      </w:r>
    </w:p>
    <w:p>
      <w:pPr>
        <w:pStyle w:val="22"/>
      </w:pPr>
      <w:r>
        <w:t>七是加快推进应急信息化平台建设。推进危险化学品安全生产风险监测预警系统建设，实现对全县危险化学品企业罐区、生产作业场所、危险源点监测、监控的联通。</w:t>
      </w:r>
    </w:p>
    <w:p>
      <w:pPr>
        <w:pStyle w:val="22"/>
      </w:pPr>
      <w:r>
        <w:t>八是做好我县各类突发事件应急预案编制工作；政府、部门及企业层面的安全生产事故救援应急演练工作；做好应急救援队伍的建设工作。</w:t>
      </w:r>
    </w:p>
    <w:p>
      <w:pPr>
        <w:pStyle w:val="22"/>
      </w:pPr>
      <w:r>
        <w:t>九是加大安全生产宣传力度，不断推进安全生产宣传进企业、进学校、进社区、进农村活动，扩大人民群众对国家安全生产的方针政策、法律法规的知晓度，增强安全意识和防伤害能力。</w:t>
      </w:r>
    </w:p>
    <w:p>
      <w:pPr>
        <w:pStyle w:val="22"/>
      </w:pPr>
      <w:r>
        <w:t>十是做好2022年防汛应急演练，灾害信息员培训，制定各种预案，保障地震监测井“极12井”正常运转。</w:t>
      </w:r>
    </w:p>
    <w:p>
      <w:pPr>
        <w:pStyle w:val="22"/>
      </w:pPr>
      <w:r>
        <w:t>十一是根据省市安排部署，在全县危险化学品、烟花爆竹、交通运输、建筑施工等高危行业领域强制实施安全生产责任保险，发挥保险机构的社会责任和管理功能，增强企业风险意识，提升企业事故预防能力，促使企业进一步落实安全生产主体责任。</w:t>
      </w:r>
    </w:p>
    <w:p>
      <w:pPr>
        <w:pStyle w:val="22"/>
      </w:pPr>
      <w:r>
        <w:t>十二是进一步深化安全生产领域风险防范整治工作，在危险化学品、道路交通、建筑施工、水利工程、城镇燃气、市政工程、特种设备、人员密集场所等行业领域，深入开展隐患大排查大整治活动，确保全县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（一）完善制度，落实责任，实现无缝隙安全监管</w:t>
      </w:r>
    </w:p>
    <w:p>
      <w:pPr>
        <w:pStyle w:val="23"/>
      </w:pPr>
      <w:r>
        <w:t>绩效目标：建立和完善五级保障制度，落实责任考核</w:t>
      </w:r>
    </w:p>
    <w:p>
      <w:pPr>
        <w:pStyle w:val="23"/>
      </w:pPr>
      <w:r>
        <w:t>绩效指标：通过建立五级保障制度，形成排查与巡查相结合的排查体系，确保做到“排查一个不漏，隐患一个不丢”，实现了隐患动态归零的行动目标。</w:t>
      </w:r>
    </w:p>
    <w:p>
      <w:pPr>
        <w:pStyle w:val="23"/>
      </w:pPr>
      <w:r>
        <w:t>（二）多措并举，遏制安全生产事故发生</w:t>
      </w:r>
    </w:p>
    <w:p>
      <w:pPr>
        <w:pStyle w:val="23"/>
      </w:pPr>
      <w:r>
        <w:t>绩效目标：安全生产控制目标完成情况</w:t>
      </w:r>
    </w:p>
    <w:p>
      <w:pPr>
        <w:pStyle w:val="23"/>
      </w:pPr>
      <w:r>
        <w:t>绩效指标：推动风险分级辨识与隐患排查治理，安全生产大排查大整治攻坚行动，开展安全生产专项整治</w:t>
      </w:r>
    </w:p>
    <w:p>
      <w:pPr>
        <w:pStyle w:val="23"/>
      </w:pPr>
      <w:r>
        <w:t>（三）防灾减灾活动</w:t>
      </w:r>
    </w:p>
    <w:p>
      <w:pPr>
        <w:pStyle w:val="23"/>
      </w:pPr>
      <w:r>
        <w:t>绩效目标：有效开展防灾减灾活动</w:t>
      </w:r>
    </w:p>
    <w:p>
      <w:pPr>
        <w:pStyle w:val="23"/>
      </w:pPr>
      <w:r>
        <w:t>绩效指标：建立自然灾害防治统筹协调机制；准确把握各类风险因素情况、防御设施情况、隐患排查治理情况，严格监管，加大执法力度，开展打击非法违法专项行动。</w:t>
      </w:r>
    </w:p>
    <w:p>
      <w:pPr>
        <w:pStyle w:val="23"/>
      </w:pPr>
      <w:r>
        <w:t>（四）建立应急管理信息化建设</w:t>
      </w:r>
    </w:p>
    <w:p>
      <w:pPr>
        <w:pStyle w:val="23"/>
      </w:pPr>
      <w:r>
        <w:t>绩效目标：建设无极县应急指挥中心</w:t>
      </w:r>
    </w:p>
    <w:p>
      <w:pPr>
        <w:pStyle w:val="23"/>
      </w:pPr>
      <w:r>
        <w:t>绩效指标：建成上连省应急管理厅、市应急管理局，下接重大危险源企业，横向对接消防、气象、自然资源、水利等有关单位，前端到生产企业和突发事件救援现场，互联互通、资源共享的应急管理综合信息系统。</w:t>
      </w:r>
    </w:p>
    <w:p>
      <w:pPr>
        <w:pStyle w:val="23"/>
      </w:pPr>
      <w:r>
        <w:t>（五）加强应急救援能力建设，提高防范和处置能力</w:t>
      </w:r>
    </w:p>
    <w:p>
      <w:pPr>
        <w:pStyle w:val="23"/>
      </w:pPr>
      <w:r>
        <w:t>绩效目标：完善安全生产应急预案</w:t>
      </w:r>
    </w:p>
    <w:p>
      <w:pPr>
        <w:pStyle w:val="23"/>
      </w:pPr>
      <w:r>
        <w:t>绩效指标：落实完善事故灾难和自然灾害分级应对制度，组织编制县总体应急预案和安全生产类、自然灾害类专项预案，综合协调应急预案衔接工作，组织开展预案演练，推动应急避难设施建设。</w:t>
      </w:r>
    </w:p>
    <w:p>
      <w:pPr>
        <w:pStyle w:val="23"/>
      </w:pPr>
      <w:r>
        <w:t>（六）安全生产月活动</w:t>
      </w:r>
    </w:p>
    <w:p>
      <w:pPr>
        <w:pStyle w:val="23"/>
      </w:pPr>
      <w:r>
        <w:t>绩效目标： 扎实推进安全生产宣传教育行动，强化安全意识，提高安全技能.</w:t>
      </w:r>
    </w:p>
    <w:p>
      <w:pPr>
        <w:pStyle w:val="23"/>
      </w:pPr>
      <w:r>
        <w:t>绩效指标：开展安全生产月、安全生产大型咨询宣传日，抓好“三项岗位人员”的安全教育培训，开办微信公众号，开展“安全进万家、幸福你我他”主题志愿服务活动。</w:t>
      </w:r>
    </w:p>
    <w:p>
      <w:pPr>
        <w:pStyle w:val="23"/>
      </w:pPr>
      <w:r>
        <w:t>（七）重点行业领域专项整治</w:t>
      </w:r>
    </w:p>
    <w:p>
      <w:pPr>
        <w:pStyle w:val="23"/>
      </w:pPr>
      <w:r>
        <w:t>绩效目标：组织聘请专家查隐患</w:t>
      </w:r>
    </w:p>
    <w:p>
      <w:pPr>
        <w:pStyle w:val="23"/>
      </w:pPr>
      <w:r>
        <w:t>绩效指标：持续深化重点行业领域专项整治。组织开展危险化学品“专家查隐患”，聘请专家对危化企业开展定期“查隐患”通过部门和企业联手，提高全市危化企业综合管理水平得到整体提升。</w:t>
      </w:r>
    </w:p>
    <w:p>
      <w:pPr>
        <w:pStyle w:val="23"/>
      </w:pPr>
      <w:r>
        <w:t>（八）综合业务管理</w:t>
      </w:r>
    </w:p>
    <w:p>
      <w:pPr>
        <w:pStyle w:val="23"/>
      </w:pPr>
      <w:r>
        <w:t>绩效目标：保障各业务工作畅通</w:t>
      </w:r>
    </w:p>
    <w:p>
      <w:pPr>
        <w:pStyle w:val="23"/>
      </w:pPr>
      <w:r>
        <w:t>绩效指标：综合业务管理工作完成率≥90%</w:t>
      </w:r>
    </w:p>
    <w:p>
      <w:pPr>
        <w:pStyle w:val="23"/>
      </w:pPr>
      <w:r>
        <w:t>（九）综合事务管理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完善制度建设。制定完善预算绩效管理制度，建立和完善五级保障制度，落实责任考核，大力加强安监队伍建设，开展经常性的检查督导，确保应急工作有序开展。</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进一步深化安全生产大排查大整治攻坚行动，强化重点行业领域专项整治，继续完善安全生产责任体系，监管体系和法治体系，做好安全生产基层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抓好“三项岗位人员”的安全教育培训。继续对本辖区内重点企业的三类人员开展培训，开展安全生产月、安全生产大型咨询宣传日等活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2832"/>
        </w:tabs>
        <w:bidi w:val="0"/>
        <w:jc w:val="left"/>
        <w:rPr>
          <w:rFonts w:hint="default"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ab/>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1、关于提前下达2026年市级防震减灾群测群防补助资金绩效目标表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13013026P00014010005G</w:t>
            </w:r>
          </w:p>
        </w:tc>
        <w:tc>
          <w:tcPr>
            <w:tcW w:w="2835" w:type="dxa"/>
            <w:vAlign w:val="center"/>
          </w:tcPr>
          <w:p>
            <w:pPr>
              <w:pStyle w:val="11"/>
            </w:pPr>
            <w:r>
              <w:t>项目名称</w:t>
            </w:r>
          </w:p>
        </w:tc>
        <w:tc>
          <w:tcPr>
            <w:tcW w:w="6095" w:type="dxa"/>
            <w:gridSpan w:val="3"/>
            <w:vAlign w:val="center"/>
          </w:tcPr>
          <w:p>
            <w:pPr>
              <w:pStyle w:val="13"/>
            </w:pPr>
            <w:r>
              <w:t>关于提前下达2026年市级防震减灾群测群防补助资金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2026年市级防震减灾群测群防补助资金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地震观测站点</w:t>
            </w:r>
          </w:p>
        </w:tc>
        <w:tc>
          <w:tcPr>
            <w:tcW w:w="5386" w:type="dxa"/>
            <w:vAlign w:val="center"/>
          </w:tcPr>
          <w:p>
            <w:pPr>
              <w:pStyle w:val="13"/>
            </w:pPr>
            <w:r>
              <w:t>地震观测站点</w:t>
            </w:r>
          </w:p>
        </w:tc>
        <w:tc>
          <w:tcPr>
            <w:tcW w:w="2268" w:type="dxa"/>
            <w:vAlign w:val="center"/>
          </w:tcPr>
          <w:p>
            <w:pPr>
              <w:pStyle w:val="13"/>
            </w:pPr>
            <w:r>
              <w:t>≥60个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观测站点正常运行率</w:t>
            </w:r>
          </w:p>
        </w:tc>
        <w:tc>
          <w:tcPr>
            <w:tcW w:w="5386" w:type="dxa"/>
            <w:vAlign w:val="center"/>
          </w:tcPr>
          <w:p>
            <w:pPr>
              <w:pStyle w:val="13"/>
            </w:pPr>
            <w:r>
              <w:t>观测站点正常运行率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按照有关工作要求，完成地震灾情速报</w:t>
            </w:r>
          </w:p>
        </w:tc>
        <w:tc>
          <w:tcPr>
            <w:tcW w:w="5386" w:type="dxa"/>
            <w:vAlign w:val="center"/>
          </w:tcPr>
          <w:p>
            <w:pPr>
              <w:pStyle w:val="13"/>
            </w:pPr>
            <w:r>
              <w:t>按照有关工作要求，完成地震灾情速报</w:t>
            </w:r>
          </w:p>
        </w:tc>
        <w:tc>
          <w:tcPr>
            <w:tcW w:w="2268" w:type="dxa"/>
            <w:vAlign w:val="center"/>
          </w:tcPr>
          <w:p>
            <w:pPr>
              <w:pStyle w:val="13"/>
            </w:pPr>
            <w:r>
              <w:t>在规定时间内完成上报工作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≤20</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进一步降低地震造成的经济损失和人员伤亡</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相关工作要求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2、关于提前下达2026年自然灾害救助资金（农房保险试点补助经费）绩效目标表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13013026P00014010004W</w:t>
            </w:r>
          </w:p>
        </w:tc>
        <w:tc>
          <w:tcPr>
            <w:tcW w:w="2835" w:type="dxa"/>
            <w:vAlign w:val="center"/>
          </w:tcPr>
          <w:p>
            <w:pPr>
              <w:pStyle w:val="11"/>
            </w:pPr>
            <w:r>
              <w:t>项目名称</w:t>
            </w:r>
          </w:p>
        </w:tc>
        <w:tc>
          <w:tcPr>
            <w:tcW w:w="6095" w:type="dxa"/>
            <w:gridSpan w:val="3"/>
            <w:vAlign w:val="center"/>
          </w:tcPr>
          <w:p>
            <w:pPr>
              <w:pStyle w:val="13"/>
            </w:pPr>
            <w:r>
              <w:t>关于提前下达2026年自然灾害救助资金（农房保险试点补助经费）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57.52</w:t>
            </w:r>
          </w:p>
        </w:tc>
        <w:tc>
          <w:tcPr>
            <w:tcW w:w="2835" w:type="dxa"/>
            <w:vAlign w:val="center"/>
          </w:tcPr>
          <w:p>
            <w:pPr>
              <w:pStyle w:val="11"/>
            </w:pPr>
            <w:r>
              <w:t>其中：财政    资金</w:t>
            </w:r>
          </w:p>
        </w:tc>
        <w:tc>
          <w:tcPr>
            <w:tcW w:w="2551" w:type="dxa"/>
            <w:vAlign w:val="center"/>
          </w:tcPr>
          <w:p>
            <w:pPr>
              <w:pStyle w:val="13"/>
            </w:pPr>
            <w:r>
              <w:t>57.52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政策性农村住房灾害保险补助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57.52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实际发放率</w:t>
            </w:r>
          </w:p>
        </w:tc>
        <w:tc>
          <w:tcPr>
            <w:tcW w:w="5386" w:type="dxa"/>
            <w:vAlign w:val="center"/>
          </w:tcPr>
          <w:p>
            <w:pPr>
              <w:pStyle w:val="13"/>
            </w:pPr>
            <w:r>
              <w:t>实际入保险情况</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入保险准确情况</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入保险及时情况</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保障人员稳定</w:t>
            </w:r>
          </w:p>
        </w:tc>
        <w:tc>
          <w:tcPr>
            <w:tcW w:w="5386" w:type="dxa"/>
            <w:vAlign w:val="center"/>
          </w:tcPr>
          <w:p>
            <w:pPr>
              <w:pStyle w:val="13"/>
            </w:pPr>
            <w:r>
              <w:t>保障人员稳定，保持工作正常进行</w:t>
            </w:r>
          </w:p>
        </w:tc>
        <w:tc>
          <w:tcPr>
            <w:tcW w:w="2268" w:type="dxa"/>
            <w:vAlign w:val="center"/>
          </w:tcPr>
          <w:p>
            <w:pPr>
              <w:pStyle w:val="13"/>
            </w:pPr>
            <w:r>
              <w:t>保障人员稳定，保持工作正常进行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保险运转完成率</w:t>
            </w:r>
          </w:p>
        </w:tc>
        <w:tc>
          <w:tcPr>
            <w:tcW w:w="5386" w:type="dxa"/>
            <w:vAlign w:val="center"/>
          </w:tcPr>
          <w:p>
            <w:pPr>
              <w:pStyle w:val="13"/>
            </w:pPr>
            <w:r>
              <w:t>确保工作正常运转</w:t>
            </w:r>
          </w:p>
        </w:tc>
        <w:tc>
          <w:tcPr>
            <w:tcW w:w="2268" w:type="dxa"/>
            <w:vAlign w:val="center"/>
          </w:tcPr>
          <w:p>
            <w:pPr>
              <w:pStyle w:val="13"/>
            </w:pPr>
            <w:r>
              <w:t>确保工作正常运转</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保证保险工作正常进行</w:t>
            </w:r>
          </w:p>
        </w:tc>
        <w:tc>
          <w:tcPr>
            <w:tcW w:w="5386" w:type="dxa"/>
            <w:vAlign w:val="center"/>
          </w:tcPr>
          <w:p>
            <w:pPr>
              <w:pStyle w:val="13"/>
            </w:pPr>
            <w:r>
              <w:t>保证保险工作正常进行</w:t>
            </w:r>
          </w:p>
        </w:tc>
        <w:tc>
          <w:tcPr>
            <w:tcW w:w="2268" w:type="dxa"/>
            <w:vAlign w:val="center"/>
          </w:tcPr>
          <w:p>
            <w:pPr>
              <w:pStyle w:val="13"/>
            </w:pPr>
            <w:r>
              <w:t>保证保险工作正常进行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灾民对入保险情况满意度</w:t>
            </w:r>
          </w:p>
        </w:tc>
        <w:tc>
          <w:tcPr>
            <w:tcW w:w="2268" w:type="dxa"/>
            <w:vAlign w:val="center"/>
          </w:tcPr>
          <w:p>
            <w:pPr>
              <w:pStyle w:val="13"/>
            </w:pPr>
            <w:r>
              <w:t>≥100%</w:t>
            </w:r>
          </w:p>
        </w:tc>
        <w:tc>
          <w:tcPr>
            <w:tcW w:w="1276" w:type="dxa"/>
            <w:vAlign w:val="center"/>
          </w:tcPr>
          <w:p>
            <w:pPr>
              <w:pStyle w:val="13"/>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3、河北省石家庄市基层防灾工程项目国债项目县级配套绩效目标表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13013025P00000210274T</w:t>
            </w:r>
          </w:p>
        </w:tc>
        <w:tc>
          <w:tcPr>
            <w:tcW w:w="2835" w:type="dxa"/>
            <w:vAlign w:val="center"/>
          </w:tcPr>
          <w:p>
            <w:pPr>
              <w:pStyle w:val="11"/>
            </w:pPr>
            <w:r>
              <w:t>项目名称</w:t>
            </w:r>
          </w:p>
        </w:tc>
        <w:tc>
          <w:tcPr>
            <w:tcW w:w="6095" w:type="dxa"/>
            <w:gridSpan w:val="3"/>
            <w:vAlign w:val="center"/>
          </w:tcPr>
          <w:p>
            <w:pPr>
              <w:pStyle w:val="13"/>
            </w:pPr>
            <w:r>
              <w:t>河北省石家庄市基层防灾工程项目国债项目县级配套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115.96</w:t>
            </w:r>
          </w:p>
        </w:tc>
        <w:tc>
          <w:tcPr>
            <w:tcW w:w="2835" w:type="dxa"/>
            <w:vAlign w:val="center"/>
          </w:tcPr>
          <w:p>
            <w:pPr>
              <w:pStyle w:val="11"/>
            </w:pPr>
            <w:r>
              <w:t>其中：财政    资金</w:t>
            </w:r>
          </w:p>
        </w:tc>
        <w:tc>
          <w:tcPr>
            <w:tcW w:w="2551" w:type="dxa"/>
            <w:vAlign w:val="center"/>
          </w:tcPr>
          <w:p>
            <w:pPr>
              <w:pStyle w:val="13"/>
            </w:pPr>
            <w:r>
              <w:t>115.96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完成河北省石家庄市基层防灾工程项目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115.96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1.及时完成河北省石家庄市基层防灾工程项目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完成河北省石家庄市基层防灾工程项目</w:t>
            </w:r>
          </w:p>
        </w:tc>
        <w:tc>
          <w:tcPr>
            <w:tcW w:w="5386" w:type="dxa"/>
            <w:vAlign w:val="center"/>
          </w:tcPr>
          <w:p>
            <w:pPr>
              <w:pStyle w:val="13"/>
            </w:pPr>
            <w:r>
              <w:t>项目完成情况</w:t>
            </w:r>
          </w:p>
        </w:tc>
        <w:tc>
          <w:tcPr>
            <w:tcW w:w="2268" w:type="dxa"/>
            <w:vAlign w:val="center"/>
          </w:tcPr>
          <w:p>
            <w:pPr>
              <w:pStyle w:val="13"/>
            </w:pPr>
            <w:r>
              <w:t>1项目完成情况</w:t>
            </w:r>
          </w:p>
        </w:tc>
        <w:tc>
          <w:tcPr>
            <w:tcW w:w="1276" w:type="dxa"/>
            <w:vAlign w:val="center"/>
          </w:tcPr>
          <w:p>
            <w:pPr>
              <w:pStyle w:val="13"/>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项目完成合格率</w:t>
            </w:r>
          </w:p>
        </w:tc>
        <w:tc>
          <w:tcPr>
            <w:tcW w:w="5386" w:type="dxa"/>
            <w:vAlign w:val="center"/>
          </w:tcPr>
          <w:p>
            <w:pPr>
              <w:pStyle w:val="13"/>
            </w:pPr>
            <w:r>
              <w:t>项目完成合格率</w:t>
            </w:r>
          </w:p>
        </w:tc>
        <w:tc>
          <w:tcPr>
            <w:tcW w:w="2268" w:type="dxa"/>
            <w:vAlign w:val="center"/>
          </w:tcPr>
          <w:p>
            <w:pPr>
              <w:pStyle w:val="13"/>
            </w:pPr>
            <w:r>
              <w:t>≥100%</w:t>
            </w:r>
          </w:p>
        </w:tc>
        <w:tc>
          <w:tcPr>
            <w:tcW w:w="1276" w:type="dxa"/>
            <w:vAlign w:val="center"/>
          </w:tcPr>
          <w:p>
            <w:pPr>
              <w:pStyle w:val="13"/>
            </w:pPr>
            <w:r>
              <w:t>项目完成合格率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2025年12月31日前</w:t>
            </w:r>
          </w:p>
        </w:tc>
        <w:tc>
          <w:tcPr>
            <w:tcW w:w="1276" w:type="dxa"/>
            <w:vAlign w:val="center"/>
          </w:tcPr>
          <w:p>
            <w:pPr>
              <w:pStyle w:val="13"/>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增发2023年国债自然灾害应急能力提升工程基层防灾项目县级配套资金预算执行数</w:t>
            </w:r>
          </w:p>
        </w:tc>
        <w:tc>
          <w:tcPr>
            <w:tcW w:w="5386" w:type="dxa"/>
            <w:vAlign w:val="center"/>
          </w:tcPr>
          <w:p>
            <w:pPr>
              <w:pStyle w:val="13"/>
            </w:pPr>
            <w:r>
              <w:t>增发2023年国债自然灾害应急能力提升工程基层防灾项目县级配套资金预算执行数</w:t>
            </w:r>
          </w:p>
        </w:tc>
        <w:tc>
          <w:tcPr>
            <w:tcW w:w="2268" w:type="dxa"/>
            <w:vAlign w:val="center"/>
          </w:tcPr>
          <w:p>
            <w:pPr>
              <w:pStyle w:val="13"/>
            </w:pPr>
            <w:r>
              <w:t>≥107.82万元</w:t>
            </w:r>
          </w:p>
        </w:tc>
        <w:tc>
          <w:tcPr>
            <w:tcW w:w="1276" w:type="dxa"/>
            <w:vAlign w:val="center"/>
          </w:tcPr>
          <w:p>
            <w:pPr>
              <w:pStyle w:val="13"/>
            </w:pPr>
            <w:r>
              <w:t>增发2023年国债自然灾害应急能力提升工程基层防灾项目县级配套资金预算执行数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提高基层防灾能力</w:t>
            </w:r>
          </w:p>
        </w:tc>
        <w:tc>
          <w:tcPr>
            <w:tcW w:w="5386" w:type="dxa"/>
            <w:vAlign w:val="center"/>
          </w:tcPr>
          <w:p>
            <w:pPr>
              <w:pStyle w:val="13"/>
            </w:pPr>
            <w:r>
              <w:t>项目综合利用情况</w:t>
            </w:r>
          </w:p>
        </w:tc>
        <w:tc>
          <w:tcPr>
            <w:tcW w:w="2268" w:type="dxa"/>
            <w:vAlign w:val="center"/>
          </w:tcPr>
          <w:p>
            <w:pPr>
              <w:pStyle w:val="13"/>
            </w:pPr>
            <w:r>
              <w:t>进一步提高基层防灾能力</w:t>
            </w:r>
          </w:p>
        </w:tc>
        <w:tc>
          <w:tcPr>
            <w:tcW w:w="1276" w:type="dxa"/>
            <w:vAlign w:val="center"/>
          </w:tcPr>
          <w:p>
            <w:pPr>
              <w:pStyle w:val="13"/>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4、河北省自然灾害应急能力提升工程预警指挥项目绩效目标表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13013024P00002010190F</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及时完成河北省自然灾害应急能力提升工程预警指挥项目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完成河北省自然灾害应急能力提升工程项目数量</w:t>
            </w:r>
          </w:p>
        </w:tc>
        <w:tc>
          <w:tcPr>
            <w:tcW w:w="5386" w:type="dxa"/>
            <w:vAlign w:val="center"/>
          </w:tcPr>
          <w:p>
            <w:pPr>
              <w:pStyle w:val="13"/>
            </w:pPr>
            <w:r>
              <w:t>项目完成情况</w:t>
            </w:r>
          </w:p>
        </w:tc>
        <w:tc>
          <w:tcPr>
            <w:tcW w:w="2268" w:type="dxa"/>
            <w:vAlign w:val="center"/>
          </w:tcPr>
          <w:p>
            <w:pPr>
              <w:pStyle w:val="13"/>
            </w:pPr>
            <w:r>
              <w:t>项目完成情况1项</w:t>
            </w:r>
          </w:p>
        </w:tc>
        <w:tc>
          <w:tcPr>
            <w:tcW w:w="1276" w:type="dxa"/>
            <w:vAlign w:val="center"/>
          </w:tcPr>
          <w:p>
            <w:pPr>
              <w:pStyle w:val="13"/>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装备配发完成率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购置设备合格率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增发2023年国债自然灾害应急能力提升工程预警指挥项目国债资金预算执行数</w:t>
            </w:r>
          </w:p>
        </w:tc>
        <w:tc>
          <w:tcPr>
            <w:tcW w:w="5386" w:type="dxa"/>
            <w:vAlign w:val="center"/>
          </w:tcPr>
          <w:p>
            <w:pPr>
              <w:pStyle w:val="13"/>
            </w:pPr>
            <w:r>
              <w:t>增发2023年国债自然灾害应急能力提升工程预警指挥项目国债资金预算执行数</w:t>
            </w:r>
          </w:p>
        </w:tc>
        <w:tc>
          <w:tcPr>
            <w:tcW w:w="2268" w:type="dxa"/>
            <w:vAlign w:val="center"/>
          </w:tcPr>
          <w:p>
            <w:pPr>
              <w:pStyle w:val="13"/>
            </w:pPr>
            <w:r>
              <w:t>≤87.2万元</w:t>
            </w:r>
          </w:p>
        </w:tc>
        <w:tc>
          <w:tcPr>
            <w:tcW w:w="1276" w:type="dxa"/>
            <w:vAlign w:val="center"/>
          </w:tcPr>
          <w:p>
            <w:pPr>
              <w:pStyle w:val="13"/>
            </w:pPr>
            <w:r>
              <w:t>增发2023年国债自然灾害应急能力提升工程预警指挥项目国债资金预算执行数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提高预警指挥通信能力</w:t>
            </w:r>
          </w:p>
        </w:tc>
        <w:tc>
          <w:tcPr>
            <w:tcW w:w="5386" w:type="dxa"/>
            <w:vAlign w:val="center"/>
          </w:tcPr>
          <w:p>
            <w:pPr>
              <w:pStyle w:val="13"/>
            </w:pPr>
            <w:r>
              <w:t>项目综合利用情况</w:t>
            </w:r>
          </w:p>
        </w:tc>
        <w:tc>
          <w:tcPr>
            <w:tcW w:w="2268" w:type="dxa"/>
            <w:vAlign w:val="center"/>
          </w:tcPr>
          <w:p>
            <w:pPr>
              <w:pStyle w:val="13"/>
            </w:pPr>
            <w:r>
              <w:t>进一步提高预警指挥通信能力</w:t>
            </w:r>
          </w:p>
        </w:tc>
        <w:tc>
          <w:tcPr>
            <w:tcW w:w="1276" w:type="dxa"/>
            <w:vAlign w:val="center"/>
          </w:tcPr>
          <w:p>
            <w:pPr>
              <w:pStyle w:val="13"/>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5、河北省自然灾害应急能力提升工程预警指挥项目国债项目县级配套绩效目标表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13013025P00000210270C</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14.53</w:t>
            </w:r>
          </w:p>
        </w:tc>
        <w:tc>
          <w:tcPr>
            <w:tcW w:w="2835" w:type="dxa"/>
            <w:vAlign w:val="center"/>
          </w:tcPr>
          <w:p>
            <w:pPr>
              <w:pStyle w:val="11"/>
            </w:pPr>
            <w:r>
              <w:t>其中：财政    资金</w:t>
            </w:r>
          </w:p>
        </w:tc>
        <w:tc>
          <w:tcPr>
            <w:tcW w:w="2551" w:type="dxa"/>
            <w:vAlign w:val="center"/>
          </w:tcPr>
          <w:p>
            <w:pPr>
              <w:pStyle w:val="13"/>
            </w:pPr>
            <w:r>
              <w:t>14.53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河北省自然灾害应急能力提升工程预警指挥项目国债项目县级配套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14.53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装备配发完成率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购置设备合格率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增发2023年国债自然灾害应急能力提升工程预警指挥项目县级配套资金预算执行数</w:t>
            </w:r>
          </w:p>
        </w:tc>
        <w:tc>
          <w:tcPr>
            <w:tcW w:w="5386" w:type="dxa"/>
            <w:vAlign w:val="center"/>
          </w:tcPr>
          <w:p>
            <w:pPr>
              <w:pStyle w:val="13"/>
            </w:pPr>
            <w:r>
              <w:t>增发2023年国债自然灾害应急能力提升工程预警指挥项目县级配套资金预算执行数</w:t>
            </w:r>
          </w:p>
        </w:tc>
        <w:tc>
          <w:tcPr>
            <w:tcW w:w="2268" w:type="dxa"/>
            <w:vAlign w:val="center"/>
          </w:tcPr>
          <w:p>
            <w:pPr>
              <w:pStyle w:val="13"/>
            </w:pPr>
            <w:r>
              <w:t>≤14.53万元</w:t>
            </w:r>
          </w:p>
        </w:tc>
        <w:tc>
          <w:tcPr>
            <w:tcW w:w="1276" w:type="dxa"/>
            <w:vAlign w:val="center"/>
          </w:tcPr>
          <w:p>
            <w:pPr>
              <w:pStyle w:val="13"/>
            </w:pPr>
            <w:r>
              <w:t>增发2023年国债自然灾害应急能力提升工程预警指挥项目县级配套资金预算执行数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提高预警指挥通信能力</w:t>
            </w:r>
          </w:p>
        </w:tc>
        <w:tc>
          <w:tcPr>
            <w:tcW w:w="5386" w:type="dxa"/>
            <w:vAlign w:val="center"/>
          </w:tcPr>
          <w:p>
            <w:pPr>
              <w:pStyle w:val="13"/>
            </w:pPr>
            <w:r>
              <w:t>项目综合利用情况</w:t>
            </w:r>
          </w:p>
        </w:tc>
        <w:tc>
          <w:tcPr>
            <w:tcW w:w="2268" w:type="dxa"/>
            <w:vAlign w:val="center"/>
          </w:tcPr>
          <w:p>
            <w:pPr>
              <w:pStyle w:val="13"/>
            </w:pPr>
            <w:r>
              <w:t>进一步提高预警指挥通信能力</w:t>
            </w:r>
          </w:p>
        </w:tc>
        <w:tc>
          <w:tcPr>
            <w:tcW w:w="1276" w:type="dxa"/>
            <w:vAlign w:val="center"/>
          </w:tcPr>
          <w:p>
            <w:pPr>
              <w:pStyle w:val="13"/>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6、河北省自然灾害应急能力提升工程预警指挥项目省级补助绩效目标表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13013025P000002102762</w:t>
            </w:r>
          </w:p>
        </w:tc>
        <w:tc>
          <w:tcPr>
            <w:tcW w:w="2835" w:type="dxa"/>
            <w:vAlign w:val="center"/>
          </w:tcPr>
          <w:p>
            <w:pPr>
              <w:pStyle w:val="11"/>
            </w:pPr>
            <w:r>
              <w:t>项目名称</w:t>
            </w:r>
          </w:p>
        </w:tc>
        <w:tc>
          <w:tcPr>
            <w:tcW w:w="6095" w:type="dxa"/>
            <w:gridSpan w:val="3"/>
            <w:vAlign w:val="center"/>
          </w:tcPr>
          <w:p>
            <w:pPr>
              <w:pStyle w:val="13"/>
            </w:pPr>
            <w:r>
              <w:t>河北省自然灾害应急能力提升工程预警指挥项目省级补助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7.27</w:t>
            </w:r>
          </w:p>
        </w:tc>
        <w:tc>
          <w:tcPr>
            <w:tcW w:w="2835" w:type="dxa"/>
            <w:vAlign w:val="center"/>
          </w:tcPr>
          <w:p>
            <w:pPr>
              <w:pStyle w:val="11"/>
            </w:pPr>
            <w:r>
              <w:t>其中：财政    资金</w:t>
            </w:r>
          </w:p>
        </w:tc>
        <w:tc>
          <w:tcPr>
            <w:tcW w:w="2551" w:type="dxa"/>
            <w:vAlign w:val="center"/>
          </w:tcPr>
          <w:p>
            <w:pPr>
              <w:pStyle w:val="13"/>
            </w:pPr>
            <w:r>
              <w:t>7.27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河北省自然灾害应急能力提升工程预警指挥项目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1.及时完成河北省自然灾害应急能力提升工程预警指挥项目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装备配发完成率</w:t>
            </w:r>
          </w:p>
        </w:tc>
        <w:tc>
          <w:tcPr>
            <w:tcW w:w="5386" w:type="dxa"/>
            <w:vAlign w:val="center"/>
          </w:tcPr>
          <w:p>
            <w:pPr>
              <w:pStyle w:val="13"/>
            </w:pPr>
            <w:r>
              <w:t>装备配发完成率</w:t>
            </w:r>
          </w:p>
        </w:tc>
        <w:tc>
          <w:tcPr>
            <w:tcW w:w="2268" w:type="dxa"/>
            <w:vAlign w:val="center"/>
          </w:tcPr>
          <w:p>
            <w:pPr>
              <w:pStyle w:val="13"/>
            </w:pPr>
            <w:r>
              <w:t>≥100%</w:t>
            </w:r>
          </w:p>
        </w:tc>
        <w:tc>
          <w:tcPr>
            <w:tcW w:w="1276" w:type="dxa"/>
            <w:vAlign w:val="center"/>
          </w:tcPr>
          <w:p>
            <w:pPr>
              <w:pStyle w:val="13"/>
            </w:pPr>
            <w:r>
              <w:t>装备配发完成率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购置设备合格率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项目竣工时间</w:t>
            </w:r>
          </w:p>
        </w:tc>
        <w:tc>
          <w:tcPr>
            <w:tcW w:w="2268" w:type="dxa"/>
            <w:vAlign w:val="center"/>
          </w:tcPr>
          <w:p>
            <w:pPr>
              <w:pStyle w:val="13"/>
            </w:pPr>
            <w:r>
              <w:t>2024年12月31日前</w:t>
            </w:r>
          </w:p>
        </w:tc>
        <w:tc>
          <w:tcPr>
            <w:tcW w:w="1276" w:type="dxa"/>
            <w:vAlign w:val="center"/>
          </w:tcPr>
          <w:p>
            <w:pPr>
              <w:pStyle w:val="13"/>
            </w:pPr>
            <w:r>
              <w:t>项目竣工时间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增发2023年国债自然灾害应急能力提升工程预警指挥项目省级补助资金预算执行数</w:t>
            </w:r>
          </w:p>
        </w:tc>
        <w:tc>
          <w:tcPr>
            <w:tcW w:w="5386" w:type="dxa"/>
            <w:vAlign w:val="center"/>
          </w:tcPr>
          <w:p>
            <w:pPr>
              <w:pStyle w:val="13"/>
            </w:pPr>
            <w:r>
              <w:t>增发2023年国债自然灾害应急能力提升工程预警指挥项目省级补助资金预算执行数</w:t>
            </w:r>
          </w:p>
        </w:tc>
        <w:tc>
          <w:tcPr>
            <w:tcW w:w="2268" w:type="dxa"/>
            <w:vAlign w:val="center"/>
          </w:tcPr>
          <w:p>
            <w:pPr>
              <w:pStyle w:val="13"/>
            </w:pPr>
            <w:r>
              <w:t>≤7.26万元</w:t>
            </w:r>
          </w:p>
        </w:tc>
        <w:tc>
          <w:tcPr>
            <w:tcW w:w="1276" w:type="dxa"/>
            <w:vAlign w:val="center"/>
          </w:tcPr>
          <w:p>
            <w:pPr>
              <w:pStyle w:val="13"/>
            </w:pPr>
            <w:r>
              <w:t>增发2023年国债自然灾害应急能力提升工程预警指挥项目省级补助资金预算执行数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提高预警指挥通信能力</w:t>
            </w:r>
          </w:p>
        </w:tc>
        <w:tc>
          <w:tcPr>
            <w:tcW w:w="5386" w:type="dxa"/>
            <w:vAlign w:val="center"/>
          </w:tcPr>
          <w:p>
            <w:pPr>
              <w:pStyle w:val="13"/>
            </w:pPr>
            <w:r>
              <w:t>项目综合利用情况</w:t>
            </w:r>
          </w:p>
        </w:tc>
        <w:tc>
          <w:tcPr>
            <w:tcW w:w="2268" w:type="dxa"/>
            <w:vAlign w:val="center"/>
          </w:tcPr>
          <w:p>
            <w:pPr>
              <w:pStyle w:val="13"/>
            </w:pPr>
            <w:r>
              <w:t>进一步提高预警指挥通信能力</w:t>
            </w:r>
          </w:p>
        </w:tc>
        <w:tc>
          <w:tcPr>
            <w:tcW w:w="1276" w:type="dxa"/>
            <w:vAlign w:val="center"/>
          </w:tcPr>
          <w:p>
            <w:pPr>
              <w:pStyle w:val="13"/>
            </w:pPr>
            <w:r>
              <w:t>项目综合利用情况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使用满意度</w:t>
            </w:r>
          </w:p>
        </w:tc>
        <w:tc>
          <w:tcPr>
            <w:tcW w:w="5386" w:type="dxa"/>
            <w:vAlign w:val="center"/>
          </w:tcPr>
          <w:p>
            <w:pPr>
              <w:pStyle w:val="13"/>
            </w:pPr>
            <w:r>
              <w:t>反映通过问卷调查受益群体满意情况</w:t>
            </w:r>
          </w:p>
        </w:tc>
        <w:tc>
          <w:tcPr>
            <w:tcW w:w="2268" w:type="dxa"/>
            <w:vAlign w:val="center"/>
          </w:tcPr>
          <w:p>
            <w:pPr>
              <w:pStyle w:val="13"/>
            </w:pPr>
            <w:r>
              <w:t>≥90%</w:t>
            </w:r>
          </w:p>
        </w:tc>
        <w:tc>
          <w:tcPr>
            <w:tcW w:w="1276" w:type="dxa"/>
            <w:vAlign w:val="center"/>
          </w:tcPr>
          <w:p>
            <w:pPr>
              <w:pStyle w:val="13"/>
            </w:pPr>
            <w:r>
              <w:t>反映通过问卷调查受益群体满意情况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426无极县应急管理局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无极县应急管理局（含所属单位）上年末固定资产金额为1069.18万元（详见下表）。本年度拟购置固定资产总额为0.00万元，已按要求列入政府采购预算，详见政府采购预算表。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426无极县应急管理局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1069.18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154.96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32</w:t>
            </w:r>
          </w:p>
        </w:tc>
        <w:tc>
          <w:tcPr>
            <w:tcW w:w="2835" w:type="dxa"/>
            <w:vAlign w:val="center"/>
          </w:tcPr>
          <w:p>
            <w:pPr>
              <w:pStyle w:val="12"/>
            </w:pPr>
            <w:r>
              <w:t>914.22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3731DBE"/>
    <w:rsid w:val="66496A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2026-02-27T14:22:00Z</dcterms:created>
  <dc:creator>Administrator</dc:creator>
  <cp:lastModifiedBy>雾野sama公子白?</cp:lastModifiedBy>
  <dcterms:modified xsi:type="dcterms:W3CDTF">2026-03-03T05:58:10Z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EBD08924C2354D458DDAFC45F26ED855</vt:lpwstr>
  </property>
</Properties>
</file>