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711无极县总工会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178.77</w:t>
            </w:r>
          </w:p>
        </w:tc>
        <w:tc>
          <w:tcPr>
            <w:tcW w:w="4535" w:type="dxa"/>
            <w:vAlign w:val="center"/>
          </w:tcPr>
          <w:p>
            <w:pPr>
              <w:pStyle w:val="13"/>
            </w:pPr>
            <w:r>
              <w:t>一、一般公共服务支出</w:t>
            </w:r>
          </w:p>
        </w:tc>
        <w:tc>
          <w:tcPr>
            <w:tcW w:w="2126" w:type="dxa"/>
            <w:vAlign w:val="center"/>
          </w:tcPr>
          <w:p>
            <w:pPr>
              <w:pStyle w:val="12"/>
            </w:pPr>
            <w:r>
              <w:t>155.77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178.77</w:t>
            </w:r>
          </w:p>
        </w:tc>
        <w:tc>
          <w:tcPr>
            <w:tcW w:w="4535" w:type="dxa"/>
            <w:vAlign w:val="center"/>
          </w:tcPr>
          <w:p>
            <w:pPr>
              <w:pStyle w:val="15"/>
            </w:pPr>
            <w:r>
              <w:t>本年支出合计</w:t>
            </w:r>
          </w:p>
        </w:tc>
        <w:tc>
          <w:tcPr>
            <w:tcW w:w="2126" w:type="dxa"/>
            <w:vAlign w:val="center"/>
          </w:tcPr>
          <w:p>
            <w:pPr>
              <w:pStyle w:val="16"/>
            </w:pPr>
            <w:r>
              <w:t>178.77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178.77</w:t>
            </w:r>
          </w:p>
        </w:tc>
        <w:tc>
          <w:tcPr>
            <w:tcW w:w="4535" w:type="dxa"/>
            <w:vAlign w:val="center"/>
          </w:tcPr>
          <w:p>
            <w:pPr>
              <w:pStyle w:val="15"/>
            </w:pPr>
            <w:r>
              <w:t>支出总计</w:t>
            </w:r>
          </w:p>
        </w:tc>
        <w:tc>
          <w:tcPr>
            <w:tcW w:w="2126" w:type="dxa"/>
            <w:vAlign w:val="center"/>
          </w:tcPr>
          <w:p>
            <w:pPr>
              <w:pStyle w:val="16"/>
            </w:pPr>
            <w:r>
              <w:t>178.77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711无极县总工会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178.77</w:t>
            </w:r>
          </w:p>
        </w:tc>
        <w:tc>
          <w:tcPr>
            <w:tcW w:w="1134" w:type="dxa"/>
            <w:vAlign w:val="center"/>
          </w:tcPr>
          <w:p>
            <w:pPr>
              <w:pStyle w:val="16"/>
            </w:pPr>
            <w:r>
              <w:t>178.77</w:t>
            </w:r>
          </w:p>
        </w:tc>
        <w:tc>
          <w:tcPr>
            <w:tcW w:w="1134" w:type="dxa"/>
            <w:vAlign w:val="center"/>
          </w:tcPr>
          <w:p>
            <w:pPr>
              <w:pStyle w:val="16"/>
            </w:pPr>
            <w:r>
              <w:t>178.77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155.77</w:t>
            </w:r>
          </w:p>
        </w:tc>
        <w:tc>
          <w:tcPr>
            <w:tcW w:w="1134" w:type="dxa"/>
            <w:vAlign w:val="center"/>
          </w:tcPr>
          <w:p>
            <w:pPr>
              <w:pStyle w:val="12"/>
            </w:pPr>
            <w:r>
              <w:t>155.77</w:t>
            </w:r>
          </w:p>
        </w:tc>
        <w:tc>
          <w:tcPr>
            <w:tcW w:w="1134" w:type="dxa"/>
            <w:vAlign w:val="center"/>
          </w:tcPr>
          <w:p>
            <w:pPr>
              <w:pStyle w:val="12"/>
            </w:pPr>
            <w:r>
              <w:t>155.77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155.77</w:t>
            </w:r>
          </w:p>
        </w:tc>
        <w:tc>
          <w:tcPr>
            <w:tcW w:w="1134" w:type="dxa"/>
            <w:vAlign w:val="center"/>
          </w:tcPr>
          <w:p>
            <w:pPr>
              <w:pStyle w:val="12"/>
            </w:pPr>
            <w:r>
              <w:t>155.77</w:t>
            </w:r>
          </w:p>
        </w:tc>
        <w:tc>
          <w:tcPr>
            <w:tcW w:w="1134" w:type="dxa"/>
            <w:vAlign w:val="center"/>
          </w:tcPr>
          <w:p>
            <w:pPr>
              <w:pStyle w:val="12"/>
            </w:pPr>
            <w:r>
              <w:t>155.77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155.77</w:t>
            </w:r>
          </w:p>
        </w:tc>
        <w:tc>
          <w:tcPr>
            <w:tcW w:w="1134" w:type="dxa"/>
            <w:vAlign w:val="center"/>
          </w:tcPr>
          <w:p>
            <w:pPr>
              <w:pStyle w:val="12"/>
            </w:pPr>
            <w:r>
              <w:t>155.77</w:t>
            </w:r>
          </w:p>
        </w:tc>
        <w:tc>
          <w:tcPr>
            <w:tcW w:w="1134" w:type="dxa"/>
            <w:vAlign w:val="center"/>
          </w:tcPr>
          <w:p>
            <w:pPr>
              <w:pStyle w:val="12"/>
            </w:pPr>
            <w:r>
              <w:t>155.77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178.77</w:t>
            </w:r>
          </w:p>
        </w:tc>
        <w:tc>
          <w:tcPr>
            <w:tcW w:w="1361" w:type="dxa"/>
            <w:vAlign w:val="center"/>
          </w:tcPr>
          <w:p>
            <w:pPr>
              <w:pStyle w:val="16"/>
            </w:pPr>
            <w:r>
              <w:t>176.80</w:t>
            </w:r>
          </w:p>
        </w:tc>
        <w:tc>
          <w:tcPr>
            <w:tcW w:w="1361" w:type="dxa"/>
            <w:vAlign w:val="center"/>
          </w:tcPr>
          <w:p>
            <w:pPr>
              <w:pStyle w:val="16"/>
            </w:pPr>
            <w:r>
              <w:t>1.97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155.77</w:t>
            </w:r>
          </w:p>
        </w:tc>
        <w:tc>
          <w:tcPr>
            <w:tcW w:w="1361" w:type="dxa"/>
            <w:vAlign w:val="center"/>
          </w:tcPr>
          <w:p>
            <w:pPr>
              <w:pStyle w:val="12"/>
            </w:pPr>
            <w:r>
              <w:t>153.80</w:t>
            </w:r>
          </w:p>
        </w:tc>
        <w:tc>
          <w:tcPr>
            <w:tcW w:w="1361" w:type="dxa"/>
            <w:vAlign w:val="center"/>
          </w:tcPr>
          <w:p>
            <w:pPr>
              <w:pStyle w:val="12"/>
            </w:pPr>
            <w:r>
              <w:t>1.97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155.77</w:t>
            </w:r>
          </w:p>
        </w:tc>
        <w:tc>
          <w:tcPr>
            <w:tcW w:w="1361" w:type="dxa"/>
            <w:vAlign w:val="center"/>
          </w:tcPr>
          <w:p>
            <w:pPr>
              <w:pStyle w:val="12"/>
            </w:pPr>
            <w:r>
              <w:t>153.80</w:t>
            </w:r>
          </w:p>
        </w:tc>
        <w:tc>
          <w:tcPr>
            <w:tcW w:w="1361" w:type="dxa"/>
            <w:vAlign w:val="center"/>
          </w:tcPr>
          <w:p>
            <w:pPr>
              <w:pStyle w:val="12"/>
            </w:pPr>
            <w:r>
              <w:t>1.97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155.77</w:t>
            </w:r>
          </w:p>
        </w:tc>
        <w:tc>
          <w:tcPr>
            <w:tcW w:w="1361" w:type="dxa"/>
            <w:vAlign w:val="center"/>
          </w:tcPr>
          <w:p>
            <w:pPr>
              <w:pStyle w:val="12"/>
            </w:pPr>
            <w:r>
              <w:t>153.80</w:t>
            </w:r>
          </w:p>
        </w:tc>
        <w:tc>
          <w:tcPr>
            <w:tcW w:w="1361" w:type="dxa"/>
            <w:vAlign w:val="center"/>
          </w:tcPr>
          <w:p>
            <w:pPr>
              <w:pStyle w:val="12"/>
            </w:pPr>
            <w:r>
              <w:t>1.97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17.00</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17.00</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17.00</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6.00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6.00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6.00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178.77</w:t>
            </w:r>
          </w:p>
        </w:tc>
        <w:tc>
          <w:tcPr>
            <w:tcW w:w="3402" w:type="dxa"/>
            <w:vAlign w:val="center"/>
          </w:tcPr>
          <w:p>
            <w:pPr>
              <w:pStyle w:val="13"/>
            </w:pPr>
            <w:r>
              <w:t>一、一般公共服务支出</w:t>
            </w:r>
          </w:p>
        </w:tc>
        <w:tc>
          <w:tcPr>
            <w:tcW w:w="1474" w:type="dxa"/>
            <w:vAlign w:val="center"/>
          </w:tcPr>
          <w:p>
            <w:pPr>
              <w:pStyle w:val="12"/>
            </w:pPr>
            <w:r>
              <w:t>155.77</w:t>
            </w:r>
          </w:p>
        </w:tc>
        <w:tc>
          <w:tcPr>
            <w:tcW w:w="1474" w:type="dxa"/>
            <w:vAlign w:val="center"/>
          </w:tcPr>
          <w:p>
            <w:pPr>
              <w:pStyle w:val="12"/>
            </w:pPr>
            <w:r>
              <w:t>155.77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17.00</w:t>
            </w:r>
          </w:p>
        </w:tc>
        <w:tc>
          <w:tcPr>
            <w:tcW w:w="1474" w:type="dxa"/>
            <w:vAlign w:val="center"/>
          </w:tcPr>
          <w:p>
            <w:pPr>
              <w:pStyle w:val="12"/>
            </w:pPr>
            <w:r>
              <w:t>17.00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6.00</w:t>
            </w:r>
          </w:p>
        </w:tc>
        <w:tc>
          <w:tcPr>
            <w:tcW w:w="1474" w:type="dxa"/>
            <w:vAlign w:val="center"/>
          </w:tcPr>
          <w:p>
            <w:pPr>
              <w:pStyle w:val="12"/>
            </w:pPr>
            <w:r>
              <w:t>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178.77</w:t>
            </w:r>
          </w:p>
        </w:tc>
        <w:tc>
          <w:tcPr>
            <w:tcW w:w="3402" w:type="dxa"/>
            <w:vAlign w:val="center"/>
          </w:tcPr>
          <w:p>
            <w:pPr>
              <w:pStyle w:val="15"/>
            </w:pPr>
            <w:r>
              <w:t>本年支出合计</w:t>
            </w:r>
          </w:p>
        </w:tc>
        <w:tc>
          <w:tcPr>
            <w:tcW w:w="1474" w:type="dxa"/>
            <w:vAlign w:val="center"/>
          </w:tcPr>
          <w:p>
            <w:pPr>
              <w:pStyle w:val="16"/>
            </w:pPr>
            <w:r>
              <w:t>178.77</w:t>
            </w:r>
          </w:p>
        </w:tc>
        <w:tc>
          <w:tcPr>
            <w:tcW w:w="1474" w:type="dxa"/>
            <w:vAlign w:val="center"/>
          </w:tcPr>
          <w:p>
            <w:pPr>
              <w:pStyle w:val="16"/>
            </w:pPr>
            <w:r>
              <w:t>178.77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178.77</w:t>
            </w:r>
          </w:p>
        </w:tc>
        <w:tc>
          <w:tcPr>
            <w:tcW w:w="3402" w:type="dxa"/>
            <w:vAlign w:val="center"/>
          </w:tcPr>
          <w:p>
            <w:pPr>
              <w:pStyle w:val="15"/>
            </w:pPr>
            <w:r>
              <w:t>支出总计</w:t>
            </w:r>
          </w:p>
        </w:tc>
        <w:tc>
          <w:tcPr>
            <w:tcW w:w="1474" w:type="dxa"/>
            <w:vAlign w:val="center"/>
          </w:tcPr>
          <w:p>
            <w:pPr>
              <w:pStyle w:val="16"/>
            </w:pPr>
            <w:r>
              <w:t>178.77</w:t>
            </w:r>
          </w:p>
        </w:tc>
        <w:tc>
          <w:tcPr>
            <w:tcW w:w="1474" w:type="dxa"/>
            <w:vAlign w:val="center"/>
          </w:tcPr>
          <w:p>
            <w:pPr>
              <w:pStyle w:val="16"/>
            </w:pPr>
            <w:r>
              <w:t>178.77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178.77</w:t>
            </w:r>
          </w:p>
        </w:tc>
        <w:tc>
          <w:tcPr>
            <w:tcW w:w="2551" w:type="dxa"/>
            <w:vAlign w:val="center"/>
          </w:tcPr>
          <w:p>
            <w:pPr>
              <w:pStyle w:val="16"/>
            </w:pPr>
            <w:r>
              <w:t>176.80</w:t>
            </w:r>
          </w:p>
        </w:tc>
        <w:tc>
          <w:tcPr>
            <w:tcW w:w="2551" w:type="dxa"/>
            <w:vAlign w:val="center"/>
          </w:tcPr>
          <w:p>
            <w:pPr>
              <w:pStyle w:val="16"/>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155.77</w:t>
            </w:r>
          </w:p>
        </w:tc>
        <w:tc>
          <w:tcPr>
            <w:tcW w:w="2551" w:type="dxa"/>
            <w:vAlign w:val="center"/>
          </w:tcPr>
          <w:p>
            <w:pPr>
              <w:pStyle w:val="12"/>
            </w:pPr>
            <w:r>
              <w:t>153.80</w:t>
            </w:r>
          </w:p>
        </w:tc>
        <w:tc>
          <w:tcPr>
            <w:tcW w:w="2551" w:type="dxa"/>
            <w:vAlign w:val="center"/>
          </w:tcPr>
          <w:p>
            <w:pPr>
              <w:pStyle w:val="12"/>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155.77</w:t>
            </w:r>
          </w:p>
        </w:tc>
        <w:tc>
          <w:tcPr>
            <w:tcW w:w="2551" w:type="dxa"/>
            <w:vAlign w:val="center"/>
          </w:tcPr>
          <w:p>
            <w:pPr>
              <w:pStyle w:val="12"/>
            </w:pPr>
            <w:r>
              <w:t>153.80</w:t>
            </w:r>
          </w:p>
        </w:tc>
        <w:tc>
          <w:tcPr>
            <w:tcW w:w="2551" w:type="dxa"/>
            <w:vAlign w:val="center"/>
          </w:tcPr>
          <w:p>
            <w:pPr>
              <w:pStyle w:val="12"/>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155.77</w:t>
            </w:r>
          </w:p>
        </w:tc>
        <w:tc>
          <w:tcPr>
            <w:tcW w:w="2551" w:type="dxa"/>
            <w:vAlign w:val="center"/>
          </w:tcPr>
          <w:p>
            <w:pPr>
              <w:pStyle w:val="12"/>
            </w:pPr>
            <w:r>
              <w:t>153.80</w:t>
            </w:r>
          </w:p>
        </w:tc>
        <w:tc>
          <w:tcPr>
            <w:tcW w:w="2551" w:type="dxa"/>
            <w:vAlign w:val="center"/>
          </w:tcPr>
          <w:p>
            <w:pPr>
              <w:pStyle w:val="12"/>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17.00</w:t>
            </w:r>
          </w:p>
        </w:tc>
        <w:tc>
          <w:tcPr>
            <w:tcW w:w="2551" w:type="dxa"/>
            <w:vAlign w:val="center"/>
          </w:tcPr>
          <w:p>
            <w:pPr>
              <w:pStyle w:val="12"/>
            </w:pPr>
            <w:r>
              <w:t>17.00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17.00</w:t>
            </w:r>
          </w:p>
        </w:tc>
        <w:tc>
          <w:tcPr>
            <w:tcW w:w="2551" w:type="dxa"/>
            <w:vAlign w:val="center"/>
          </w:tcPr>
          <w:p>
            <w:pPr>
              <w:pStyle w:val="12"/>
            </w:pPr>
            <w:r>
              <w:t>17.00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17.00</w:t>
            </w:r>
          </w:p>
        </w:tc>
        <w:tc>
          <w:tcPr>
            <w:tcW w:w="2551" w:type="dxa"/>
            <w:vAlign w:val="center"/>
          </w:tcPr>
          <w:p>
            <w:pPr>
              <w:pStyle w:val="12"/>
            </w:pPr>
            <w:r>
              <w:t>17.00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176.80</w:t>
            </w:r>
          </w:p>
        </w:tc>
        <w:tc>
          <w:tcPr>
            <w:tcW w:w="2551" w:type="dxa"/>
            <w:vAlign w:val="center"/>
          </w:tcPr>
          <w:p>
            <w:pPr>
              <w:pStyle w:val="16"/>
            </w:pPr>
            <w:r>
              <w:t>159.86</w:t>
            </w:r>
          </w:p>
        </w:tc>
        <w:tc>
          <w:tcPr>
            <w:tcW w:w="2551" w:type="dxa"/>
            <w:vAlign w:val="center"/>
          </w:tcPr>
          <w:p>
            <w:pPr>
              <w:pStyle w:val="16"/>
            </w:pPr>
            <w:r>
              <w:t>16.94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136.00</w:t>
            </w:r>
          </w:p>
        </w:tc>
        <w:tc>
          <w:tcPr>
            <w:tcW w:w="2551" w:type="dxa"/>
            <w:vAlign w:val="center"/>
          </w:tcPr>
          <w:p>
            <w:pPr>
              <w:pStyle w:val="12"/>
            </w:pPr>
            <w:r>
              <w:t>136.00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59.00</w:t>
            </w:r>
          </w:p>
        </w:tc>
        <w:tc>
          <w:tcPr>
            <w:tcW w:w="2551" w:type="dxa"/>
            <w:vAlign w:val="center"/>
          </w:tcPr>
          <w:p>
            <w:pPr>
              <w:pStyle w:val="12"/>
            </w:pPr>
            <w:r>
              <w:t>59.00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17.40</w:t>
            </w:r>
          </w:p>
        </w:tc>
        <w:tc>
          <w:tcPr>
            <w:tcW w:w="2551" w:type="dxa"/>
            <w:vAlign w:val="center"/>
          </w:tcPr>
          <w:p>
            <w:pPr>
              <w:pStyle w:val="12"/>
            </w:pPr>
            <w:r>
              <w:t>17.40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12.50</w:t>
            </w:r>
          </w:p>
        </w:tc>
        <w:tc>
          <w:tcPr>
            <w:tcW w:w="2551" w:type="dxa"/>
            <w:vAlign w:val="center"/>
          </w:tcPr>
          <w:p>
            <w:pPr>
              <w:pStyle w:val="12"/>
            </w:pPr>
            <w:r>
              <w:t>12.50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23.30</w:t>
            </w:r>
          </w:p>
        </w:tc>
        <w:tc>
          <w:tcPr>
            <w:tcW w:w="2551" w:type="dxa"/>
            <w:vAlign w:val="center"/>
          </w:tcPr>
          <w:p>
            <w:pPr>
              <w:pStyle w:val="12"/>
            </w:pPr>
            <w:r>
              <w:t>23.30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17.00</w:t>
            </w:r>
          </w:p>
        </w:tc>
        <w:tc>
          <w:tcPr>
            <w:tcW w:w="2551" w:type="dxa"/>
            <w:vAlign w:val="center"/>
          </w:tcPr>
          <w:p>
            <w:pPr>
              <w:pStyle w:val="12"/>
            </w:pPr>
            <w:r>
              <w:t>17.00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0.80</w:t>
            </w:r>
          </w:p>
        </w:tc>
        <w:tc>
          <w:tcPr>
            <w:tcW w:w="2551" w:type="dxa"/>
            <w:vAlign w:val="center"/>
          </w:tcPr>
          <w:p>
            <w:pPr>
              <w:pStyle w:val="12"/>
            </w:pPr>
            <w:r>
              <w:t>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16.94</w:t>
            </w:r>
          </w:p>
        </w:tc>
        <w:tc>
          <w:tcPr>
            <w:tcW w:w="2551" w:type="dxa"/>
            <w:vAlign w:val="center"/>
          </w:tcPr>
          <w:p>
            <w:pPr>
              <w:pStyle w:val="12"/>
            </w:pPr>
          </w:p>
        </w:tc>
        <w:tc>
          <w:tcPr>
            <w:tcW w:w="2551" w:type="dxa"/>
            <w:vAlign w:val="center"/>
          </w:tcPr>
          <w:p>
            <w:pPr>
              <w:pStyle w:val="12"/>
            </w:pPr>
            <w:r>
              <w:t>16.94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10.14</w:t>
            </w:r>
          </w:p>
        </w:tc>
        <w:tc>
          <w:tcPr>
            <w:tcW w:w="2551" w:type="dxa"/>
            <w:vAlign w:val="center"/>
          </w:tcPr>
          <w:p>
            <w:pPr>
              <w:pStyle w:val="12"/>
            </w:pPr>
          </w:p>
        </w:tc>
        <w:tc>
          <w:tcPr>
            <w:tcW w:w="2551" w:type="dxa"/>
            <w:vAlign w:val="center"/>
          </w:tcPr>
          <w:p>
            <w:pPr>
              <w:pStyle w:val="12"/>
            </w:pPr>
            <w:r>
              <w:t>10.14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2.60</w:t>
            </w:r>
          </w:p>
        </w:tc>
        <w:tc>
          <w:tcPr>
            <w:tcW w:w="2551" w:type="dxa"/>
            <w:vAlign w:val="center"/>
          </w:tcPr>
          <w:p>
            <w:pPr>
              <w:pStyle w:val="12"/>
            </w:pPr>
          </w:p>
        </w:tc>
        <w:tc>
          <w:tcPr>
            <w:tcW w:w="2551" w:type="dxa"/>
            <w:vAlign w:val="center"/>
          </w:tcPr>
          <w:p>
            <w:pPr>
              <w:pStyle w:val="12"/>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4.20</w:t>
            </w:r>
          </w:p>
        </w:tc>
        <w:tc>
          <w:tcPr>
            <w:tcW w:w="2551" w:type="dxa"/>
            <w:vAlign w:val="center"/>
          </w:tcPr>
          <w:p>
            <w:pPr>
              <w:pStyle w:val="12"/>
            </w:pPr>
          </w:p>
        </w:tc>
        <w:tc>
          <w:tcPr>
            <w:tcW w:w="2551" w:type="dxa"/>
            <w:vAlign w:val="center"/>
          </w:tcPr>
          <w:p>
            <w:pPr>
              <w:pStyle w:val="12"/>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23.86</w:t>
            </w:r>
          </w:p>
        </w:tc>
        <w:tc>
          <w:tcPr>
            <w:tcW w:w="2551" w:type="dxa"/>
            <w:vAlign w:val="center"/>
          </w:tcPr>
          <w:p>
            <w:pPr>
              <w:pStyle w:val="12"/>
            </w:pPr>
            <w:r>
              <w:t>23.86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23.86</w:t>
            </w:r>
          </w:p>
        </w:tc>
        <w:tc>
          <w:tcPr>
            <w:tcW w:w="2551" w:type="dxa"/>
            <w:vAlign w:val="center"/>
          </w:tcPr>
          <w:p>
            <w:pPr>
              <w:pStyle w:val="12"/>
            </w:pPr>
            <w:r>
              <w:t>23.86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无极县总工会2026年部门预算信息公开情况说明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无极县总工会2026年部门预算信息公开情况说明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按照《中华人民共和国预算法》、《地方预决算公开操作规程》和《关于进一步推进预算公开工作的实施意见》规定，现将无极县总工会2026年部门预算公开如下：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(1)、根据党的路线、方针、政策，围绕县委、县政府工作大局和上级工会工作部署，贯彻执行县总工会代表大会和全委会议确定的任务与作出的决议。   (2)、依照法律和《中国工会章程》，组织和指导全县各级工会坚定不移地贯彻党的全心全意依靠工人阶级的根本指导方针，全面履行工会各项职能，进一步突出和履行维护职能。  (3)、对有关职工合法权益的重大问题进行调查研究，向县委、县政府反映职工群众的思想、愿望和要求，提出意见和建议；参与涉及职工切身利益的政策、措施、制度及规范性文件的拟定；参与职工重大伤亡事故和严重职业危害的调查处理；坚持与政府的联席（联系）会议制度。</w:t>
      </w:r>
    </w:p>
    <w:p>
      <w:pPr>
        <w:pStyle w:val="18"/>
      </w:pPr>
      <w:r>
        <w:t>(4)、研究、制定工会的自身改革和建设；指导全县各级工会组织开展以职工代表大会为基本制度的民主选举、民主决策、民主管理和民主监督工作，推动建立平等协商、集体合同制度和监督保证机制的工作。</w:t>
      </w:r>
    </w:p>
    <w:p>
      <w:pPr>
        <w:pStyle w:val="18"/>
      </w:pPr>
      <w:r>
        <w:t>(5)、指导基层工会组织建设，做好工会干部协管和干部培训教育工作；</w:t>
      </w:r>
    </w:p>
    <w:p>
      <w:pPr>
        <w:pStyle w:val="18"/>
      </w:pPr>
      <w:r>
        <w:t>(6)、根据县政府委托，与有关部门共同做好劳动模范、先进工作者的推荐、评选和管理工作；负责“五一”劳动奖章、奖状的推荐、评选和管理工作；指导全县各级工会组织职工开展劳动竞赛、合理化建议、技术创新和技术协作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无极县总工会本级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按照预算管理有关规定，目前部门预算的编制实行综合预算管理，即全部收入和支出都反映在预算中。无极县总工会机关及所属事业单位的收支包含在部门预算中。</w:t>
      </w:r>
    </w:p>
    <w:p>
      <w:pPr>
        <w:pStyle w:val="19"/>
      </w:pPr>
      <w:r>
        <w:t>1、收入说明</w:t>
      </w:r>
    </w:p>
    <w:p>
      <w:pPr>
        <w:pStyle w:val="19"/>
      </w:pPr>
      <w:r>
        <w:t>反映本部门当年全部收入。2026年预算收入178.77万元，其中：一般公共预算收入178.77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总工会年度部门预算中支出预算的总体情况。2026年支出预算178.77万元，其中基本支出176.80万元，包括人员经费159.86万元和日常公用经费16.94万元；项目支出1.97万元，主要为2026年省级困难职工及劳模帮扶救助专项资金1.97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2026年预算收支安排178.77万元，较2025年预算减少29.75万元，其中：基本支出减少31.72万元，主要为公用经费减少31.72万元。项目支出增加1.97万元，主要为2026年省级困难职工及劳模帮扶救助专项资金增加1.97万元</w:t>
      </w:r>
      <w:bookmarkStart w:id="20" w:name="_GoBack"/>
      <w:bookmarkEnd w:id="20"/>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因公出国（境）费0万元，与上年持平，原因是未安排因公出国（境）费；公务用车运维费0万元。公务用车购置及运维费0万元（其中：公务用车购置0万元，与上年持平，原因是未按公务用车购置费；公务用车运维费0万元,与上年持平，原因是未安排公务用车运维费）。公务接待费0万元，与上年持平，原因是未安排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1、提前下达2026年省级困难职工及劳模帮扶救助专项资金的通知绩效目标表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13013026P00006010001Q</w:t>
            </w:r>
          </w:p>
        </w:tc>
        <w:tc>
          <w:tcPr>
            <w:tcW w:w="2835" w:type="dxa"/>
            <w:vAlign w:val="center"/>
          </w:tcPr>
          <w:p>
            <w:pPr>
              <w:pStyle w:val="11"/>
            </w:pPr>
            <w:r>
              <w:t>项目名称</w:t>
            </w:r>
          </w:p>
        </w:tc>
        <w:tc>
          <w:tcPr>
            <w:tcW w:w="6095" w:type="dxa"/>
            <w:gridSpan w:val="3"/>
            <w:vAlign w:val="center"/>
          </w:tcPr>
          <w:p>
            <w:pPr>
              <w:pStyle w:val="13"/>
            </w:pPr>
            <w:r>
              <w:t>提前下达2026年省级困难职工及劳模帮扶救助专项资金的通知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w:t>
            </w:r>
          </w:p>
        </w:tc>
        <w:tc>
          <w:tcPr>
            <w:tcW w:w="2835" w:type="dxa"/>
            <w:vAlign w:val="center"/>
          </w:tcPr>
          <w:p>
            <w:pPr>
              <w:pStyle w:val="11"/>
            </w:pPr>
            <w:r>
              <w:t>其中：财政    资金</w:t>
            </w:r>
          </w:p>
        </w:tc>
        <w:tc>
          <w:tcPr>
            <w:tcW w:w="2551" w:type="dxa"/>
            <w:vAlign w:val="center"/>
          </w:tcPr>
          <w:p>
            <w:pPr>
              <w:pStyle w:val="13"/>
            </w:pPr>
            <w:r>
              <w:t>1.97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2026年省级困难职工及劳模帮扶救助专项资金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1.70</w:t>
            </w:r>
          </w:p>
        </w:tc>
        <w:tc>
          <w:tcPr>
            <w:tcW w:w="3544" w:type="dxa"/>
            <w:gridSpan w:val="2"/>
            <w:vAlign w:val="center"/>
          </w:tcPr>
          <w:p>
            <w:pPr>
              <w:pStyle w:val="14"/>
            </w:pPr>
            <w:r>
              <w:t>1.97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1.目标内容12026年省级困难职工及劳模帮扶救助专项资金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执行标的到位率(%)</w:t>
            </w:r>
          </w:p>
        </w:tc>
        <w:tc>
          <w:tcPr>
            <w:tcW w:w="5386" w:type="dxa"/>
            <w:vAlign w:val="center"/>
          </w:tcPr>
          <w:p>
            <w:pPr>
              <w:pStyle w:val="13"/>
            </w:pPr>
            <w:r>
              <w:t>执行标的到位率(%)</w:t>
            </w:r>
          </w:p>
        </w:tc>
        <w:tc>
          <w:tcPr>
            <w:tcW w:w="2268" w:type="dxa"/>
            <w:vAlign w:val="center"/>
          </w:tcPr>
          <w:p>
            <w:pPr>
              <w:pStyle w:val="13"/>
            </w:pPr>
            <w:r>
              <w:t>100到位率百分比</w:t>
            </w:r>
          </w:p>
        </w:tc>
        <w:tc>
          <w:tcPr>
            <w:tcW w:w="1276" w:type="dxa"/>
            <w:vAlign w:val="center"/>
          </w:tcPr>
          <w:p>
            <w:pPr>
              <w:pStyle w:val="13"/>
            </w:pPr>
            <w:r>
              <w:t>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100发放利率</w:t>
            </w:r>
          </w:p>
        </w:tc>
        <w:tc>
          <w:tcPr>
            <w:tcW w:w="1276" w:type="dxa"/>
            <w:vAlign w:val="center"/>
          </w:tcPr>
          <w:p>
            <w:pPr>
              <w:pStyle w:val="13"/>
            </w:pPr>
            <w:r>
              <w:t>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完成时间</w:t>
            </w:r>
          </w:p>
        </w:tc>
        <w:tc>
          <w:tcPr>
            <w:tcW w:w="2268" w:type="dxa"/>
            <w:vAlign w:val="center"/>
          </w:tcPr>
          <w:p>
            <w:pPr>
              <w:pStyle w:val="13"/>
            </w:pPr>
            <w:r>
              <w:t>及时</w:t>
            </w:r>
          </w:p>
        </w:tc>
        <w:tc>
          <w:tcPr>
            <w:tcW w:w="1276" w:type="dxa"/>
            <w:vAlign w:val="center"/>
          </w:tcPr>
          <w:p>
            <w:pPr>
              <w:pStyle w:val="13"/>
            </w:pPr>
            <w:r>
              <w:t>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补助金额</w:t>
            </w:r>
          </w:p>
        </w:tc>
        <w:tc>
          <w:tcPr>
            <w:tcW w:w="5386" w:type="dxa"/>
            <w:vAlign w:val="center"/>
          </w:tcPr>
          <w:p>
            <w:pPr>
              <w:pStyle w:val="13"/>
            </w:pPr>
            <w:r>
              <w:t>补助金额</w:t>
            </w:r>
          </w:p>
        </w:tc>
        <w:tc>
          <w:tcPr>
            <w:tcW w:w="2268" w:type="dxa"/>
            <w:vAlign w:val="center"/>
          </w:tcPr>
          <w:p>
            <w:pPr>
              <w:pStyle w:val="13"/>
            </w:pPr>
            <w:r>
              <w:t>100补助百分比</w:t>
            </w:r>
          </w:p>
        </w:tc>
        <w:tc>
          <w:tcPr>
            <w:tcW w:w="1276" w:type="dxa"/>
            <w:vAlign w:val="center"/>
          </w:tcPr>
          <w:p>
            <w:pPr>
              <w:pStyle w:val="13"/>
            </w:pPr>
            <w:r>
              <w:t>补助百分比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经济效益</w:t>
            </w:r>
          </w:p>
        </w:tc>
        <w:tc>
          <w:tcPr>
            <w:tcW w:w="1276" w:type="dxa"/>
            <w:vAlign w:val="center"/>
          </w:tcPr>
          <w:p>
            <w:pPr>
              <w:pStyle w:val="13"/>
            </w:pPr>
            <w:r>
              <w:t>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社会氛围</w:t>
            </w:r>
          </w:p>
        </w:tc>
        <w:tc>
          <w:tcPr>
            <w:tcW w:w="5386" w:type="dxa"/>
            <w:vAlign w:val="center"/>
          </w:tcPr>
          <w:p>
            <w:pPr>
              <w:pStyle w:val="13"/>
            </w:pPr>
            <w:r>
              <w:t>社会氛围</w:t>
            </w:r>
          </w:p>
        </w:tc>
        <w:tc>
          <w:tcPr>
            <w:tcW w:w="2268" w:type="dxa"/>
            <w:vAlign w:val="center"/>
          </w:tcPr>
          <w:p>
            <w:pPr>
              <w:pStyle w:val="13"/>
            </w:pPr>
            <w:r>
              <w:t>社会好评</w:t>
            </w:r>
          </w:p>
        </w:tc>
        <w:tc>
          <w:tcPr>
            <w:tcW w:w="1276" w:type="dxa"/>
            <w:vAlign w:val="center"/>
          </w:tcPr>
          <w:p>
            <w:pPr>
              <w:pStyle w:val="13"/>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社会生态</w:t>
            </w:r>
          </w:p>
        </w:tc>
        <w:tc>
          <w:tcPr>
            <w:tcW w:w="1276" w:type="dxa"/>
            <w:vAlign w:val="center"/>
          </w:tcPr>
          <w:p>
            <w:pPr>
              <w:pStyle w:val="13"/>
            </w:pPr>
            <w:r>
              <w:t>社会生态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项目持续影响效果</w:t>
            </w:r>
          </w:p>
        </w:tc>
        <w:tc>
          <w:tcPr>
            <w:tcW w:w="5386" w:type="dxa"/>
            <w:vAlign w:val="center"/>
          </w:tcPr>
          <w:p>
            <w:pPr>
              <w:pStyle w:val="13"/>
            </w:pPr>
            <w:r>
              <w:t>群众交通安全意识、文明意识进一步提高</w:t>
            </w:r>
          </w:p>
        </w:tc>
        <w:tc>
          <w:tcPr>
            <w:tcW w:w="2268" w:type="dxa"/>
            <w:vAlign w:val="center"/>
          </w:tcPr>
          <w:p>
            <w:pPr>
              <w:pStyle w:val="13"/>
            </w:pPr>
            <w:r>
              <w:t>持续影响</w:t>
            </w:r>
          </w:p>
        </w:tc>
        <w:tc>
          <w:tcPr>
            <w:tcW w:w="1276" w:type="dxa"/>
            <w:vAlign w:val="center"/>
          </w:tcPr>
          <w:p>
            <w:pPr>
              <w:pStyle w:val="13"/>
            </w:pPr>
            <w:r>
              <w:t>社会影响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100满意率</w:t>
            </w:r>
          </w:p>
        </w:tc>
        <w:tc>
          <w:tcPr>
            <w:tcW w:w="1276" w:type="dxa"/>
            <w:vAlign w:val="center"/>
          </w:tcPr>
          <w:p>
            <w:pPr>
              <w:pStyle w:val="13"/>
            </w:pPr>
            <w:r>
              <w:t>满意率</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711无极县总工会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无极县总工会（含所属单位）上年末固定资产金额为0.00万元（详见下表）。本年度拟购置固定资产总额为0.00万元，已按要求列入政府采购预算，详见政府采购预算表。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711无极县总工会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D5E25DA"/>
    <w:rsid w:val="71DE17B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2026-02-25T14:47:00Z</dcterms:created>
  <dc:creator>Administrator</dc:creator>
  <cp:lastModifiedBy>李润泽</cp:lastModifiedBy>
  <dcterms:modified xsi:type="dcterms:W3CDTF">2026-03-02T06:20:26Z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4BA8907FA22E4669B6135283955AB9EB</vt:lpwstr>
  </property>
</Properties>
</file>