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350无极县投资促进服务中心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145.91</w:t>
            </w:r>
          </w:p>
        </w:tc>
        <w:tc>
          <w:tcPr>
            <w:tcW w:w="4535" w:type="dxa"/>
            <w:vAlign w:val="center"/>
          </w:tcPr>
          <w:p>
            <w:pPr>
              <w:pStyle w:val="13"/>
            </w:pPr>
            <w:r>
              <w:t>一、一般公共服务支出</w:t>
            </w:r>
          </w:p>
        </w:tc>
        <w:tc>
          <w:tcPr>
            <w:tcW w:w="2126" w:type="dxa"/>
            <w:vAlign w:val="center"/>
          </w:tcPr>
          <w:p>
            <w:pPr>
              <w:pStyle w:val="12"/>
            </w:pPr>
            <w:r>
              <w:t>145.91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145.91</w:t>
            </w:r>
          </w:p>
        </w:tc>
        <w:tc>
          <w:tcPr>
            <w:tcW w:w="4535" w:type="dxa"/>
            <w:vAlign w:val="center"/>
          </w:tcPr>
          <w:p>
            <w:pPr>
              <w:pStyle w:val="15"/>
            </w:pPr>
            <w:r>
              <w:t>本年支出合计</w:t>
            </w:r>
          </w:p>
        </w:tc>
        <w:tc>
          <w:tcPr>
            <w:tcW w:w="2126" w:type="dxa"/>
            <w:vAlign w:val="center"/>
          </w:tcPr>
          <w:p>
            <w:pPr>
              <w:pStyle w:val="16"/>
            </w:pPr>
            <w:r>
              <w:t>145.91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145.91</w:t>
            </w:r>
          </w:p>
        </w:tc>
        <w:tc>
          <w:tcPr>
            <w:tcW w:w="4535" w:type="dxa"/>
            <w:vAlign w:val="center"/>
          </w:tcPr>
          <w:p>
            <w:pPr>
              <w:pStyle w:val="15"/>
            </w:pPr>
            <w:r>
              <w:t>支出总计</w:t>
            </w:r>
          </w:p>
        </w:tc>
        <w:tc>
          <w:tcPr>
            <w:tcW w:w="2126" w:type="dxa"/>
            <w:vAlign w:val="center"/>
          </w:tcPr>
          <w:p>
            <w:pPr>
              <w:pStyle w:val="16"/>
            </w:pPr>
            <w:r>
              <w:t>145.91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350无极县投资促进服务中心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145.91</w:t>
            </w:r>
          </w:p>
        </w:tc>
        <w:tc>
          <w:tcPr>
            <w:tcW w:w="1134" w:type="dxa"/>
            <w:vAlign w:val="center"/>
          </w:tcPr>
          <w:p>
            <w:pPr>
              <w:pStyle w:val="16"/>
            </w:pPr>
            <w:r>
              <w:t>145.91</w:t>
            </w:r>
          </w:p>
        </w:tc>
        <w:tc>
          <w:tcPr>
            <w:tcW w:w="1134" w:type="dxa"/>
            <w:vAlign w:val="center"/>
          </w:tcPr>
          <w:p>
            <w:pPr>
              <w:pStyle w:val="16"/>
            </w:pPr>
            <w:r>
              <w:t>145.91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r>
              <w:t>145.91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145.91</w:t>
            </w:r>
          </w:p>
        </w:tc>
        <w:tc>
          <w:tcPr>
            <w:tcW w:w="1361" w:type="dxa"/>
            <w:vAlign w:val="center"/>
          </w:tcPr>
          <w:p>
            <w:pPr>
              <w:pStyle w:val="16"/>
            </w:pPr>
            <w:r>
              <w:t>145.91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145.91</w:t>
            </w:r>
          </w:p>
        </w:tc>
        <w:tc>
          <w:tcPr>
            <w:tcW w:w="1361" w:type="dxa"/>
            <w:vAlign w:val="center"/>
          </w:tcPr>
          <w:p>
            <w:pPr>
              <w:pStyle w:val="12"/>
            </w:pPr>
            <w:r>
              <w:t>145.91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145.91</w:t>
            </w:r>
          </w:p>
        </w:tc>
        <w:tc>
          <w:tcPr>
            <w:tcW w:w="1361" w:type="dxa"/>
            <w:vAlign w:val="center"/>
          </w:tcPr>
          <w:p>
            <w:pPr>
              <w:pStyle w:val="12"/>
            </w:pPr>
            <w:r>
              <w:t>145.91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145.91</w:t>
            </w:r>
          </w:p>
        </w:tc>
        <w:tc>
          <w:tcPr>
            <w:tcW w:w="1361" w:type="dxa"/>
            <w:vAlign w:val="center"/>
          </w:tcPr>
          <w:p>
            <w:pPr>
              <w:pStyle w:val="12"/>
            </w:pPr>
            <w:r>
              <w:t>145.91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145.91</w:t>
            </w:r>
          </w:p>
        </w:tc>
        <w:tc>
          <w:tcPr>
            <w:tcW w:w="3402" w:type="dxa"/>
            <w:vAlign w:val="center"/>
          </w:tcPr>
          <w:p>
            <w:pPr>
              <w:pStyle w:val="13"/>
            </w:pPr>
            <w:r>
              <w:t>一、一般公共服务支出</w:t>
            </w:r>
          </w:p>
        </w:tc>
        <w:tc>
          <w:tcPr>
            <w:tcW w:w="1474" w:type="dxa"/>
            <w:vAlign w:val="center"/>
          </w:tcPr>
          <w:p>
            <w:pPr>
              <w:pStyle w:val="12"/>
            </w:pPr>
            <w:r>
              <w:t>145.91</w:t>
            </w:r>
          </w:p>
        </w:tc>
        <w:tc>
          <w:tcPr>
            <w:tcW w:w="1474" w:type="dxa"/>
            <w:vAlign w:val="center"/>
          </w:tcPr>
          <w:p>
            <w:pPr>
              <w:pStyle w:val="12"/>
            </w:pPr>
            <w:r>
              <w:t>145.91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145.91</w:t>
            </w:r>
          </w:p>
        </w:tc>
        <w:tc>
          <w:tcPr>
            <w:tcW w:w="3402" w:type="dxa"/>
            <w:vAlign w:val="center"/>
          </w:tcPr>
          <w:p>
            <w:pPr>
              <w:pStyle w:val="15"/>
            </w:pPr>
            <w:r>
              <w:t>本年支出合计</w:t>
            </w:r>
          </w:p>
        </w:tc>
        <w:tc>
          <w:tcPr>
            <w:tcW w:w="1474" w:type="dxa"/>
            <w:vAlign w:val="center"/>
          </w:tcPr>
          <w:p>
            <w:pPr>
              <w:pStyle w:val="16"/>
            </w:pPr>
            <w:r>
              <w:t>145.91</w:t>
            </w:r>
          </w:p>
        </w:tc>
        <w:tc>
          <w:tcPr>
            <w:tcW w:w="1474" w:type="dxa"/>
            <w:vAlign w:val="center"/>
          </w:tcPr>
          <w:p>
            <w:pPr>
              <w:pStyle w:val="16"/>
            </w:pPr>
            <w:r>
              <w:t>145.91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145.91</w:t>
            </w:r>
          </w:p>
        </w:tc>
        <w:tc>
          <w:tcPr>
            <w:tcW w:w="3402" w:type="dxa"/>
            <w:vAlign w:val="center"/>
          </w:tcPr>
          <w:p>
            <w:pPr>
              <w:pStyle w:val="15"/>
            </w:pPr>
            <w:r>
              <w:t>支出总计</w:t>
            </w:r>
          </w:p>
        </w:tc>
        <w:tc>
          <w:tcPr>
            <w:tcW w:w="1474" w:type="dxa"/>
            <w:vAlign w:val="center"/>
          </w:tcPr>
          <w:p>
            <w:pPr>
              <w:pStyle w:val="16"/>
            </w:pPr>
            <w:r>
              <w:t>145.91</w:t>
            </w:r>
          </w:p>
        </w:tc>
        <w:tc>
          <w:tcPr>
            <w:tcW w:w="1474" w:type="dxa"/>
            <w:vAlign w:val="center"/>
          </w:tcPr>
          <w:p>
            <w:pPr>
              <w:pStyle w:val="16"/>
            </w:pPr>
            <w:r>
              <w:t>145.91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145.91</w:t>
            </w:r>
          </w:p>
        </w:tc>
        <w:tc>
          <w:tcPr>
            <w:tcW w:w="2551" w:type="dxa"/>
            <w:vAlign w:val="center"/>
          </w:tcPr>
          <w:p>
            <w:pPr>
              <w:pStyle w:val="16"/>
            </w:pPr>
            <w:r>
              <w:t>145.91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145.91</w:t>
            </w:r>
          </w:p>
        </w:tc>
        <w:tc>
          <w:tcPr>
            <w:tcW w:w="2551" w:type="dxa"/>
            <w:vAlign w:val="center"/>
          </w:tcPr>
          <w:p>
            <w:pPr>
              <w:pStyle w:val="12"/>
            </w:pPr>
            <w:r>
              <w:t>145.91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145.91</w:t>
            </w:r>
          </w:p>
        </w:tc>
        <w:tc>
          <w:tcPr>
            <w:tcW w:w="2551" w:type="dxa"/>
            <w:vAlign w:val="center"/>
          </w:tcPr>
          <w:p>
            <w:pPr>
              <w:pStyle w:val="12"/>
            </w:pPr>
            <w:r>
              <w:t>145.91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145.91</w:t>
            </w:r>
          </w:p>
        </w:tc>
        <w:tc>
          <w:tcPr>
            <w:tcW w:w="2551" w:type="dxa"/>
            <w:vAlign w:val="center"/>
          </w:tcPr>
          <w:p>
            <w:pPr>
              <w:pStyle w:val="12"/>
            </w:pPr>
            <w:r>
              <w:t>145.91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145.91</w:t>
            </w:r>
          </w:p>
        </w:tc>
        <w:tc>
          <w:tcPr>
            <w:tcW w:w="2551" w:type="dxa"/>
            <w:vAlign w:val="center"/>
          </w:tcPr>
          <w:p>
            <w:pPr>
              <w:pStyle w:val="16"/>
            </w:pPr>
            <w:r>
              <w:t>136.50</w:t>
            </w:r>
          </w:p>
        </w:tc>
        <w:tc>
          <w:tcPr>
            <w:tcW w:w="2551" w:type="dxa"/>
            <w:vAlign w:val="center"/>
          </w:tcPr>
          <w:p>
            <w:pPr>
              <w:pStyle w:val="16"/>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136.50</w:t>
            </w:r>
          </w:p>
        </w:tc>
        <w:tc>
          <w:tcPr>
            <w:tcW w:w="2551" w:type="dxa"/>
            <w:vAlign w:val="center"/>
          </w:tcPr>
          <w:p>
            <w:pPr>
              <w:pStyle w:val="12"/>
            </w:pPr>
            <w:r>
              <w:t>136.50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8.70</w:t>
            </w:r>
          </w:p>
        </w:tc>
        <w:tc>
          <w:tcPr>
            <w:tcW w:w="2551" w:type="dxa"/>
            <w:vAlign w:val="center"/>
          </w:tcPr>
          <w:p>
            <w:pPr>
              <w:pStyle w:val="12"/>
            </w:pPr>
            <w:r>
              <w:t>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46.80</w:t>
            </w:r>
          </w:p>
        </w:tc>
        <w:tc>
          <w:tcPr>
            <w:tcW w:w="2551" w:type="dxa"/>
            <w:vAlign w:val="center"/>
          </w:tcPr>
          <w:p>
            <w:pPr>
              <w:pStyle w:val="12"/>
            </w:pPr>
            <w:r>
              <w:t>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9.41</w:t>
            </w:r>
          </w:p>
        </w:tc>
        <w:tc>
          <w:tcPr>
            <w:tcW w:w="2551" w:type="dxa"/>
            <w:vAlign w:val="center"/>
          </w:tcPr>
          <w:p>
            <w:pPr>
              <w:pStyle w:val="12"/>
            </w:pPr>
          </w:p>
        </w:tc>
        <w:tc>
          <w:tcPr>
            <w:tcW w:w="2551" w:type="dxa"/>
            <w:vAlign w:val="center"/>
          </w:tcPr>
          <w:p>
            <w:pPr>
              <w:pStyle w:val="12"/>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350无极县投资促进服务中心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无极县投资促进服务中心2026年部门预算信息公开情况说明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无极县投资促进服务中心2026年部门预算信息公开情况说明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按照《中华人民共和国预算法》、《地方预决算公开操作规程》和《关于进一步推进预算公开工作的实施意见》规定，现将无极县投资促进服务中心2026年部门预算公开如下：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编制全县招商引资宣传资料，宣传、推介我县的投资环境和产业发展政策；组织承办县内外招商引资洽谈、研讨、项目对接和商务考察等活动；为县内外投资者提供投资环境考察、信息、投资导向、申报程序、法律法规、代办等服务；与县内外投资促进机构、商协会开展合作与交流，组织实施双边投资促进有关活动；建设、维护无极县投资促进服务中心网络平台和招商数据库；负责全县企业境外投资促进工作；完成上级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无极县投资促进服务中心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按照预算管理有关规定，目前部门预算的编制实行综合预算管理，即全部收入和支出都反映在预算中。无极县投资促进服务中心机关及所属事业单位的收支包含在部门预算中。</w:t>
      </w:r>
    </w:p>
    <w:p>
      <w:pPr>
        <w:pStyle w:val="19"/>
      </w:pPr>
      <w:r>
        <w:t>1、收入说明</w:t>
      </w:r>
    </w:p>
    <w:p>
      <w:pPr>
        <w:pStyle w:val="19"/>
      </w:pPr>
      <w:r>
        <w:t>反映本部门当年全部收入。2026年预算收入145.91万元，其中：一般公共预算收入145.91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投资促进服务中心年度部门预算中支出预算的总体情况。2026年支出预算145.91万元，其中基本支出145.91万元，包括人员经费136.50万元和日常公用经费9.41万元；项目支出0.00万元，主要为无预算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145.91万元，较2025年预算增加145.91万元，其中：基本支出增加145.91万元，主要为人员工资、保险等维持单位正常运转支出项目支出增加0.00万元，主要为无预算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2.91万元，其中因公出国（境）费0.00万元；公务用车购置及运维费2.91万元（其中：公务用车购置费为0.00万元，公务用车运维费2.91万元)；公务接待费0.00万元。与2025年相比增加2.91万元，增减变化的主要原因是单位为新成立单位，2025年未安排年初预算</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rPr>
          <w:rFonts w:hint="eastAsia" w:eastAsia="方正仿宋_GBK"/>
          <w:lang w:eastAsia="zh-CN"/>
        </w:rPr>
      </w:pPr>
      <w:r>
        <w:t>今年以来，投促中心始终围绕县委、县政府的决策部署，牢固树立“项目为王”理念，聚焦主导及优势产业，统筹推进项目招引、对接服务及落地保障等工作，推动更多含金量高的项目落地，为县域经济高质量发展注入强劲动力</w:t>
      </w:r>
      <w:r>
        <w:rPr>
          <w:rFonts w:hint="eastAsia"/>
          <w:lang w:eastAsia="zh-CN"/>
        </w:rP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依托特色产业集群，列出龙头企业、招商项目、招引目标企业“三个清单”，按照“缺口环节”寻找目标企业，用“图谱背书”洽谈合作，精准延链、补链、强链，主攻重点项目线索，挖潜落地项目资源，实现从“点”上招、向“链”上引，往“群”上聚转变。二是强化以商招商。借助我县企业家资源和渠道，选聘一批业界影响力强、有招商情怀的“招商大使”，通过以商招商、以企引企，努力形成引来一个、带来一批、聚焦一群的葡萄串效应。三是谋划驻外招商。主动对接省、市驻外招商工作组，选派优秀人才加入各驻外招商组，把驻点城市打造成我县招商引资的“前哨站”。同时与我县在外省、市成立的商会组织积极沟通联络，深度融入当地企业家群体，广泛宣传无极的县域状况、产业布局和发展机遇。</w:t>
      </w:r>
    </w:p>
    <w:p>
      <w:pPr>
        <w:pStyle w:val="23"/>
      </w:pPr>
      <w:r>
        <w:t>（三）积极搭建招商引资平台。一是坚持“走出去”与“引进来”相结合，通过举办项目对接会、投资洽谈会、“燕回巢”回乡考察交流会等方式，让更多的客商和企业家走进无极、了解无极。二是聚焦产业发展需求，开展靶向对接，赴发达地区的产业聚集区举办小团组、高精度的对接会、推介会等，通过高频次、专业化的精准对接，让外地客商与县域发展需求实现精准碰撞与合作。三是积极组织并参与各类经贸洽谈活动，利用各类节会进行推介宣传，提升招商成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w:t>
      </w:r>
    </w:p>
    <w:p>
      <w:pPr>
        <w:pStyle w:val="24"/>
      </w:pPr>
      <w:r>
        <w:t>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优化支出结构、编细编实预算、及时完成资金支付确保支出进度达标。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汇总分析和对照检查项目绩效信息，及时采取措施纠正预算执行环节中出现的问题，促进预算绩效目标实现。项目管理部门协同完善项目绩效管理机制，将预算编制、预算调整、进度管理、资金支付、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w:t>
      </w:r>
    </w:p>
    <w:p>
      <w:pPr>
        <w:pStyle w:val="24"/>
      </w:pPr>
      <w:r>
        <w:t>5、规范财务资产管理。</w:t>
      </w:r>
    </w:p>
    <w:p>
      <w:pPr>
        <w:pStyle w:val="24"/>
      </w:pPr>
      <w:r>
        <w:t>完善财务管理制度，严格审批程序，加强资金使用、完善项目管理状况。加强固定资产登记、使用和报废处置管理，做到支出合理，物尽其用。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sectPr>
          <w:pgSz w:w="16840" w:h="11900" w:orient="landscape"/>
          <w:pgMar w:top="1361" w:right="1020" w:bottom="1361" w:left="1020" w:header="720" w:footer="720" w:gutter="0"/>
          <w:cols w:space="720" w:num="1"/>
        </w:sectPr>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622"/>
        </w:tabs>
        <w:bidi w:val="0"/>
        <w:jc w:val="left"/>
        <w:rPr>
          <w:rFonts w:hint="default"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ab/>
        <w:t>无</w:t>
      </w: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bookmarkStart w:id="20" w:name="_GoBack"/>
      <w:bookmarkEnd w:id="20"/>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350无极县投资促进服务中心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无极县投资促进服务中心（含所属单位）上年末固定资产金额为6.24万元（详见下表）。本年度拟购置固定资产总额为0.00万元，已按要求列入政府采购预算，详见政府采购预算表。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350无极县投资促进服务中心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0OTAyZmI3MmIyMmRiMmY0ODljYzI2NDFmNzU5YjMifQ=="/>
  </w:docVars>
  <w:rsids>
    <w:rsidRoot w:val="00000000"/>
    <w:rsid w:val="251E4976"/>
    <w:rsid w:val="5BCD7E87"/>
    <w:rsid w:val="60274F26"/>
    <w:rsid w:val="7F2C63A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6240</Words>
  <Characters>6917</Characters>
  <TotalTime>0</TotalTime>
  <ScaleCrop>false</ScaleCrop>
  <LinksUpToDate>false</LinksUpToDate>
  <CharactersWithSpaces>7085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2026-02-28T16:46:00Z</dcterms:created>
  <dc:creator>lenovo</dc:creator>
  <cp:lastModifiedBy>雾野sama公子白?</cp:lastModifiedBy>
  <dcterms:modified xsi:type="dcterms:W3CDTF">2026-03-03T07:53:04Z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3817DE27AECD4FC69D0317193F9914D9</vt:lpwstr>
  </property>
</Properties>
</file>