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431无极县数据和政务服务局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819.01</w:t>
            </w:r>
          </w:p>
        </w:tc>
        <w:tc>
          <w:tcPr>
            <w:tcW w:w="4535" w:type="dxa"/>
            <w:vAlign w:val="center"/>
          </w:tcPr>
          <w:p>
            <w:pPr>
              <w:pStyle w:val="13"/>
            </w:pPr>
            <w:r>
              <w:t>一、一般公共服务支出</w:t>
            </w:r>
          </w:p>
        </w:tc>
        <w:tc>
          <w:tcPr>
            <w:tcW w:w="2126" w:type="dxa"/>
            <w:vAlign w:val="center"/>
          </w:tcPr>
          <w:p>
            <w:pPr>
              <w:pStyle w:val="12"/>
            </w:pPr>
            <w:r>
              <w:t>697.01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819.01</w:t>
            </w:r>
          </w:p>
        </w:tc>
        <w:tc>
          <w:tcPr>
            <w:tcW w:w="4535" w:type="dxa"/>
            <w:vAlign w:val="center"/>
          </w:tcPr>
          <w:p>
            <w:pPr>
              <w:pStyle w:val="15"/>
            </w:pPr>
            <w:r>
              <w:t>本年支出合计</w:t>
            </w:r>
          </w:p>
        </w:tc>
        <w:tc>
          <w:tcPr>
            <w:tcW w:w="2126" w:type="dxa"/>
            <w:vAlign w:val="center"/>
          </w:tcPr>
          <w:p>
            <w:pPr>
              <w:pStyle w:val="16"/>
            </w:pPr>
            <w:r>
              <w:t>819.01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819.01</w:t>
            </w:r>
          </w:p>
        </w:tc>
        <w:tc>
          <w:tcPr>
            <w:tcW w:w="4535" w:type="dxa"/>
            <w:vAlign w:val="center"/>
          </w:tcPr>
          <w:p>
            <w:pPr>
              <w:pStyle w:val="15"/>
            </w:pPr>
            <w:r>
              <w:t>支出总计</w:t>
            </w:r>
          </w:p>
        </w:tc>
        <w:tc>
          <w:tcPr>
            <w:tcW w:w="2126" w:type="dxa"/>
            <w:vAlign w:val="center"/>
          </w:tcPr>
          <w:p>
            <w:pPr>
              <w:pStyle w:val="16"/>
            </w:pPr>
            <w:r>
              <w:t>819.01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431无极县数据和政务服务局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819.01</w:t>
            </w:r>
          </w:p>
        </w:tc>
        <w:tc>
          <w:tcPr>
            <w:tcW w:w="1134" w:type="dxa"/>
            <w:vAlign w:val="center"/>
          </w:tcPr>
          <w:p>
            <w:pPr>
              <w:pStyle w:val="16"/>
            </w:pPr>
            <w:r>
              <w:t>819.01</w:t>
            </w:r>
          </w:p>
        </w:tc>
        <w:tc>
          <w:tcPr>
            <w:tcW w:w="1134" w:type="dxa"/>
            <w:vAlign w:val="center"/>
          </w:tcPr>
          <w:p>
            <w:pPr>
              <w:pStyle w:val="16"/>
            </w:pPr>
            <w:r>
              <w:t>819.01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697.01</w:t>
            </w:r>
          </w:p>
        </w:tc>
        <w:tc>
          <w:tcPr>
            <w:tcW w:w="1134" w:type="dxa"/>
            <w:vAlign w:val="center"/>
          </w:tcPr>
          <w:p>
            <w:pPr>
              <w:pStyle w:val="12"/>
            </w:pPr>
            <w:r>
              <w:t>697.01</w:t>
            </w:r>
          </w:p>
        </w:tc>
        <w:tc>
          <w:tcPr>
            <w:tcW w:w="1134" w:type="dxa"/>
            <w:vAlign w:val="center"/>
          </w:tcPr>
          <w:p>
            <w:pPr>
              <w:pStyle w:val="12"/>
            </w:pPr>
            <w:r>
              <w:t>697.01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697.01</w:t>
            </w:r>
          </w:p>
        </w:tc>
        <w:tc>
          <w:tcPr>
            <w:tcW w:w="1134" w:type="dxa"/>
            <w:vAlign w:val="center"/>
          </w:tcPr>
          <w:p>
            <w:pPr>
              <w:pStyle w:val="12"/>
            </w:pPr>
            <w:r>
              <w:t>697.01</w:t>
            </w:r>
          </w:p>
        </w:tc>
        <w:tc>
          <w:tcPr>
            <w:tcW w:w="1134" w:type="dxa"/>
            <w:vAlign w:val="center"/>
          </w:tcPr>
          <w:p>
            <w:pPr>
              <w:pStyle w:val="12"/>
            </w:pPr>
            <w:r>
              <w:t>697.01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2010306</w:t>
            </w:r>
          </w:p>
        </w:tc>
        <w:tc>
          <w:tcPr>
            <w:tcW w:w="1559" w:type="dxa"/>
            <w:vAlign w:val="center"/>
          </w:tcPr>
          <w:p>
            <w:pPr>
              <w:pStyle w:val="13"/>
            </w:pPr>
            <w:r>
              <w:t>政务公开审批</w:t>
            </w:r>
          </w:p>
        </w:tc>
        <w:tc>
          <w:tcPr>
            <w:tcW w:w="1134" w:type="dxa"/>
            <w:vAlign w:val="center"/>
          </w:tcPr>
          <w:p>
            <w:pPr>
              <w:pStyle w:val="12"/>
            </w:pPr>
            <w:r>
              <w:t>697.01</w:t>
            </w:r>
          </w:p>
        </w:tc>
        <w:tc>
          <w:tcPr>
            <w:tcW w:w="1134" w:type="dxa"/>
            <w:vAlign w:val="center"/>
          </w:tcPr>
          <w:p>
            <w:pPr>
              <w:pStyle w:val="12"/>
            </w:pPr>
            <w:r>
              <w:t>697.01</w:t>
            </w:r>
          </w:p>
        </w:tc>
        <w:tc>
          <w:tcPr>
            <w:tcW w:w="1134" w:type="dxa"/>
            <w:vAlign w:val="center"/>
          </w:tcPr>
          <w:p>
            <w:pPr>
              <w:pStyle w:val="12"/>
            </w:pPr>
            <w:r>
              <w:t>697.01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87.00</w:t>
            </w:r>
          </w:p>
        </w:tc>
        <w:tc>
          <w:tcPr>
            <w:tcW w:w="1134" w:type="dxa"/>
            <w:vAlign w:val="center"/>
          </w:tcPr>
          <w:p>
            <w:pPr>
              <w:pStyle w:val="12"/>
            </w:pPr>
            <w:r>
              <w:t>87.00</w:t>
            </w:r>
          </w:p>
        </w:tc>
        <w:tc>
          <w:tcPr>
            <w:tcW w:w="1134" w:type="dxa"/>
            <w:vAlign w:val="center"/>
          </w:tcPr>
          <w:p>
            <w:pPr>
              <w:pStyle w:val="12"/>
            </w:pPr>
            <w:r>
              <w:t>87.00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87.00</w:t>
            </w:r>
          </w:p>
        </w:tc>
        <w:tc>
          <w:tcPr>
            <w:tcW w:w="1134" w:type="dxa"/>
            <w:vAlign w:val="center"/>
          </w:tcPr>
          <w:p>
            <w:pPr>
              <w:pStyle w:val="12"/>
            </w:pPr>
            <w:r>
              <w:t>87.00</w:t>
            </w:r>
          </w:p>
        </w:tc>
        <w:tc>
          <w:tcPr>
            <w:tcW w:w="1134" w:type="dxa"/>
            <w:vAlign w:val="center"/>
          </w:tcPr>
          <w:p>
            <w:pPr>
              <w:pStyle w:val="12"/>
            </w:pPr>
            <w:r>
              <w:t>87.00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87.00</w:t>
            </w:r>
          </w:p>
        </w:tc>
        <w:tc>
          <w:tcPr>
            <w:tcW w:w="1134" w:type="dxa"/>
            <w:vAlign w:val="center"/>
          </w:tcPr>
          <w:p>
            <w:pPr>
              <w:pStyle w:val="12"/>
            </w:pPr>
            <w:r>
              <w:t>87.00</w:t>
            </w:r>
          </w:p>
        </w:tc>
        <w:tc>
          <w:tcPr>
            <w:tcW w:w="1134" w:type="dxa"/>
            <w:vAlign w:val="center"/>
          </w:tcPr>
          <w:p>
            <w:pPr>
              <w:pStyle w:val="12"/>
            </w:pPr>
            <w:r>
              <w:t>87.00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431无极县数据和政务服务局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819.01</w:t>
            </w:r>
          </w:p>
        </w:tc>
        <w:tc>
          <w:tcPr>
            <w:tcW w:w="1361" w:type="dxa"/>
            <w:vAlign w:val="center"/>
          </w:tcPr>
          <w:p>
            <w:pPr>
              <w:pStyle w:val="16"/>
            </w:pPr>
            <w:r>
              <w:t>807.01</w:t>
            </w:r>
          </w:p>
        </w:tc>
        <w:tc>
          <w:tcPr>
            <w:tcW w:w="1361" w:type="dxa"/>
            <w:vAlign w:val="center"/>
          </w:tcPr>
          <w:p>
            <w:pPr>
              <w:pStyle w:val="16"/>
            </w:pPr>
            <w:r>
              <w:t>12.00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697.01</w:t>
            </w:r>
          </w:p>
        </w:tc>
        <w:tc>
          <w:tcPr>
            <w:tcW w:w="1361" w:type="dxa"/>
            <w:vAlign w:val="center"/>
          </w:tcPr>
          <w:p>
            <w:pPr>
              <w:pStyle w:val="12"/>
            </w:pPr>
            <w:r>
              <w:t>685.01</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697.01</w:t>
            </w:r>
          </w:p>
        </w:tc>
        <w:tc>
          <w:tcPr>
            <w:tcW w:w="1361" w:type="dxa"/>
            <w:vAlign w:val="center"/>
          </w:tcPr>
          <w:p>
            <w:pPr>
              <w:pStyle w:val="12"/>
            </w:pPr>
            <w:r>
              <w:t>685.01</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2010306</w:t>
            </w:r>
          </w:p>
        </w:tc>
        <w:tc>
          <w:tcPr>
            <w:tcW w:w="4535" w:type="dxa"/>
            <w:vAlign w:val="center"/>
          </w:tcPr>
          <w:p>
            <w:pPr>
              <w:pStyle w:val="13"/>
            </w:pPr>
            <w:r>
              <w:t>政务公开审批</w:t>
            </w:r>
          </w:p>
        </w:tc>
        <w:tc>
          <w:tcPr>
            <w:tcW w:w="1361" w:type="dxa"/>
            <w:vAlign w:val="center"/>
          </w:tcPr>
          <w:p>
            <w:pPr>
              <w:pStyle w:val="12"/>
            </w:pPr>
            <w:r>
              <w:t>697.01</w:t>
            </w:r>
          </w:p>
        </w:tc>
        <w:tc>
          <w:tcPr>
            <w:tcW w:w="1361" w:type="dxa"/>
            <w:vAlign w:val="center"/>
          </w:tcPr>
          <w:p>
            <w:pPr>
              <w:pStyle w:val="12"/>
            </w:pPr>
            <w:r>
              <w:t>685.01</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87.00</w:t>
            </w:r>
          </w:p>
        </w:tc>
        <w:tc>
          <w:tcPr>
            <w:tcW w:w="1361" w:type="dxa"/>
            <w:vAlign w:val="center"/>
          </w:tcPr>
          <w:p>
            <w:pPr>
              <w:pStyle w:val="12"/>
            </w:pPr>
            <w:r>
              <w:t>87.00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87.00</w:t>
            </w:r>
          </w:p>
        </w:tc>
        <w:tc>
          <w:tcPr>
            <w:tcW w:w="1361" w:type="dxa"/>
            <w:vAlign w:val="center"/>
          </w:tcPr>
          <w:p>
            <w:pPr>
              <w:pStyle w:val="12"/>
            </w:pPr>
            <w:r>
              <w:t>87.00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87.00</w:t>
            </w:r>
          </w:p>
        </w:tc>
        <w:tc>
          <w:tcPr>
            <w:tcW w:w="1361" w:type="dxa"/>
            <w:vAlign w:val="center"/>
          </w:tcPr>
          <w:p>
            <w:pPr>
              <w:pStyle w:val="12"/>
            </w:pPr>
            <w:r>
              <w:t>87.00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35.00</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35.00</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35.00</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431无极县数据和政务服务局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819.01</w:t>
            </w:r>
          </w:p>
        </w:tc>
        <w:tc>
          <w:tcPr>
            <w:tcW w:w="3402" w:type="dxa"/>
            <w:vAlign w:val="center"/>
          </w:tcPr>
          <w:p>
            <w:pPr>
              <w:pStyle w:val="13"/>
            </w:pPr>
            <w:r>
              <w:t>一、一般公共服务支出</w:t>
            </w:r>
          </w:p>
        </w:tc>
        <w:tc>
          <w:tcPr>
            <w:tcW w:w="1474" w:type="dxa"/>
            <w:vAlign w:val="center"/>
          </w:tcPr>
          <w:p>
            <w:pPr>
              <w:pStyle w:val="12"/>
            </w:pPr>
            <w:r>
              <w:t>697.01</w:t>
            </w:r>
          </w:p>
        </w:tc>
        <w:tc>
          <w:tcPr>
            <w:tcW w:w="1474" w:type="dxa"/>
            <w:vAlign w:val="center"/>
          </w:tcPr>
          <w:p>
            <w:pPr>
              <w:pStyle w:val="12"/>
            </w:pPr>
            <w:r>
              <w:t>697.01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87.00</w:t>
            </w:r>
          </w:p>
        </w:tc>
        <w:tc>
          <w:tcPr>
            <w:tcW w:w="1474" w:type="dxa"/>
            <w:vAlign w:val="center"/>
          </w:tcPr>
          <w:p>
            <w:pPr>
              <w:pStyle w:val="12"/>
            </w:pPr>
            <w:r>
              <w:t>87.00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35.00</w:t>
            </w:r>
          </w:p>
        </w:tc>
        <w:tc>
          <w:tcPr>
            <w:tcW w:w="1474" w:type="dxa"/>
            <w:vAlign w:val="center"/>
          </w:tcPr>
          <w:p>
            <w:pPr>
              <w:pStyle w:val="12"/>
            </w:pPr>
            <w:r>
              <w:t>35.00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819.01</w:t>
            </w:r>
          </w:p>
        </w:tc>
        <w:tc>
          <w:tcPr>
            <w:tcW w:w="3402" w:type="dxa"/>
            <w:vAlign w:val="center"/>
          </w:tcPr>
          <w:p>
            <w:pPr>
              <w:pStyle w:val="15"/>
            </w:pPr>
            <w:r>
              <w:t>本年支出合计</w:t>
            </w:r>
          </w:p>
        </w:tc>
        <w:tc>
          <w:tcPr>
            <w:tcW w:w="1474" w:type="dxa"/>
            <w:vAlign w:val="center"/>
          </w:tcPr>
          <w:p>
            <w:pPr>
              <w:pStyle w:val="16"/>
            </w:pPr>
            <w:r>
              <w:t>819.01</w:t>
            </w:r>
          </w:p>
        </w:tc>
        <w:tc>
          <w:tcPr>
            <w:tcW w:w="1474" w:type="dxa"/>
            <w:vAlign w:val="center"/>
          </w:tcPr>
          <w:p>
            <w:pPr>
              <w:pStyle w:val="16"/>
            </w:pPr>
            <w:r>
              <w:t>819.01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819.01</w:t>
            </w:r>
          </w:p>
        </w:tc>
        <w:tc>
          <w:tcPr>
            <w:tcW w:w="3402" w:type="dxa"/>
            <w:vAlign w:val="center"/>
          </w:tcPr>
          <w:p>
            <w:pPr>
              <w:pStyle w:val="15"/>
            </w:pPr>
            <w:r>
              <w:t>支出总计</w:t>
            </w:r>
          </w:p>
        </w:tc>
        <w:tc>
          <w:tcPr>
            <w:tcW w:w="1474" w:type="dxa"/>
            <w:vAlign w:val="center"/>
          </w:tcPr>
          <w:p>
            <w:pPr>
              <w:pStyle w:val="16"/>
            </w:pPr>
            <w:r>
              <w:t>819.01</w:t>
            </w:r>
          </w:p>
        </w:tc>
        <w:tc>
          <w:tcPr>
            <w:tcW w:w="1474" w:type="dxa"/>
            <w:vAlign w:val="center"/>
          </w:tcPr>
          <w:p>
            <w:pPr>
              <w:pStyle w:val="16"/>
            </w:pPr>
            <w:r>
              <w:t>819.01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431无极县数据和政务服务局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819.01</w:t>
            </w:r>
          </w:p>
        </w:tc>
        <w:tc>
          <w:tcPr>
            <w:tcW w:w="2551" w:type="dxa"/>
            <w:vAlign w:val="center"/>
          </w:tcPr>
          <w:p>
            <w:pPr>
              <w:pStyle w:val="16"/>
            </w:pPr>
            <w:r>
              <w:t>807.01</w:t>
            </w:r>
          </w:p>
        </w:tc>
        <w:tc>
          <w:tcPr>
            <w:tcW w:w="2551" w:type="dxa"/>
            <w:vAlign w:val="center"/>
          </w:tcPr>
          <w:p>
            <w:pPr>
              <w:pStyle w:val="16"/>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697.01</w:t>
            </w:r>
          </w:p>
        </w:tc>
        <w:tc>
          <w:tcPr>
            <w:tcW w:w="2551" w:type="dxa"/>
            <w:vAlign w:val="center"/>
          </w:tcPr>
          <w:p>
            <w:pPr>
              <w:pStyle w:val="12"/>
            </w:pPr>
            <w:r>
              <w:t>685.01</w:t>
            </w: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697.01</w:t>
            </w:r>
          </w:p>
        </w:tc>
        <w:tc>
          <w:tcPr>
            <w:tcW w:w="2551" w:type="dxa"/>
            <w:vAlign w:val="center"/>
          </w:tcPr>
          <w:p>
            <w:pPr>
              <w:pStyle w:val="12"/>
            </w:pPr>
            <w:r>
              <w:t>685.01</w:t>
            </w: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2010306</w:t>
            </w:r>
          </w:p>
        </w:tc>
        <w:tc>
          <w:tcPr>
            <w:tcW w:w="4535" w:type="dxa"/>
            <w:vAlign w:val="center"/>
          </w:tcPr>
          <w:p>
            <w:pPr>
              <w:pStyle w:val="13"/>
            </w:pPr>
            <w:r>
              <w:t>政务公开审批</w:t>
            </w:r>
          </w:p>
        </w:tc>
        <w:tc>
          <w:tcPr>
            <w:tcW w:w="2551" w:type="dxa"/>
            <w:vAlign w:val="center"/>
          </w:tcPr>
          <w:p>
            <w:pPr>
              <w:pStyle w:val="12"/>
            </w:pPr>
            <w:r>
              <w:t>697.01</w:t>
            </w:r>
          </w:p>
        </w:tc>
        <w:tc>
          <w:tcPr>
            <w:tcW w:w="2551" w:type="dxa"/>
            <w:vAlign w:val="center"/>
          </w:tcPr>
          <w:p>
            <w:pPr>
              <w:pStyle w:val="12"/>
            </w:pPr>
            <w:r>
              <w:t>685.01</w:t>
            </w: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87.00</w:t>
            </w:r>
          </w:p>
        </w:tc>
        <w:tc>
          <w:tcPr>
            <w:tcW w:w="2551" w:type="dxa"/>
            <w:vAlign w:val="center"/>
          </w:tcPr>
          <w:p>
            <w:pPr>
              <w:pStyle w:val="12"/>
            </w:pPr>
            <w:r>
              <w:t>87.00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87.00</w:t>
            </w:r>
          </w:p>
        </w:tc>
        <w:tc>
          <w:tcPr>
            <w:tcW w:w="2551" w:type="dxa"/>
            <w:vAlign w:val="center"/>
          </w:tcPr>
          <w:p>
            <w:pPr>
              <w:pStyle w:val="12"/>
            </w:pPr>
            <w:r>
              <w:t>87.00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87.00</w:t>
            </w:r>
          </w:p>
        </w:tc>
        <w:tc>
          <w:tcPr>
            <w:tcW w:w="2551" w:type="dxa"/>
            <w:vAlign w:val="center"/>
          </w:tcPr>
          <w:p>
            <w:pPr>
              <w:pStyle w:val="12"/>
            </w:pPr>
            <w:r>
              <w:t>87.00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35.00</w:t>
            </w:r>
          </w:p>
        </w:tc>
        <w:tc>
          <w:tcPr>
            <w:tcW w:w="2551" w:type="dxa"/>
            <w:vAlign w:val="center"/>
          </w:tcPr>
          <w:p>
            <w:pPr>
              <w:pStyle w:val="12"/>
            </w:pPr>
            <w:r>
              <w:t>35.00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35.00</w:t>
            </w:r>
          </w:p>
        </w:tc>
        <w:tc>
          <w:tcPr>
            <w:tcW w:w="2551" w:type="dxa"/>
            <w:vAlign w:val="center"/>
          </w:tcPr>
          <w:p>
            <w:pPr>
              <w:pStyle w:val="12"/>
            </w:pPr>
            <w:r>
              <w:t>35.00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35.00</w:t>
            </w:r>
          </w:p>
        </w:tc>
        <w:tc>
          <w:tcPr>
            <w:tcW w:w="2551" w:type="dxa"/>
            <w:vAlign w:val="center"/>
          </w:tcPr>
          <w:p>
            <w:pPr>
              <w:pStyle w:val="12"/>
            </w:pPr>
            <w:r>
              <w:t>35.00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431无极县数据和政务服务局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807.01</w:t>
            </w:r>
          </w:p>
        </w:tc>
        <w:tc>
          <w:tcPr>
            <w:tcW w:w="2551" w:type="dxa"/>
            <w:vAlign w:val="center"/>
          </w:tcPr>
          <w:p>
            <w:pPr>
              <w:pStyle w:val="16"/>
            </w:pPr>
            <w:r>
              <w:t>741.80</w:t>
            </w:r>
          </w:p>
        </w:tc>
        <w:tc>
          <w:tcPr>
            <w:tcW w:w="2551" w:type="dxa"/>
            <w:vAlign w:val="center"/>
          </w:tcPr>
          <w:p>
            <w:pPr>
              <w:pStyle w:val="16"/>
            </w:pPr>
            <w:r>
              <w:t>65.21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727.80</w:t>
            </w:r>
          </w:p>
        </w:tc>
        <w:tc>
          <w:tcPr>
            <w:tcW w:w="2551" w:type="dxa"/>
            <w:vAlign w:val="center"/>
          </w:tcPr>
          <w:p>
            <w:pPr>
              <w:pStyle w:val="12"/>
            </w:pPr>
            <w:r>
              <w:t>727.80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315.00</w:t>
            </w:r>
          </w:p>
        </w:tc>
        <w:tc>
          <w:tcPr>
            <w:tcW w:w="2551" w:type="dxa"/>
            <w:vAlign w:val="center"/>
          </w:tcPr>
          <w:p>
            <w:pPr>
              <w:pStyle w:val="12"/>
            </w:pPr>
            <w:r>
              <w:t>315.00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86.50</w:t>
            </w:r>
          </w:p>
        </w:tc>
        <w:tc>
          <w:tcPr>
            <w:tcW w:w="2551" w:type="dxa"/>
            <w:vAlign w:val="center"/>
          </w:tcPr>
          <w:p>
            <w:pPr>
              <w:pStyle w:val="12"/>
            </w:pPr>
            <w:r>
              <w:t>86.50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61.70</w:t>
            </w:r>
          </w:p>
        </w:tc>
        <w:tc>
          <w:tcPr>
            <w:tcW w:w="2551" w:type="dxa"/>
            <w:vAlign w:val="center"/>
          </w:tcPr>
          <w:p>
            <w:pPr>
              <w:pStyle w:val="12"/>
            </w:pPr>
            <w:r>
              <w:t>61.70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138.50</w:t>
            </w:r>
          </w:p>
        </w:tc>
        <w:tc>
          <w:tcPr>
            <w:tcW w:w="2551" w:type="dxa"/>
            <w:vAlign w:val="center"/>
          </w:tcPr>
          <w:p>
            <w:pPr>
              <w:pStyle w:val="12"/>
            </w:pPr>
            <w:r>
              <w:t>138.50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87.00</w:t>
            </w:r>
          </w:p>
        </w:tc>
        <w:tc>
          <w:tcPr>
            <w:tcW w:w="2551" w:type="dxa"/>
            <w:vAlign w:val="center"/>
          </w:tcPr>
          <w:p>
            <w:pPr>
              <w:pStyle w:val="12"/>
            </w:pPr>
            <w:r>
              <w:t>87.00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35.00</w:t>
            </w:r>
          </w:p>
        </w:tc>
        <w:tc>
          <w:tcPr>
            <w:tcW w:w="2551" w:type="dxa"/>
            <w:vAlign w:val="center"/>
          </w:tcPr>
          <w:p>
            <w:pPr>
              <w:pStyle w:val="12"/>
            </w:pPr>
            <w:r>
              <w:t>35.00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4.10</w:t>
            </w:r>
          </w:p>
        </w:tc>
        <w:tc>
          <w:tcPr>
            <w:tcW w:w="2551" w:type="dxa"/>
            <w:vAlign w:val="center"/>
          </w:tcPr>
          <w:p>
            <w:pPr>
              <w:pStyle w:val="12"/>
            </w:pPr>
            <w:r>
              <w:t>4.10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65.21</w:t>
            </w:r>
          </w:p>
        </w:tc>
        <w:tc>
          <w:tcPr>
            <w:tcW w:w="2551" w:type="dxa"/>
            <w:vAlign w:val="center"/>
          </w:tcPr>
          <w:p>
            <w:pPr>
              <w:pStyle w:val="12"/>
            </w:pPr>
          </w:p>
        </w:tc>
        <w:tc>
          <w:tcPr>
            <w:tcW w:w="2551" w:type="dxa"/>
            <w:vAlign w:val="center"/>
          </w:tcPr>
          <w:p>
            <w:pPr>
              <w:pStyle w:val="12"/>
            </w:pPr>
            <w:r>
              <w:t>65.21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32.50</w:t>
            </w:r>
          </w:p>
        </w:tc>
        <w:tc>
          <w:tcPr>
            <w:tcW w:w="2551" w:type="dxa"/>
            <w:vAlign w:val="center"/>
          </w:tcPr>
          <w:p>
            <w:pPr>
              <w:pStyle w:val="12"/>
            </w:pPr>
          </w:p>
        </w:tc>
        <w:tc>
          <w:tcPr>
            <w:tcW w:w="2551" w:type="dxa"/>
            <w:vAlign w:val="center"/>
          </w:tcPr>
          <w:p>
            <w:pPr>
              <w:pStyle w:val="12"/>
            </w:pPr>
            <w:r>
              <w:t>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13.00</w:t>
            </w:r>
          </w:p>
        </w:tc>
        <w:tc>
          <w:tcPr>
            <w:tcW w:w="2551" w:type="dxa"/>
            <w:vAlign w:val="center"/>
          </w:tcPr>
          <w:p>
            <w:pPr>
              <w:pStyle w:val="12"/>
            </w:pPr>
          </w:p>
        </w:tc>
        <w:tc>
          <w:tcPr>
            <w:tcW w:w="2551" w:type="dxa"/>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16.80</w:t>
            </w:r>
          </w:p>
        </w:tc>
        <w:tc>
          <w:tcPr>
            <w:tcW w:w="2551" w:type="dxa"/>
            <w:vAlign w:val="center"/>
          </w:tcPr>
          <w:p>
            <w:pPr>
              <w:pStyle w:val="12"/>
            </w:pPr>
          </w:p>
        </w:tc>
        <w:tc>
          <w:tcPr>
            <w:tcW w:w="2551" w:type="dxa"/>
            <w:vAlign w:val="center"/>
          </w:tcPr>
          <w:p>
            <w:pPr>
              <w:pStyle w:val="12"/>
            </w:pPr>
            <w:r>
              <w:t>16.80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14.00</w:t>
            </w:r>
          </w:p>
        </w:tc>
        <w:tc>
          <w:tcPr>
            <w:tcW w:w="2551" w:type="dxa"/>
            <w:vAlign w:val="center"/>
          </w:tcPr>
          <w:p>
            <w:pPr>
              <w:pStyle w:val="12"/>
            </w:pPr>
            <w:r>
              <w:t>14.00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14.00</w:t>
            </w:r>
          </w:p>
        </w:tc>
        <w:tc>
          <w:tcPr>
            <w:tcW w:w="2551" w:type="dxa"/>
            <w:vAlign w:val="center"/>
          </w:tcPr>
          <w:p>
            <w:pPr>
              <w:pStyle w:val="12"/>
            </w:pPr>
            <w:r>
              <w:t>14.00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431无极县数据和政务服务局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431无极县数据和政务服务局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431无极县数据和政务服务局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无极县数据和政务服务局2026年部门预算信息公开情况说明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无极县数据和政务服务局2026年部门预算信息公开情况说明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按照《中华人民共和国预算法》、《地方预决算公开操作规程》和《关于进一步推进预算公开工作的实施意见》规定，现将无极县数据和政务服务局2026年部门预算公开如下：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（一）拟订全县行政审批事业发展规划，起草行政审批规范性文件。</w:t>
      </w:r>
    </w:p>
    <w:p>
      <w:pPr>
        <w:pStyle w:val="18"/>
      </w:pPr>
      <w:r>
        <w:t>（二）拟订行政审批规划和行政审批服务业发展、行政审批流动政策，促进行政审批合理流动、有效配置。按照管理权限拟订人员（不含公务员）调配政策和特殊人员安置政策。</w:t>
      </w:r>
    </w:p>
    <w:p>
      <w:pPr>
        <w:pStyle w:val="18"/>
      </w:pPr>
      <w:r>
        <w:t>（三）负责促进行政审批工作，拟订统筹城乡的行政审批扶持政策，完善行政审批服务体系，拟订行政审批发展规划和管理规划并组织实施，统筹建立面向城乡行政审批制度，加强行政审批服务和行政审批培训，拟订行政审批援助制度，牵头拟订行政审批全县范围全部工作。</w:t>
      </w:r>
    </w:p>
    <w:p>
      <w:pPr>
        <w:pStyle w:val="18"/>
      </w:pPr>
      <w:r>
        <w:t>（四）统筹推进覆盖城乡的多层次行政审批体系建设。负责全县覆盖行政审批工作。负责行政审批管理工作并会同有关部门拟订行政审批监督制度。审核汇总相关行政审批草案。负责企业行政审批管理工作，会同有关部门实施全民行政审批服务平台建设工作。</w:t>
      </w:r>
    </w:p>
    <w:p>
      <w:pPr>
        <w:pStyle w:val="18"/>
      </w:pPr>
      <w:r>
        <w:t>（五）负责行政审批预测预警和信息引导，拟订应对预案，实施预防、调节和控制，保持总体总体收支平衡。</w:t>
      </w:r>
    </w:p>
    <w:p>
      <w:pPr>
        <w:pStyle w:val="18"/>
      </w:pPr>
      <w:r>
        <w:t>（六）负责行政审批监管工作，完善行政审批协商协调机制，组织实施职工工作时间、休息休假和假期制度。负责组织实施行政审批监察，协调行政审批服务对象维权工作，保障行政审批服务对象合法权益。</w:t>
      </w:r>
    </w:p>
    <w:p>
      <w:pPr>
        <w:pStyle w:val="18"/>
      </w:pPr>
      <w:r>
        <w:t>（七）拟订行政审批人才工作有关目标并做好相关实施工作，参与全县人才工作的指导、组织、协调和管理，承办有关人才工作。会同有关部门做好市场化、社会化的人才管理服务体系建设工作。负责人事考试工作。负责人才分类评价机制推进实施，牵头推进全县深化行政审批人才制度改革，综合管理全县行政审批工作。负责专业技术人员管理、继续教育和博士后管理工作，负责高层次专业技术人才选拔和培养，拟订吸引留学人员来无极（回国）工作或定居政策，组织拟订技能人才培训、评价、使用和激励制度。贯彻执行职业资格制度，负责职业技能多元化评价工作。</w:t>
      </w:r>
    </w:p>
    <w:p>
      <w:pPr>
        <w:pStyle w:val="18"/>
      </w:pPr>
      <w:r>
        <w:t>（八）会同有关部门指导事业单位人事制度改革，按照管理权限负责规范事业单位岗位设置、公开招聘、聘用合同、考核奖惩、培训等行政审批人事综合管理工作，负责事业单位人员和机关工勤人员管理工作；按照管理权限负责县直部分事业单位及垂直管理单位工资基金手册管理工作。</w:t>
      </w:r>
    </w:p>
    <w:p>
      <w:pPr>
        <w:pStyle w:val="18"/>
      </w:pPr>
      <w:r>
        <w:t xml:space="preserve">（九）会同有关部门做好我局事业单位人员工资收入分配管理工作，负责行政审批管理人员薪酬水平的复核、备案工作；负责行政审批人员工资决定、正常增长和支付保障工作；负责我局事业单位人员福利和离退休管理工作，并对政策执行情况进行监督检查。   </w:t>
      </w:r>
    </w:p>
    <w:p>
      <w:pPr>
        <w:pStyle w:val="18"/>
      </w:pPr>
      <w:r>
        <w:t>（十）负责行政审批业务对外交流与合作工作。</w:t>
      </w:r>
    </w:p>
    <w:p>
      <w:pPr>
        <w:pStyle w:val="18"/>
      </w:pPr>
      <w:r>
        <w:t>（＋一）完成县委、县政府交办的其他任务。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无极县数据和政务服务局本级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按照预算管理有关规定，目前部门预算的编制实行综合预算管理，即全部收入和支出都反映在预算中。无极县数据和政务服务局机关及所属事业单位的收支包含在部门预算中。</w:t>
      </w:r>
    </w:p>
    <w:p>
      <w:pPr>
        <w:pStyle w:val="19"/>
      </w:pPr>
      <w:r>
        <w:t>1、收入说明</w:t>
      </w:r>
    </w:p>
    <w:p>
      <w:pPr>
        <w:pStyle w:val="19"/>
      </w:pPr>
      <w:r>
        <w:t>反映本部门当年全部收入。2026年预算收入819.01万元，其中：一般公共预算收入819.01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数据和政务服务局年度部门预算中支出预算的总体情况。2026年支出预算819.01万元，其中基本支出807.01万元，包括人员经费741.80万元和日常公用经费65.21万元；项目支出12.00万元，主要为保安工资12.00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819.01万元，较2025年预算减少80.39万元，其中：基本支出减少80.39万元，主要为2026年基本支出不包含劳务派遣工资，2025年基本支出包含劳务派遣工资。项目支出增加0.00万元，主要为项目支出无增加</w:t>
      </w:r>
      <w:bookmarkStart w:id="20" w:name="_GoBack"/>
      <w:bookmarkEnd w:id="20"/>
      <w:r>
        <w:t>。预计下年使用的单位资金结余增加0.00万元。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0.09万元，增减变化的主要原因是严格按照公务用车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总体绩效目标</w:t>
      </w:r>
    </w:p>
    <w:p>
      <w:pPr>
        <w:pStyle w:val="22"/>
      </w:pPr>
      <w:r>
        <w:t>按照“一门受理、转告相关、互联审批、统一收费、限时办结、集中管理、分业行政、效能监督”的服务模式，努力打造成为县委、县政府便民利民的平台，依法行政的抓手，密切党群干群关系的载体，努力打造“高效无极”服务窗口。</w:t>
      </w:r>
    </w:p>
    <w:p>
      <w:pPr>
        <w:pStyle w:val="22"/>
      </w:pPr>
      <w:r>
        <w:t>对行政审批、政务服务行为进行监督检查，对窗口工作人员进行日常管理、教育培训和检查考核；规范行政审批行为，创新和完善相关工作体制；对行政审批、政务服务事项流程进行规范和优化，推进审批服务便民化、标准化建设；公共资源交易监督管理，建设公共资源交易电子平台，推进公共资源交易领域信用体系建设；推动政务服务事项网上办理，推进在线政务服务平台规范化、标准化、集约化建设，实现政务数据、公共数据的互联互通，为提升政府治理水平、促进保障和改善民生提供数据资源保障服务。</w:t>
      </w:r>
    </w:p>
    <w:p>
      <w:pPr>
        <w:pStyle w:val="22"/>
      </w:pPr>
      <w:r>
        <w:t>致力于深化行政审批制度改革，不断推出创新举措，努力提升政务服务质量，着力营造良好的营商环境，使人民群众满意度和获得感不断提升。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为群众提供一个功能齐全、行为规范、工作透明、廉洁高效和政务服务平台，不断提高办事质量，办事效率；为群众提供更加快捷高效的一站式服务，让办事群众只进一扇门，办齐所有事。</w:t>
      </w:r>
    </w:p>
    <w:p>
      <w:pPr>
        <w:pStyle w:val="23"/>
      </w:pPr>
      <w:r>
        <w:t>（一）审批、服务事项受理</w:t>
      </w:r>
    </w:p>
    <w:p>
      <w:pPr>
        <w:pStyle w:val="23"/>
      </w:pPr>
      <w:r>
        <w:t>绩效目标：受理企业和群众申请办理的各类批准、核准、备案等服务事项。</w:t>
      </w:r>
    </w:p>
    <w:p>
      <w:pPr>
        <w:pStyle w:val="23"/>
      </w:pPr>
      <w:r>
        <w:t>绩效指标：规范完善行政审批工作，创造宽松的经济发展环境，打造高效、公正的服务平台，提高行政效能。</w:t>
      </w:r>
    </w:p>
    <w:p>
      <w:pPr>
        <w:pStyle w:val="23"/>
      </w:pPr>
      <w:r>
        <w:t>（二）信息化工作</w:t>
      </w:r>
    </w:p>
    <w:p>
      <w:pPr>
        <w:pStyle w:val="23"/>
      </w:pPr>
      <w:r>
        <w:t>绩效目标：推行网上审批自动化和办公自动化。</w:t>
      </w:r>
    </w:p>
    <w:p>
      <w:pPr>
        <w:pStyle w:val="23"/>
      </w:pPr>
      <w:r>
        <w:t>绩效指标：中心网络的维护管理和技术指导，操作系统、安全系统的日常检测、维护及数据更新和网络建设。</w:t>
      </w:r>
    </w:p>
    <w:p>
      <w:pPr>
        <w:pStyle w:val="23"/>
      </w:pPr>
      <w:r>
        <w:t>（三）驻派人员的管理与考核</w:t>
      </w:r>
    </w:p>
    <w:p>
      <w:pPr>
        <w:pStyle w:val="23"/>
      </w:pPr>
      <w:r>
        <w:t>绩效目标：对县政府有关单位驻派人员的考核与管理。</w:t>
      </w:r>
    </w:p>
    <w:p>
      <w:pPr>
        <w:pStyle w:val="23"/>
      </w:pPr>
      <w:r>
        <w:t>绩效指标：对县政府有关单位驻派人员的考核与管理，管理有制度、考核有依据。</w:t>
      </w:r>
    </w:p>
    <w:p>
      <w:pPr>
        <w:pStyle w:val="23"/>
      </w:pPr>
      <w:r>
        <w:t>（四）中心综合事务和我县政府交办的其他事宜</w:t>
      </w:r>
    </w:p>
    <w:p>
      <w:pPr>
        <w:pStyle w:val="23"/>
      </w:pPr>
      <w:r>
        <w:t>绩效目标：中心设备与人员正常运转的水电保障和办理县政府交办的其他事宜。</w:t>
      </w:r>
    </w:p>
    <w:p>
      <w:pPr>
        <w:pStyle w:val="23"/>
      </w:pPr>
      <w:r>
        <w:t>绩效指标：中心的办公环境、办公设备以及生活设施进行维护和修缮，保障中心功能以及基本设施正常运转。</w:t>
      </w:r>
    </w:p>
    <w:p>
      <w:pPr>
        <w:pStyle w:val="23"/>
      </w:pPr>
      <w:r>
        <w:t>（五）公共资源交易监督管理工作</w:t>
      </w:r>
    </w:p>
    <w:p>
      <w:pPr>
        <w:pStyle w:val="23"/>
      </w:pPr>
      <w:r>
        <w:t>绩效目标：拟定全县公共资源交易管理制度和规则并组织实施，建设公共资源交易电子平台，推进公共资源交易领域信用体系建设。</w:t>
      </w:r>
    </w:p>
    <w:p>
      <w:pPr>
        <w:pStyle w:val="23"/>
      </w:pPr>
      <w:r>
        <w:t>绩效指标：监督公共资源交易项目进场交易，并对场内交易活动进行监督，协调开展公共资源交易活动的联动执法。</w:t>
      </w:r>
    </w:p>
    <w:p>
      <w:pPr>
        <w:pStyle w:val="23"/>
      </w:pPr>
      <w:r>
        <w:t>（六）政务服务管理工作</w:t>
      </w:r>
    </w:p>
    <w:p>
      <w:pPr>
        <w:pStyle w:val="23"/>
      </w:pPr>
      <w:r>
        <w:t>绩效目标：贯彻落实党中央、省、县关于政务服务管理工作的方针政策和决策部署，坚持和加强党对政务服务管理工作的集中统一领导。</w:t>
      </w:r>
    </w:p>
    <w:p>
      <w:pPr>
        <w:pStyle w:val="23"/>
      </w:pPr>
      <w:r>
        <w:t>绩效指标：全县政务服务体系建设，推动政务服务事项网上办理，协调推进政务服务同一事项、统一编码、统一网上技术规范；推进审批服务便民化；提供规范、高效、优质的政务服务。</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p>
    <w:p>
      <w:pPr>
        <w:pStyle w:val="24"/>
      </w:pPr>
      <w:r>
        <w:t>(一）完善制度建设：加强机关制度建设，切实做部门预算资金的使用、管理、监督等工作，确保不发生违法、违规、违纪等现象。</w:t>
      </w:r>
    </w:p>
    <w:p>
      <w:pPr>
        <w:pStyle w:val="24"/>
      </w:pPr>
      <w:r>
        <w:t>（二）加强支出管理：坚持从发展大局出发，进一步优化支出结构，在预算执行中坚持统筹兼顾，严控一般性支出，加大项目支出清理整合力度，提高预算执行效率。</w:t>
      </w:r>
    </w:p>
    <w:p>
      <w:pPr>
        <w:pStyle w:val="24"/>
      </w:pPr>
      <w:r>
        <w:t>（三）加强绩效运行监控：建立健全支出绩效管理机制，按照要求开展绩效运行监控，发现问题及时采取措施，确保绩效目标如期保质实现。</w:t>
      </w:r>
    </w:p>
    <w:p>
      <w:pPr>
        <w:pStyle w:val="24"/>
      </w:pPr>
      <w:r>
        <w:t>（四）做好绩效自评：按要求开展上年度部门预算绩效自评和重大评价工作，对评价中发现的问题及时整改，调整优化支出结构，提高财政资金使用效益。</w:t>
      </w:r>
    </w:p>
    <w:p>
      <w:pPr>
        <w:pStyle w:val="24"/>
      </w:pPr>
      <w:r>
        <w:t>（五）规范财务资产管理：完善机关财务管理制度，严格审批程序，加强固定资产登记、使用和报废处置管理，做到支出合理，物尽其用。</w:t>
      </w:r>
    </w:p>
    <w:p>
      <w:pPr>
        <w:pStyle w:val="24"/>
      </w:pPr>
      <w:r>
        <w:t>（六）加强内部监督：强化监督管理，提高资金使用效益。加强机关内部监督制度建设，对绩效运行情况、重大支出决策、资产处置及其他重要经济业务事项的决策和执行进行监督，对会计资料定期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（七）加强宣传培训调研：积极开展财经法律法规的宣传教育，提高本单位员工的业务素质，加大宣传力度，强化预算绩效管理意识，促进预算绩效管理水平进一步提升。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1、保安工资绩效目标表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13013026P00006610038P</w:t>
            </w:r>
          </w:p>
        </w:tc>
        <w:tc>
          <w:tcPr>
            <w:tcW w:w="2835" w:type="dxa"/>
            <w:vAlign w:val="center"/>
          </w:tcPr>
          <w:p>
            <w:pPr>
              <w:pStyle w:val="11"/>
            </w:pPr>
            <w:r>
              <w:t>项目名称</w:t>
            </w:r>
          </w:p>
        </w:tc>
        <w:tc>
          <w:tcPr>
            <w:tcW w:w="6095" w:type="dxa"/>
            <w:gridSpan w:val="3"/>
            <w:vAlign w:val="center"/>
          </w:tcPr>
          <w:p>
            <w:pPr>
              <w:pStyle w:val="13"/>
            </w:pPr>
            <w:r>
              <w:t>保安工资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用于支付政务大厅保安工资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w:t>
            </w:r>
          </w:p>
        </w:tc>
        <w:tc>
          <w:tcPr>
            <w:tcW w:w="2835" w:type="dxa"/>
            <w:vAlign w:val="center"/>
          </w:tcPr>
          <w:p>
            <w:pPr>
              <w:pStyle w:val="14"/>
            </w:pPr>
            <w:r>
              <w:t>6.00</w:t>
            </w:r>
          </w:p>
        </w:tc>
        <w:tc>
          <w:tcPr>
            <w:tcW w:w="2551" w:type="dxa"/>
            <w:vAlign w:val="center"/>
          </w:tcPr>
          <w:p>
            <w:pPr>
              <w:pStyle w:val="14"/>
            </w:pPr>
            <w:r>
              <w:t>9.00</w:t>
            </w:r>
          </w:p>
        </w:tc>
        <w:tc>
          <w:tcPr>
            <w:tcW w:w="3544" w:type="dxa"/>
            <w:gridSpan w:val="2"/>
            <w:vAlign w:val="center"/>
          </w:tcPr>
          <w:p>
            <w:pPr>
              <w:pStyle w:val="14"/>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按时支付大厅秩序等费用</w:t>
            </w:r>
          </w:p>
        </w:tc>
        <w:tc>
          <w:tcPr>
            <w:tcW w:w="5386" w:type="dxa"/>
            <w:vAlign w:val="center"/>
          </w:tcPr>
          <w:p>
            <w:pPr>
              <w:pStyle w:val="13"/>
            </w:pPr>
            <w:r>
              <w:t>按时支付大厅秩序等日常费用</w:t>
            </w:r>
          </w:p>
        </w:tc>
        <w:tc>
          <w:tcPr>
            <w:tcW w:w="2268" w:type="dxa"/>
            <w:vAlign w:val="center"/>
          </w:tcPr>
          <w:p>
            <w:pPr>
              <w:pStyle w:val="13"/>
            </w:pPr>
            <w:r>
              <w:t>支付保安工资是否及</w:t>
            </w:r>
          </w:p>
        </w:tc>
        <w:tc>
          <w:tcPr>
            <w:tcW w:w="1276" w:type="dxa"/>
            <w:vAlign w:val="center"/>
          </w:tcPr>
          <w:p>
            <w:pPr>
              <w:pStyle w:val="13"/>
            </w:pPr>
            <w:r>
              <w:t>支付保安工资是否及时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431无极县数据和政务服务局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无极县数据和政务服务局（含所属单位）上年末固定资产金额为0.00万元（详见下表）。本年度拟购置固定资产总额为20.00万元，已按要求列入政府采购预算，详见政府采购预算表。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431无极县数据和政务服务局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74B497F"/>
    <w:rsid w:val="6B3745C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2026-02-25T09:21:00Z</dcterms:created>
  <dc:creator>Administrator</dc:creator>
  <cp:lastModifiedBy>李润泽</cp:lastModifiedBy>
  <dcterms:modified xsi:type="dcterms:W3CDTF">2026-03-02T05:53:54Z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8E8D6B2ABA5D47338FA854B87CED992A</vt:lpwstr>
  </property>
</Properties>
</file>