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一、无极县机关事务服务中心本极收支预算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一、无极县机关事务服务中心本极收支预算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628.16</w:t>
            </w:r>
          </w:p>
        </w:tc>
        <w:tc>
          <w:tcPr>
            <w:tcW w:w="4535" w:type="dxa"/>
            <w:vAlign w:val="center"/>
          </w:tcPr>
          <w:p>
            <w:pPr>
              <w:pStyle w:val="12"/>
            </w:pPr>
            <w:r>
              <w:t>一、一般公共服务支出</w:t>
            </w:r>
          </w:p>
        </w:tc>
        <w:tc>
          <w:tcPr>
            <w:tcW w:w="2126" w:type="dxa"/>
            <w:vAlign w:val="center"/>
          </w:tcPr>
          <w:p>
            <w:pPr>
              <w:pStyle w:val="11"/>
            </w:pPr>
            <w:r>
              <w:t>590.16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628.16</w:t>
            </w:r>
          </w:p>
        </w:tc>
        <w:tc>
          <w:tcPr>
            <w:tcW w:w="4535" w:type="dxa"/>
            <w:vAlign w:val="center"/>
          </w:tcPr>
          <w:p>
            <w:pPr>
              <w:pStyle w:val="14"/>
            </w:pPr>
            <w:r>
              <w:t>本年支出合计</w:t>
            </w:r>
          </w:p>
        </w:tc>
        <w:tc>
          <w:tcPr>
            <w:tcW w:w="2126" w:type="dxa"/>
            <w:vAlign w:val="center"/>
          </w:tcPr>
          <w:p>
            <w:pPr>
              <w:pStyle w:val="15"/>
            </w:pPr>
            <w:r>
              <w:t>628.16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628.16</w:t>
            </w:r>
          </w:p>
        </w:tc>
        <w:tc>
          <w:tcPr>
            <w:tcW w:w="4535" w:type="dxa"/>
            <w:vAlign w:val="center"/>
          </w:tcPr>
          <w:p>
            <w:pPr>
              <w:pStyle w:val="14"/>
            </w:pPr>
            <w:r>
              <w:t>支出总计</w:t>
            </w:r>
          </w:p>
        </w:tc>
        <w:tc>
          <w:tcPr>
            <w:tcW w:w="2126" w:type="dxa"/>
            <w:vAlign w:val="center"/>
          </w:tcPr>
          <w:p>
            <w:pPr>
              <w:pStyle w:val="15"/>
            </w:pPr>
            <w:r>
              <w:t>628.16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628.16</w:t>
            </w:r>
          </w:p>
        </w:tc>
        <w:tc>
          <w:tcPr>
            <w:tcW w:w="1134" w:type="dxa"/>
            <w:vAlign w:val="center"/>
          </w:tcPr>
          <w:p>
            <w:pPr>
              <w:pStyle w:val="15"/>
            </w:pPr>
            <w:r>
              <w:t>628.16</w:t>
            </w:r>
          </w:p>
        </w:tc>
        <w:tc>
          <w:tcPr>
            <w:tcW w:w="1134" w:type="dxa"/>
            <w:vAlign w:val="center"/>
          </w:tcPr>
          <w:p>
            <w:pPr>
              <w:pStyle w:val="15"/>
            </w:pPr>
            <w:r>
              <w:t>628.16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590.16</w:t>
            </w:r>
          </w:p>
        </w:tc>
        <w:tc>
          <w:tcPr>
            <w:tcW w:w="1134" w:type="dxa"/>
            <w:vAlign w:val="center"/>
          </w:tcPr>
          <w:p>
            <w:pPr>
              <w:pStyle w:val="11"/>
            </w:pPr>
            <w:r>
              <w:t>590.16</w:t>
            </w:r>
          </w:p>
        </w:tc>
        <w:tc>
          <w:tcPr>
            <w:tcW w:w="1134" w:type="dxa"/>
            <w:vAlign w:val="center"/>
          </w:tcPr>
          <w:p>
            <w:pPr>
              <w:pStyle w:val="11"/>
            </w:pPr>
            <w:r>
              <w:t>590.16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590.16</w:t>
            </w:r>
          </w:p>
        </w:tc>
        <w:tc>
          <w:tcPr>
            <w:tcW w:w="1134" w:type="dxa"/>
            <w:vAlign w:val="center"/>
          </w:tcPr>
          <w:p>
            <w:pPr>
              <w:pStyle w:val="11"/>
            </w:pPr>
            <w:r>
              <w:t>590.16</w:t>
            </w:r>
          </w:p>
        </w:tc>
        <w:tc>
          <w:tcPr>
            <w:tcW w:w="1134" w:type="dxa"/>
            <w:vAlign w:val="center"/>
          </w:tcPr>
          <w:p>
            <w:pPr>
              <w:pStyle w:val="11"/>
            </w:pPr>
            <w:r>
              <w:t>590.16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410.16</w:t>
            </w:r>
          </w:p>
        </w:tc>
        <w:tc>
          <w:tcPr>
            <w:tcW w:w="1134" w:type="dxa"/>
            <w:vAlign w:val="center"/>
          </w:tcPr>
          <w:p>
            <w:pPr>
              <w:pStyle w:val="11"/>
            </w:pPr>
            <w:r>
              <w:t>410.16</w:t>
            </w:r>
          </w:p>
        </w:tc>
        <w:tc>
          <w:tcPr>
            <w:tcW w:w="1134" w:type="dxa"/>
            <w:vAlign w:val="center"/>
          </w:tcPr>
          <w:p>
            <w:pPr>
              <w:pStyle w:val="11"/>
            </w:pPr>
            <w:r>
              <w:t>410.16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2010304</w:t>
            </w:r>
          </w:p>
        </w:tc>
        <w:tc>
          <w:tcPr>
            <w:tcW w:w="1559" w:type="dxa"/>
            <w:vAlign w:val="center"/>
          </w:tcPr>
          <w:p>
            <w:pPr>
              <w:pStyle w:val="12"/>
            </w:pPr>
            <w:r>
              <w:t>专项服务</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r>
              <w:t>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r>
              <w:t>27.00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r>
              <w:t>11.00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628.16</w:t>
            </w:r>
          </w:p>
        </w:tc>
        <w:tc>
          <w:tcPr>
            <w:tcW w:w="1361" w:type="dxa"/>
            <w:vAlign w:val="center"/>
          </w:tcPr>
          <w:p>
            <w:pPr>
              <w:pStyle w:val="15"/>
            </w:pPr>
            <w:r>
              <w:t>448.16</w:t>
            </w:r>
          </w:p>
        </w:tc>
        <w:tc>
          <w:tcPr>
            <w:tcW w:w="1361" w:type="dxa"/>
            <w:vAlign w:val="center"/>
          </w:tcPr>
          <w:p>
            <w:pPr>
              <w:pStyle w:val="15"/>
            </w:pPr>
            <w:r>
              <w:t>180.00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590.16</w:t>
            </w:r>
          </w:p>
        </w:tc>
        <w:tc>
          <w:tcPr>
            <w:tcW w:w="1361" w:type="dxa"/>
            <w:vAlign w:val="center"/>
          </w:tcPr>
          <w:p>
            <w:pPr>
              <w:pStyle w:val="11"/>
            </w:pPr>
            <w:r>
              <w:t>410.16</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590.16</w:t>
            </w:r>
          </w:p>
        </w:tc>
        <w:tc>
          <w:tcPr>
            <w:tcW w:w="1361" w:type="dxa"/>
            <w:vAlign w:val="center"/>
          </w:tcPr>
          <w:p>
            <w:pPr>
              <w:pStyle w:val="11"/>
            </w:pPr>
            <w:r>
              <w:t>410.16</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410.16</w:t>
            </w:r>
          </w:p>
        </w:tc>
        <w:tc>
          <w:tcPr>
            <w:tcW w:w="1361" w:type="dxa"/>
            <w:vAlign w:val="center"/>
          </w:tcPr>
          <w:p>
            <w:pPr>
              <w:pStyle w:val="11"/>
            </w:pPr>
            <w:r>
              <w:t>410.16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2010304</w:t>
            </w:r>
          </w:p>
        </w:tc>
        <w:tc>
          <w:tcPr>
            <w:tcW w:w="4535" w:type="dxa"/>
            <w:vAlign w:val="center"/>
          </w:tcPr>
          <w:p>
            <w:pPr>
              <w:pStyle w:val="12"/>
            </w:pPr>
            <w:r>
              <w:t>专项服务</w:t>
            </w: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r>
              <w:t>180.00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27.00</w:t>
            </w:r>
          </w:p>
        </w:tc>
        <w:tc>
          <w:tcPr>
            <w:tcW w:w="1361" w:type="dxa"/>
            <w:vAlign w:val="center"/>
          </w:tcPr>
          <w:p>
            <w:pPr>
              <w:pStyle w:val="11"/>
            </w:pPr>
            <w:r>
              <w:t>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11.00</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628.16</w:t>
            </w:r>
          </w:p>
        </w:tc>
        <w:tc>
          <w:tcPr>
            <w:tcW w:w="3402" w:type="dxa"/>
            <w:vAlign w:val="center"/>
          </w:tcPr>
          <w:p>
            <w:pPr>
              <w:pStyle w:val="12"/>
            </w:pPr>
            <w:r>
              <w:t>一、一般公共服务支出</w:t>
            </w:r>
          </w:p>
        </w:tc>
        <w:tc>
          <w:tcPr>
            <w:tcW w:w="1474" w:type="dxa"/>
            <w:vAlign w:val="center"/>
          </w:tcPr>
          <w:p>
            <w:pPr>
              <w:pStyle w:val="11"/>
            </w:pPr>
            <w:r>
              <w:t>590.16</w:t>
            </w:r>
          </w:p>
        </w:tc>
        <w:tc>
          <w:tcPr>
            <w:tcW w:w="1474" w:type="dxa"/>
            <w:vAlign w:val="center"/>
          </w:tcPr>
          <w:p>
            <w:pPr>
              <w:pStyle w:val="11"/>
            </w:pPr>
            <w:r>
              <w:t>590.16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27.00</w:t>
            </w:r>
          </w:p>
        </w:tc>
        <w:tc>
          <w:tcPr>
            <w:tcW w:w="1474" w:type="dxa"/>
            <w:vAlign w:val="center"/>
          </w:tcPr>
          <w:p>
            <w:pPr>
              <w:pStyle w:val="11"/>
            </w:pPr>
            <w:r>
              <w:t>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11.00</w:t>
            </w:r>
          </w:p>
        </w:tc>
        <w:tc>
          <w:tcPr>
            <w:tcW w:w="1474" w:type="dxa"/>
            <w:vAlign w:val="center"/>
          </w:tcPr>
          <w:p>
            <w:pPr>
              <w:pStyle w:val="11"/>
            </w:pPr>
            <w:r>
              <w:t>11.00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628.16</w:t>
            </w:r>
          </w:p>
        </w:tc>
        <w:tc>
          <w:tcPr>
            <w:tcW w:w="3402" w:type="dxa"/>
            <w:vAlign w:val="center"/>
          </w:tcPr>
          <w:p>
            <w:pPr>
              <w:pStyle w:val="14"/>
            </w:pPr>
            <w:r>
              <w:t>本年支出合计</w:t>
            </w:r>
          </w:p>
        </w:tc>
        <w:tc>
          <w:tcPr>
            <w:tcW w:w="1474" w:type="dxa"/>
            <w:vAlign w:val="center"/>
          </w:tcPr>
          <w:p>
            <w:pPr>
              <w:pStyle w:val="15"/>
            </w:pPr>
            <w:r>
              <w:t>628.16</w:t>
            </w:r>
          </w:p>
        </w:tc>
        <w:tc>
          <w:tcPr>
            <w:tcW w:w="1474" w:type="dxa"/>
            <w:vAlign w:val="center"/>
          </w:tcPr>
          <w:p>
            <w:pPr>
              <w:pStyle w:val="15"/>
            </w:pPr>
            <w:r>
              <w:t>628.16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628.16</w:t>
            </w:r>
          </w:p>
        </w:tc>
        <w:tc>
          <w:tcPr>
            <w:tcW w:w="3402" w:type="dxa"/>
            <w:vAlign w:val="center"/>
          </w:tcPr>
          <w:p>
            <w:pPr>
              <w:pStyle w:val="14"/>
            </w:pPr>
            <w:r>
              <w:t>支出总计</w:t>
            </w:r>
          </w:p>
        </w:tc>
        <w:tc>
          <w:tcPr>
            <w:tcW w:w="1474" w:type="dxa"/>
            <w:vAlign w:val="center"/>
          </w:tcPr>
          <w:p>
            <w:pPr>
              <w:pStyle w:val="15"/>
            </w:pPr>
            <w:r>
              <w:t>628.16</w:t>
            </w:r>
          </w:p>
        </w:tc>
        <w:tc>
          <w:tcPr>
            <w:tcW w:w="1474" w:type="dxa"/>
            <w:vAlign w:val="center"/>
          </w:tcPr>
          <w:p>
            <w:pPr>
              <w:pStyle w:val="15"/>
            </w:pPr>
            <w:r>
              <w:t>628.16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628.16</w:t>
            </w:r>
          </w:p>
        </w:tc>
        <w:tc>
          <w:tcPr>
            <w:tcW w:w="2551" w:type="dxa"/>
            <w:vAlign w:val="center"/>
          </w:tcPr>
          <w:p>
            <w:pPr>
              <w:pStyle w:val="15"/>
            </w:pPr>
            <w:r>
              <w:t>448.16</w:t>
            </w:r>
          </w:p>
        </w:tc>
        <w:tc>
          <w:tcPr>
            <w:tcW w:w="2551"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590.16</w:t>
            </w:r>
          </w:p>
        </w:tc>
        <w:tc>
          <w:tcPr>
            <w:tcW w:w="2551" w:type="dxa"/>
            <w:vAlign w:val="center"/>
          </w:tcPr>
          <w:p>
            <w:pPr>
              <w:pStyle w:val="11"/>
            </w:pPr>
            <w:r>
              <w:t>410.16</w:t>
            </w: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590.16</w:t>
            </w:r>
          </w:p>
        </w:tc>
        <w:tc>
          <w:tcPr>
            <w:tcW w:w="2551" w:type="dxa"/>
            <w:vAlign w:val="center"/>
          </w:tcPr>
          <w:p>
            <w:pPr>
              <w:pStyle w:val="11"/>
            </w:pPr>
            <w:r>
              <w:t>410.16</w:t>
            </w: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410.16</w:t>
            </w:r>
          </w:p>
        </w:tc>
        <w:tc>
          <w:tcPr>
            <w:tcW w:w="2551" w:type="dxa"/>
            <w:vAlign w:val="center"/>
          </w:tcPr>
          <w:p>
            <w:pPr>
              <w:pStyle w:val="11"/>
            </w:pPr>
            <w:r>
              <w:t>410.16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2010304</w:t>
            </w:r>
          </w:p>
        </w:tc>
        <w:tc>
          <w:tcPr>
            <w:tcW w:w="4535" w:type="dxa"/>
            <w:vAlign w:val="center"/>
          </w:tcPr>
          <w:p>
            <w:pPr>
              <w:pStyle w:val="12"/>
            </w:pPr>
            <w:r>
              <w:t>专项服务</w:t>
            </w:r>
          </w:p>
        </w:tc>
        <w:tc>
          <w:tcPr>
            <w:tcW w:w="2551" w:type="dxa"/>
            <w:vAlign w:val="center"/>
          </w:tcPr>
          <w:p>
            <w:pPr>
              <w:pStyle w:val="11"/>
            </w:pPr>
            <w:r>
              <w:t>180.00</w:t>
            </w:r>
          </w:p>
        </w:tc>
        <w:tc>
          <w:tcPr>
            <w:tcW w:w="2551" w:type="dxa"/>
            <w:vAlign w:val="center"/>
          </w:tcPr>
          <w:p>
            <w:pPr>
              <w:pStyle w:val="11"/>
            </w:pPr>
          </w:p>
        </w:tc>
        <w:tc>
          <w:tcPr>
            <w:tcW w:w="2551" w:type="dxa"/>
            <w:vAlign w:val="center"/>
          </w:tcPr>
          <w:p>
            <w:pPr>
              <w:pStyle w:val="11"/>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448.16</w:t>
            </w:r>
          </w:p>
        </w:tc>
        <w:tc>
          <w:tcPr>
            <w:tcW w:w="2551" w:type="dxa"/>
            <w:vAlign w:val="center"/>
          </w:tcPr>
          <w:p>
            <w:pPr>
              <w:pStyle w:val="15"/>
            </w:pPr>
            <w:r>
              <w:t>272.01</w:t>
            </w:r>
          </w:p>
        </w:tc>
        <w:tc>
          <w:tcPr>
            <w:tcW w:w="2551" w:type="dxa"/>
            <w:vAlign w:val="center"/>
          </w:tcPr>
          <w:p>
            <w:pPr>
              <w:pStyle w:val="15"/>
            </w:pPr>
            <w:r>
              <w:t>176.15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232.31</w:t>
            </w:r>
          </w:p>
        </w:tc>
        <w:tc>
          <w:tcPr>
            <w:tcW w:w="2551" w:type="dxa"/>
            <w:vAlign w:val="center"/>
          </w:tcPr>
          <w:p>
            <w:pPr>
              <w:pStyle w:val="11"/>
            </w:pPr>
            <w:r>
              <w:t>232.31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102.00</w:t>
            </w:r>
          </w:p>
        </w:tc>
        <w:tc>
          <w:tcPr>
            <w:tcW w:w="2551" w:type="dxa"/>
            <w:vAlign w:val="center"/>
          </w:tcPr>
          <w:p>
            <w:pPr>
              <w:pStyle w:val="11"/>
            </w:pPr>
            <w:r>
              <w:t>102.00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16.00</w:t>
            </w:r>
          </w:p>
        </w:tc>
        <w:tc>
          <w:tcPr>
            <w:tcW w:w="2551" w:type="dxa"/>
            <w:vAlign w:val="center"/>
          </w:tcPr>
          <w:p>
            <w:pPr>
              <w:pStyle w:val="11"/>
            </w:pPr>
            <w:r>
              <w:t>16.00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2.46</w:t>
            </w:r>
          </w:p>
        </w:tc>
        <w:tc>
          <w:tcPr>
            <w:tcW w:w="2551" w:type="dxa"/>
            <w:vAlign w:val="center"/>
          </w:tcPr>
          <w:p>
            <w:pPr>
              <w:pStyle w:val="11"/>
            </w:pPr>
            <w:r>
              <w:t>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72.20</w:t>
            </w:r>
          </w:p>
        </w:tc>
        <w:tc>
          <w:tcPr>
            <w:tcW w:w="2551" w:type="dxa"/>
            <w:vAlign w:val="center"/>
          </w:tcPr>
          <w:p>
            <w:pPr>
              <w:pStyle w:val="11"/>
            </w:pPr>
            <w:r>
              <w:t>72.20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11.00</w:t>
            </w:r>
          </w:p>
        </w:tc>
        <w:tc>
          <w:tcPr>
            <w:tcW w:w="2551" w:type="dxa"/>
            <w:vAlign w:val="center"/>
          </w:tcPr>
          <w:p>
            <w:pPr>
              <w:pStyle w:val="11"/>
            </w:pPr>
            <w:r>
              <w:t>11.00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1.65</w:t>
            </w:r>
          </w:p>
        </w:tc>
        <w:tc>
          <w:tcPr>
            <w:tcW w:w="2551" w:type="dxa"/>
            <w:vAlign w:val="center"/>
          </w:tcPr>
          <w:p>
            <w:pPr>
              <w:pStyle w:val="11"/>
            </w:pPr>
            <w:r>
              <w:t>1.65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176.15</w:t>
            </w:r>
          </w:p>
        </w:tc>
        <w:tc>
          <w:tcPr>
            <w:tcW w:w="2551" w:type="dxa"/>
            <w:vAlign w:val="center"/>
          </w:tcPr>
          <w:p>
            <w:pPr>
              <w:pStyle w:val="11"/>
            </w:pPr>
          </w:p>
        </w:tc>
        <w:tc>
          <w:tcPr>
            <w:tcW w:w="2551" w:type="dxa"/>
            <w:vAlign w:val="center"/>
          </w:tcPr>
          <w:p>
            <w:pPr>
              <w:pStyle w:val="11"/>
            </w:pPr>
            <w:r>
              <w:t>176.15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175.00</w:t>
            </w:r>
          </w:p>
        </w:tc>
        <w:tc>
          <w:tcPr>
            <w:tcW w:w="2551" w:type="dxa"/>
            <w:vAlign w:val="center"/>
          </w:tcPr>
          <w:p>
            <w:pPr>
              <w:pStyle w:val="11"/>
            </w:pPr>
          </w:p>
        </w:tc>
        <w:tc>
          <w:tcPr>
            <w:tcW w:w="2551" w:type="dxa"/>
            <w:vAlign w:val="center"/>
          </w:tcPr>
          <w:p>
            <w:pPr>
              <w:pStyle w:val="11"/>
            </w:pPr>
            <w:r>
              <w:t>175.00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0.65</w:t>
            </w:r>
          </w:p>
        </w:tc>
        <w:tc>
          <w:tcPr>
            <w:tcW w:w="2551" w:type="dxa"/>
            <w:vAlign w:val="center"/>
          </w:tcPr>
          <w:p>
            <w:pPr>
              <w:pStyle w:val="11"/>
            </w:pPr>
          </w:p>
        </w:tc>
        <w:tc>
          <w:tcPr>
            <w:tcW w:w="2551" w:type="dxa"/>
            <w:vAlign w:val="center"/>
          </w:tcPr>
          <w:p>
            <w:pPr>
              <w:pStyle w:val="11"/>
            </w:pPr>
            <w:r>
              <w:t>0.65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39.70</w:t>
            </w:r>
          </w:p>
        </w:tc>
        <w:tc>
          <w:tcPr>
            <w:tcW w:w="2551" w:type="dxa"/>
            <w:vAlign w:val="center"/>
          </w:tcPr>
          <w:p>
            <w:pPr>
              <w:pStyle w:val="11"/>
            </w:pPr>
            <w:r>
              <w:t>39.70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无极县机关事务服务中心本极2026年单位预算信息公开情况说明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按照《中华人民共和国预算法》、《地方预决算公开操作规程》和《关于进一步推进预算公开工作的实施意见》规定，现将无极县机关事务服务中心本极2026年单位预算公开如下：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机关事务服务中心按照县委、县政府工作部署，围绕本单位职责，积极推进机关事务管理工作的科学发展；提高管理、保障、服务水平；协调推进改革进程，理顺全县机关事务管理工作体制。提高人员素质；推进县直机关事业单位办公环境改善；加强县直行政机关国有资产管理，维护国有资产安全和完整。深入推进全县公共机构节能工作，对既有建筑制定节能改造计划。加强通信保障，进行线路改造，完善、拓展县直通信固话、宽带网络建设；确保通信联络畅通。搞好服务保障，为广大干部职工提供安全、快捷、细致、周到的工作环境；加强财务管理，确保资金安全，提高财政资金使用效益。</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无极县机关事务服务中心本极</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628.16万元，其中：一般公共预算收入628.16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机关事务服务中心本极年度单位预算中支出预算的总体情况。2026年支出预算628.16万元，其中基本支出448.16万元，包括人员经费272.01万元和日常公用经费176.15万元；项目支出180.00万元，主要为无极县政府机关大院安保、保洁外包服务费180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628.16万元，较2025年预算减少19.34万元，其中：基本支出减少39.34万元，主要为本年度基本支出相关数据变动，系因保险个人缴纳部分支出口径调整，按财政预算管理相关要求，将原列入基本支出的保险个人承担部分调整至其他核算口径，相应核减基本支出金额。项目支出增加20.00万元，主要为无极县政府机关大院安保、保洁外包服务费增加20万元。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1、无极县政府机关大院安保、保洁外包服务费绩效目标表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13013026P000066100374</w:t>
            </w:r>
          </w:p>
        </w:tc>
        <w:tc>
          <w:tcPr>
            <w:tcW w:w="2835" w:type="dxa"/>
            <w:vAlign w:val="center"/>
          </w:tcPr>
          <w:p>
            <w:pPr>
              <w:pStyle w:val="10"/>
            </w:pPr>
            <w:r>
              <w:t>项目名称</w:t>
            </w:r>
          </w:p>
        </w:tc>
        <w:tc>
          <w:tcPr>
            <w:tcW w:w="6095" w:type="dxa"/>
            <w:gridSpan w:val="3"/>
            <w:vAlign w:val="center"/>
          </w:tcPr>
          <w:p>
            <w:pPr>
              <w:pStyle w:val="12"/>
            </w:pPr>
            <w:r>
              <w:t>无极县政府机关大院安保、保洁外包服务费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用于支付保安、保洁服务费。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45.00</w:t>
            </w:r>
          </w:p>
        </w:tc>
        <w:tc>
          <w:tcPr>
            <w:tcW w:w="2835" w:type="dxa"/>
            <w:vAlign w:val="center"/>
          </w:tcPr>
          <w:p>
            <w:pPr>
              <w:pStyle w:val="13"/>
            </w:pPr>
            <w:r>
              <w:t>90.00</w:t>
            </w:r>
          </w:p>
        </w:tc>
        <w:tc>
          <w:tcPr>
            <w:tcW w:w="2551" w:type="dxa"/>
            <w:vAlign w:val="center"/>
          </w:tcPr>
          <w:p>
            <w:pPr>
              <w:pStyle w:val="13"/>
            </w:pPr>
            <w:r>
              <w:t>135.00</w:t>
            </w:r>
          </w:p>
        </w:tc>
        <w:tc>
          <w:tcPr>
            <w:tcW w:w="3544"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1.保障大院环境卫生及安保。</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年度服务部门数量</w:t>
            </w:r>
          </w:p>
        </w:tc>
        <w:tc>
          <w:tcPr>
            <w:tcW w:w="5386" w:type="dxa"/>
            <w:vAlign w:val="center"/>
          </w:tcPr>
          <w:p>
            <w:pPr>
              <w:pStyle w:val="12"/>
            </w:pPr>
            <w:r>
              <w:t>年度服务部门数量</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服务保障完成情况</w:t>
            </w:r>
          </w:p>
        </w:tc>
        <w:tc>
          <w:tcPr>
            <w:tcW w:w="5386" w:type="dxa"/>
            <w:vAlign w:val="center"/>
          </w:tcPr>
          <w:p>
            <w:pPr>
              <w:pStyle w:val="12"/>
            </w:pPr>
            <w:r>
              <w:t>服务保障完成情况</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服务的完成度</w:t>
            </w:r>
          </w:p>
        </w:tc>
        <w:tc>
          <w:tcPr>
            <w:tcW w:w="5386" w:type="dxa"/>
            <w:vAlign w:val="center"/>
          </w:tcPr>
          <w:p>
            <w:pPr>
              <w:pStyle w:val="12"/>
            </w:pPr>
            <w:r>
              <w:t>服务的完成度</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成本控制率(%)</w:t>
            </w:r>
          </w:p>
        </w:tc>
        <w:tc>
          <w:tcPr>
            <w:tcW w:w="5386" w:type="dxa"/>
            <w:vAlign w:val="center"/>
          </w:tcPr>
          <w:p>
            <w:pPr>
              <w:pStyle w:val="12"/>
            </w:pPr>
            <w:r>
              <w:t>成本控制率(%)</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经济效益提升值%</w:t>
            </w:r>
          </w:p>
        </w:tc>
        <w:tc>
          <w:tcPr>
            <w:tcW w:w="5386" w:type="dxa"/>
            <w:vAlign w:val="center"/>
          </w:tcPr>
          <w:p>
            <w:pPr>
              <w:pStyle w:val="12"/>
            </w:pPr>
            <w:r>
              <w:t>经济效益提升值%</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社会效益提升值%</w:t>
            </w:r>
          </w:p>
        </w:tc>
        <w:tc>
          <w:tcPr>
            <w:tcW w:w="5386" w:type="dxa"/>
            <w:vAlign w:val="center"/>
          </w:tcPr>
          <w:p>
            <w:pPr>
              <w:pStyle w:val="12"/>
            </w:pPr>
            <w:r>
              <w:t>社会效益提升值%</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≥80百分比</w:t>
            </w:r>
          </w:p>
        </w:tc>
        <w:tc>
          <w:tcPr>
            <w:tcW w:w="1276" w:type="dxa"/>
            <w:vAlign w:val="center"/>
          </w:tcPr>
          <w:p>
            <w:pPr>
              <w:pStyle w:val="12"/>
            </w:pPr>
            <w:r>
              <w:t>按合同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≥80百分比</w:t>
            </w:r>
          </w:p>
        </w:tc>
        <w:tc>
          <w:tcPr>
            <w:tcW w:w="1276" w:type="dxa"/>
            <w:vAlign w:val="center"/>
          </w:tcPr>
          <w:p>
            <w:pPr>
              <w:pStyle w:val="12"/>
            </w:pPr>
            <w:r>
              <w:t>按合同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无极县机关事务服务中心本极小计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175.00</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批</w:t>
            </w:r>
          </w:p>
        </w:tc>
        <w:tc>
          <w:tcPr>
            <w:tcW w:w="850" w:type="dxa"/>
            <w:vAlign w:val="center"/>
          </w:tcPr>
          <w:p>
            <w:pPr>
              <w:pStyle w:val="11"/>
            </w:pPr>
            <w:r>
              <w:t>10</w:t>
            </w:r>
          </w:p>
        </w:tc>
        <w:tc>
          <w:tcPr>
            <w:tcW w:w="850" w:type="dxa"/>
            <w:vAlign w:val="center"/>
          </w:tcPr>
          <w:p>
            <w:pPr>
              <w:pStyle w:val="11"/>
            </w:pPr>
            <w:r>
              <w:t>0.05</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无极县机关事务服务中心本极上年末固定资产金额为405.86万元（详见下表）。本年度拟购置固定资产总额为0.00万元，已按要求列入政府采购预算，详见政府采购预算表。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430001无极县机关事务服务中心本极</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405.86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5</w:t>
            </w:r>
          </w:p>
        </w:tc>
        <w:tc>
          <w:tcPr>
            <w:tcW w:w="2835"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5</w:t>
            </w:r>
          </w:p>
        </w:tc>
        <w:tc>
          <w:tcPr>
            <w:tcW w:w="2835" w:type="dxa"/>
            <w:vAlign w:val="center"/>
          </w:tcPr>
          <w:p>
            <w:pPr>
              <w:pStyle w:val="11"/>
            </w:pPr>
            <w:r>
              <w:t>179.41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439</w:t>
            </w:r>
          </w:p>
        </w:tc>
        <w:tc>
          <w:tcPr>
            <w:tcW w:w="2835" w:type="dxa"/>
            <w:vAlign w:val="center"/>
          </w:tcPr>
          <w:p>
            <w:pPr>
              <w:pStyle w:val="11"/>
            </w:pPr>
            <w:r>
              <w:t>226.45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CA5641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21</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2026-02-25T16:15:00Z</dcterms:created>
  <dc:creator>Administrator</dc:creator>
  <cp:lastModifiedBy>Administrator</cp:lastModifiedBy>
  <dcterms:modified xsi:type="dcterms:W3CDTF">2026-02-25T08:32:02Z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CE590747047244328A933D174CC53F22</vt:lpwstr>
  </property>
</Properties>
</file>