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430无极县机关事务服务中心</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628.16</w:t>
            </w:r>
          </w:p>
        </w:tc>
        <w:tc>
          <w:tcPr>
            <w:tcW w:w="4535" w:type="dxa"/>
            <w:vAlign w:val="center"/>
          </w:tcPr>
          <w:p>
            <w:pPr>
              <w:pStyle w:val="13"/>
            </w:pPr>
            <w:r>
              <w:t>一、一般公共服务支出</w:t>
            </w:r>
          </w:p>
        </w:tc>
        <w:tc>
          <w:tcPr>
            <w:tcW w:w="2126" w:type="dxa"/>
            <w:vAlign w:val="center"/>
          </w:tcPr>
          <w:p>
            <w:pPr>
              <w:pStyle w:val="12"/>
            </w:pPr>
            <w:r>
              <w:t>590.16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628.16</w:t>
            </w:r>
          </w:p>
        </w:tc>
        <w:tc>
          <w:tcPr>
            <w:tcW w:w="4535" w:type="dxa"/>
            <w:vAlign w:val="center"/>
          </w:tcPr>
          <w:p>
            <w:pPr>
              <w:pStyle w:val="15"/>
            </w:pPr>
            <w:r>
              <w:t>本年支出合计</w:t>
            </w:r>
          </w:p>
        </w:tc>
        <w:tc>
          <w:tcPr>
            <w:tcW w:w="2126" w:type="dxa"/>
            <w:vAlign w:val="center"/>
          </w:tcPr>
          <w:p>
            <w:pPr>
              <w:pStyle w:val="16"/>
            </w:pPr>
            <w:r>
              <w:t>628.16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628.16</w:t>
            </w:r>
          </w:p>
        </w:tc>
        <w:tc>
          <w:tcPr>
            <w:tcW w:w="4535" w:type="dxa"/>
            <w:vAlign w:val="center"/>
          </w:tcPr>
          <w:p>
            <w:pPr>
              <w:pStyle w:val="15"/>
            </w:pPr>
            <w:r>
              <w:t>支出总计</w:t>
            </w:r>
          </w:p>
        </w:tc>
        <w:tc>
          <w:tcPr>
            <w:tcW w:w="2126" w:type="dxa"/>
            <w:vAlign w:val="center"/>
          </w:tcPr>
          <w:p>
            <w:pPr>
              <w:pStyle w:val="16"/>
            </w:pPr>
            <w:r>
              <w:t>628.16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430无极县机关事务服务中心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628.16</w:t>
            </w:r>
          </w:p>
        </w:tc>
        <w:tc>
          <w:tcPr>
            <w:tcW w:w="1134" w:type="dxa"/>
            <w:vAlign w:val="center"/>
          </w:tcPr>
          <w:p>
            <w:pPr>
              <w:pStyle w:val="16"/>
            </w:pPr>
            <w:r>
              <w:t>628.16</w:t>
            </w:r>
          </w:p>
        </w:tc>
        <w:tc>
          <w:tcPr>
            <w:tcW w:w="1134" w:type="dxa"/>
            <w:vAlign w:val="center"/>
          </w:tcPr>
          <w:p>
            <w:pPr>
              <w:pStyle w:val="16"/>
            </w:pPr>
            <w:r>
              <w:t>628.16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590.16</w:t>
            </w:r>
          </w:p>
        </w:tc>
        <w:tc>
          <w:tcPr>
            <w:tcW w:w="1134" w:type="dxa"/>
            <w:vAlign w:val="center"/>
          </w:tcPr>
          <w:p>
            <w:pPr>
              <w:pStyle w:val="12"/>
            </w:pPr>
            <w:r>
              <w:t>590.16</w:t>
            </w:r>
          </w:p>
        </w:tc>
        <w:tc>
          <w:tcPr>
            <w:tcW w:w="1134" w:type="dxa"/>
            <w:vAlign w:val="center"/>
          </w:tcPr>
          <w:p>
            <w:pPr>
              <w:pStyle w:val="12"/>
            </w:pPr>
            <w:r>
              <w:t>590.16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590.16</w:t>
            </w:r>
          </w:p>
        </w:tc>
        <w:tc>
          <w:tcPr>
            <w:tcW w:w="1134" w:type="dxa"/>
            <w:vAlign w:val="center"/>
          </w:tcPr>
          <w:p>
            <w:pPr>
              <w:pStyle w:val="12"/>
            </w:pPr>
            <w:r>
              <w:t>590.16</w:t>
            </w:r>
          </w:p>
        </w:tc>
        <w:tc>
          <w:tcPr>
            <w:tcW w:w="1134" w:type="dxa"/>
            <w:vAlign w:val="center"/>
          </w:tcPr>
          <w:p>
            <w:pPr>
              <w:pStyle w:val="12"/>
            </w:pPr>
            <w:r>
              <w:t>590.16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410.16</w:t>
            </w:r>
          </w:p>
        </w:tc>
        <w:tc>
          <w:tcPr>
            <w:tcW w:w="1134" w:type="dxa"/>
            <w:vAlign w:val="center"/>
          </w:tcPr>
          <w:p>
            <w:pPr>
              <w:pStyle w:val="12"/>
            </w:pPr>
            <w:r>
              <w:t>410.16</w:t>
            </w:r>
          </w:p>
        </w:tc>
        <w:tc>
          <w:tcPr>
            <w:tcW w:w="1134" w:type="dxa"/>
            <w:vAlign w:val="center"/>
          </w:tcPr>
          <w:p>
            <w:pPr>
              <w:pStyle w:val="12"/>
            </w:pPr>
            <w:r>
              <w:t>410.16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2010304</w:t>
            </w:r>
          </w:p>
        </w:tc>
        <w:tc>
          <w:tcPr>
            <w:tcW w:w="1559" w:type="dxa"/>
            <w:vAlign w:val="center"/>
          </w:tcPr>
          <w:p>
            <w:pPr>
              <w:pStyle w:val="13"/>
            </w:pPr>
            <w:r>
              <w:t>专项服务</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r>
              <w:t>180.00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r>
              <w:t>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628.16</w:t>
            </w:r>
          </w:p>
        </w:tc>
        <w:tc>
          <w:tcPr>
            <w:tcW w:w="1361" w:type="dxa"/>
            <w:vAlign w:val="center"/>
          </w:tcPr>
          <w:p>
            <w:pPr>
              <w:pStyle w:val="16"/>
            </w:pPr>
            <w:r>
              <w:t>448.16</w:t>
            </w:r>
          </w:p>
        </w:tc>
        <w:tc>
          <w:tcPr>
            <w:tcW w:w="1361" w:type="dxa"/>
            <w:vAlign w:val="center"/>
          </w:tcPr>
          <w:p>
            <w:pPr>
              <w:pStyle w:val="16"/>
            </w:pPr>
            <w:r>
              <w:t>180.00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590.16</w:t>
            </w:r>
          </w:p>
        </w:tc>
        <w:tc>
          <w:tcPr>
            <w:tcW w:w="1361" w:type="dxa"/>
            <w:vAlign w:val="center"/>
          </w:tcPr>
          <w:p>
            <w:pPr>
              <w:pStyle w:val="12"/>
            </w:pPr>
            <w:r>
              <w:t>410.16</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590.16</w:t>
            </w:r>
          </w:p>
        </w:tc>
        <w:tc>
          <w:tcPr>
            <w:tcW w:w="1361" w:type="dxa"/>
            <w:vAlign w:val="center"/>
          </w:tcPr>
          <w:p>
            <w:pPr>
              <w:pStyle w:val="12"/>
            </w:pPr>
            <w:r>
              <w:t>410.16</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410.16</w:t>
            </w:r>
          </w:p>
        </w:tc>
        <w:tc>
          <w:tcPr>
            <w:tcW w:w="1361" w:type="dxa"/>
            <w:vAlign w:val="center"/>
          </w:tcPr>
          <w:p>
            <w:pPr>
              <w:pStyle w:val="12"/>
            </w:pPr>
            <w:r>
              <w:t>410.16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2010304</w:t>
            </w:r>
          </w:p>
        </w:tc>
        <w:tc>
          <w:tcPr>
            <w:tcW w:w="4535" w:type="dxa"/>
            <w:vAlign w:val="center"/>
          </w:tcPr>
          <w:p>
            <w:pPr>
              <w:pStyle w:val="13"/>
            </w:pPr>
            <w:r>
              <w:t>专项服务</w:t>
            </w: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r>
              <w:t>180.00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27.00</w:t>
            </w: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27.00</w:t>
            </w: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27.00</w:t>
            </w: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11.00</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11.00</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11.00</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628.16</w:t>
            </w:r>
          </w:p>
        </w:tc>
        <w:tc>
          <w:tcPr>
            <w:tcW w:w="3402" w:type="dxa"/>
            <w:vAlign w:val="center"/>
          </w:tcPr>
          <w:p>
            <w:pPr>
              <w:pStyle w:val="13"/>
            </w:pPr>
            <w:r>
              <w:t>一、一般公共服务支出</w:t>
            </w:r>
          </w:p>
        </w:tc>
        <w:tc>
          <w:tcPr>
            <w:tcW w:w="1474" w:type="dxa"/>
            <w:vAlign w:val="center"/>
          </w:tcPr>
          <w:p>
            <w:pPr>
              <w:pStyle w:val="12"/>
            </w:pPr>
            <w:r>
              <w:t>590.16</w:t>
            </w:r>
          </w:p>
        </w:tc>
        <w:tc>
          <w:tcPr>
            <w:tcW w:w="1474" w:type="dxa"/>
            <w:vAlign w:val="center"/>
          </w:tcPr>
          <w:p>
            <w:pPr>
              <w:pStyle w:val="12"/>
            </w:pPr>
            <w:r>
              <w:t>590.16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27.00</w:t>
            </w:r>
          </w:p>
        </w:tc>
        <w:tc>
          <w:tcPr>
            <w:tcW w:w="1474" w:type="dxa"/>
            <w:vAlign w:val="center"/>
          </w:tcPr>
          <w:p>
            <w:pPr>
              <w:pStyle w:val="12"/>
            </w:pPr>
            <w:r>
              <w:t>27.00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11.00</w:t>
            </w:r>
          </w:p>
        </w:tc>
        <w:tc>
          <w:tcPr>
            <w:tcW w:w="1474" w:type="dxa"/>
            <w:vAlign w:val="center"/>
          </w:tcPr>
          <w:p>
            <w:pPr>
              <w:pStyle w:val="12"/>
            </w:pPr>
            <w:r>
              <w:t>11.00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628.16</w:t>
            </w:r>
          </w:p>
        </w:tc>
        <w:tc>
          <w:tcPr>
            <w:tcW w:w="3402" w:type="dxa"/>
            <w:vAlign w:val="center"/>
          </w:tcPr>
          <w:p>
            <w:pPr>
              <w:pStyle w:val="15"/>
            </w:pPr>
            <w:r>
              <w:t>本年支出合计</w:t>
            </w:r>
          </w:p>
        </w:tc>
        <w:tc>
          <w:tcPr>
            <w:tcW w:w="1474" w:type="dxa"/>
            <w:vAlign w:val="center"/>
          </w:tcPr>
          <w:p>
            <w:pPr>
              <w:pStyle w:val="16"/>
            </w:pPr>
            <w:r>
              <w:t>628.16</w:t>
            </w:r>
          </w:p>
        </w:tc>
        <w:tc>
          <w:tcPr>
            <w:tcW w:w="1474" w:type="dxa"/>
            <w:vAlign w:val="center"/>
          </w:tcPr>
          <w:p>
            <w:pPr>
              <w:pStyle w:val="16"/>
            </w:pPr>
            <w:r>
              <w:t>628.16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628.16</w:t>
            </w:r>
          </w:p>
        </w:tc>
        <w:tc>
          <w:tcPr>
            <w:tcW w:w="3402" w:type="dxa"/>
            <w:vAlign w:val="center"/>
          </w:tcPr>
          <w:p>
            <w:pPr>
              <w:pStyle w:val="15"/>
            </w:pPr>
            <w:r>
              <w:t>支出总计</w:t>
            </w:r>
          </w:p>
        </w:tc>
        <w:tc>
          <w:tcPr>
            <w:tcW w:w="1474" w:type="dxa"/>
            <w:vAlign w:val="center"/>
          </w:tcPr>
          <w:p>
            <w:pPr>
              <w:pStyle w:val="16"/>
            </w:pPr>
            <w:r>
              <w:t>628.16</w:t>
            </w:r>
          </w:p>
        </w:tc>
        <w:tc>
          <w:tcPr>
            <w:tcW w:w="1474" w:type="dxa"/>
            <w:vAlign w:val="center"/>
          </w:tcPr>
          <w:p>
            <w:pPr>
              <w:pStyle w:val="16"/>
            </w:pPr>
            <w:r>
              <w:t>628.16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628.16</w:t>
            </w:r>
          </w:p>
        </w:tc>
        <w:tc>
          <w:tcPr>
            <w:tcW w:w="2551" w:type="dxa"/>
            <w:vAlign w:val="center"/>
          </w:tcPr>
          <w:p>
            <w:pPr>
              <w:pStyle w:val="16"/>
            </w:pPr>
            <w:r>
              <w:t>448.16</w:t>
            </w:r>
          </w:p>
        </w:tc>
        <w:tc>
          <w:tcPr>
            <w:tcW w:w="2551" w:type="dxa"/>
            <w:vAlign w:val="center"/>
          </w:tcPr>
          <w:p>
            <w:pPr>
              <w:pStyle w:val="16"/>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590.16</w:t>
            </w:r>
          </w:p>
        </w:tc>
        <w:tc>
          <w:tcPr>
            <w:tcW w:w="2551" w:type="dxa"/>
            <w:vAlign w:val="center"/>
          </w:tcPr>
          <w:p>
            <w:pPr>
              <w:pStyle w:val="12"/>
            </w:pPr>
            <w:r>
              <w:t>410.16</w:t>
            </w:r>
          </w:p>
        </w:tc>
        <w:tc>
          <w:tcPr>
            <w:tcW w:w="2551"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590.16</w:t>
            </w:r>
          </w:p>
        </w:tc>
        <w:tc>
          <w:tcPr>
            <w:tcW w:w="2551" w:type="dxa"/>
            <w:vAlign w:val="center"/>
          </w:tcPr>
          <w:p>
            <w:pPr>
              <w:pStyle w:val="12"/>
            </w:pPr>
            <w:r>
              <w:t>410.16</w:t>
            </w:r>
          </w:p>
        </w:tc>
        <w:tc>
          <w:tcPr>
            <w:tcW w:w="2551"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410.16</w:t>
            </w:r>
          </w:p>
        </w:tc>
        <w:tc>
          <w:tcPr>
            <w:tcW w:w="2551" w:type="dxa"/>
            <w:vAlign w:val="center"/>
          </w:tcPr>
          <w:p>
            <w:pPr>
              <w:pStyle w:val="12"/>
            </w:pPr>
            <w:r>
              <w:t>410.16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2010304</w:t>
            </w:r>
          </w:p>
        </w:tc>
        <w:tc>
          <w:tcPr>
            <w:tcW w:w="4535" w:type="dxa"/>
            <w:vAlign w:val="center"/>
          </w:tcPr>
          <w:p>
            <w:pPr>
              <w:pStyle w:val="13"/>
            </w:pPr>
            <w:r>
              <w:t>专项服务</w:t>
            </w:r>
          </w:p>
        </w:tc>
        <w:tc>
          <w:tcPr>
            <w:tcW w:w="2551" w:type="dxa"/>
            <w:vAlign w:val="center"/>
          </w:tcPr>
          <w:p>
            <w:pPr>
              <w:pStyle w:val="12"/>
            </w:pPr>
            <w:r>
              <w:t>180.00</w:t>
            </w:r>
          </w:p>
        </w:tc>
        <w:tc>
          <w:tcPr>
            <w:tcW w:w="2551" w:type="dxa"/>
            <w:vAlign w:val="center"/>
          </w:tcPr>
          <w:p>
            <w:pPr>
              <w:pStyle w:val="12"/>
            </w:pPr>
          </w:p>
        </w:tc>
        <w:tc>
          <w:tcPr>
            <w:tcW w:w="2551" w:type="dxa"/>
            <w:vAlign w:val="center"/>
          </w:tcPr>
          <w:p>
            <w:pPr>
              <w:pStyle w:val="12"/>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448.16</w:t>
            </w:r>
          </w:p>
        </w:tc>
        <w:tc>
          <w:tcPr>
            <w:tcW w:w="2551" w:type="dxa"/>
            <w:vAlign w:val="center"/>
          </w:tcPr>
          <w:p>
            <w:pPr>
              <w:pStyle w:val="16"/>
            </w:pPr>
            <w:r>
              <w:t>272.01</w:t>
            </w:r>
          </w:p>
        </w:tc>
        <w:tc>
          <w:tcPr>
            <w:tcW w:w="2551" w:type="dxa"/>
            <w:vAlign w:val="center"/>
          </w:tcPr>
          <w:p>
            <w:pPr>
              <w:pStyle w:val="16"/>
            </w:pPr>
            <w:r>
              <w:t>176.15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232.31</w:t>
            </w:r>
          </w:p>
        </w:tc>
        <w:tc>
          <w:tcPr>
            <w:tcW w:w="2551" w:type="dxa"/>
            <w:vAlign w:val="center"/>
          </w:tcPr>
          <w:p>
            <w:pPr>
              <w:pStyle w:val="12"/>
            </w:pPr>
            <w:r>
              <w:t>232.31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102.00</w:t>
            </w:r>
          </w:p>
        </w:tc>
        <w:tc>
          <w:tcPr>
            <w:tcW w:w="2551" w:type="dxa"/>
            <w:vAlign w:val="center"/>
          </w:tcPr>
          <w:p>
            <w:pPr>
              <w:pStyle w:val="12"/>
            </w:pPr>
            <w:r>
              <w:t>102.00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2.46</w:t>
            </w:r>
          </w:p>
        </w:tc>
        <w:tc>
          <w:tcPr>
            <w:tcW w:w="2551" w:type="dxa"/>
            <w:vAlign w:val="center"/>
          </w:tcPr>
          <w:p>
            <w:pPr>
              <w:pStyle w:val="12"/>
            </w:pPr>
            <w:r>
              <w:t>2.46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72.20</w:t>
            </w:r>
          </w:p>
        </w:tc>
        <w:tc>
          <w:tcPr>
            <w:tcW w:w="2551" w:type="dxa"/>
            <w:vAlign w:val="center"/>
          </w:tcPr>
          <w:p>
            <w:pPr>
              <w:pStyle w:val="12"/>
            </w:pPr>
            <w:r>
              <w:t>72.20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11.00</w:t>
            </w:r>
          </w:p>
        </w:tc>
        <w:tc>
          <w:tcPr>
            <w:tcW w:w="2551" w:type="dxa"/>
            <w:vAlign w:val="center"/>
          </w:tcPr>
          <w:p>
            <w:pPr>
              <w:pStyle w:val="12"/>
            </w:pPr>
            <w:r>
              <w:t>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1.65</w:t>
            </w:r>
          </w:p>
        </w:tc>
        <w:tc>
          <w:tcPr>
            <w:tcW w:w="2551" w:type="dxa"/>
            <w:vAlign w:val="center"/>
          </w:tcPr>
          <w:p>
            <w:pPr>
              <w:pStyle w:val="12"/>
            </w:pPr>
            <w:r>
              <w:t>1.65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176.15</w:t>
            </w:r>
          </w:p>
        </w:tc>
        <w:tc>
          <w:tcPr>
            <w:tcW w:w="2551" w:type="dxa"/>
            <w:vAlign w:val="center"/>
          </w:tcPr>
          <w:p>
            <w:pPr>
              <w:pStyle w:val="12"/>
            </w:pPr>
          </w:p>
        </w:tc>
        <w:tc>
          <w:tcPr>
            <w:tcW w:w="2551" w:type="dxa"/>
            <w:vAlign w:val="center"/>
          </w:tcPr>
          <w:p>
            <w:pPr>
              <w:pStyle w:val="12"/>
            </w:pPr>
            <w:r>
              <w:t>176.15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175.00</w:t>
            </w:r>
          </w:p>
        </w:tc>
        <w:tc>
          <w:tcPr>
            <w:tcW w:w="2551" w:type="dxa"/>
            <w:vAlign w:val="center"/>
          </w:tcPr>
          <w:p>
            <w:pPr>
              <w:pStyle w:val="12"/>
            </w:pPr>
          </w:p>
        </w:tc>
        <w:tc>
          <w:tcPr>
            <w:tcW w:w="2551" w:type="dxa"/>
            <w:vAlign w:val="center"/>
          </w:tcPr>
          <w:p>
            <w:pPr>
              <w:pStyle w:val="12"/>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0.65</w:t>
            </w:r>
          </w:p>
        </w:tc>
        <w:tc>
          <w:tcPr>
            <w:tcW w:w="2551" w:type="dxa"/>
            <w:vAlign w:val="center"/>
          </w:tcPr>
          <w:p>
            <w:pPr>
              <w:pStyle w:val="12"/>
            </w:pPr>
          </w:p>
        </w:tc>
        <w:tc>
          <w:tcPr>
            <w:tcW w:w="2551" w:type="dxa"/>
            <w:vAlign w:val="center"/>
          </w:tcPr>
          <w:p>
            <w:pPr>
              <w:pStyle w:val="12"/>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39.70</w:t>
            </w:r>
          </w:p>
        </w:tc>
        <w:tc>
          <w:tcPr>
            <w:tcW w:w="2551" w:type="dxa"/>
            <w:vAlign w:val="center"/>
          </w:tcPr>
          <w:p>
            <w:pPr>
              <w:pStyle w:val="12"/>
            </w:pPr>
            <w:r>
              <w:t>39.70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39.70</w:t>
            </w:r>
          </w:p>
        </w:tc>
        <w:tc>
          <w:tcPr>
            <w:tcW w:w="2551" w:type="dxa"/>
            <w:vAlign w:val="center"/>
          </w:tcPr>
          <w:p>
            <w:pPr>
              <w:pStyle w:val="12"/>
            </w:pPr>
            <w:r>
              <w:t>39.70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430无极县机关事务服务中心</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无极县机关事务服务中心2026年部门预算信息公开情况说明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无极县机关事务服务中心2026年部门预算信息公开情况说明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按照《中华人民共和国预算法》、《地方预决算公开操作规程》和《关于进一步推进预算公开工作的实施意见》规定，现将无极县机关事务服务中心2026年部门预算公开如下：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机关事务服务中心按照县委、县政府工作部署，围绕本部门职责，积极推进机关事务管理工作的科学发展；提高管理、保障、服务水平；协调推进改革进程，理顺全县机关事务管理工作体制。提高人员素质；推进县直机关事业单位办公环境改善；加强县直行政机关国有资产管理，维护国有资产安全和完整。深入推进全县公共机构节能工作，对既有建筑制定节能改造计划。加强通信保障，进行线路改造，完善、拓展县直通信固话、宽带网络建设；确保通信联络畅通。搞好服务保障，为广大干部职工提供安全、快捷、细致、周到的工作环境；加强财务管理，确保资金安全，提高财政资金使用效益。</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无极县机关事务服务中心本极</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按照预算管理有关规定，目前部门预算的编制实行综合预算管理，即全部收入和支出都反映在预算中。无极县机关事务服务中心机关及所属事业单位的收支包含在部门预算中。</w:t>
      </w:r>
    </w:p>
    <w:p>
      <w:pPr>
        <w:pStyle w:val="19"/>
      </w:pPr>
      <w:r>
        <w:t>1、收入说明</w:t>
      </w:r>
    </w:p>
    <w:p>
      <w:pPr>
        <w:pStyle w:val="19"/>
      </w:pPr>
      <w:r>
        <w:t>反映本部门当年全部收入。2026年预算收入628.16万元，其中：一般公共预算收入628.16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机关事务服务中心年度部门预算中支出预算的总体情况。2026年支出预算628.16万元，其中基本支出448.16万元，包括人员经费272.01万元和日常公用经费176.15万元；项目支出180.00万元，主要为无极县政府机关大院安保、保洁外包服务费180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628.16万元，较2025年预算减少19.34万元，其中：基本支出减少39.34万元，主要为本年度基本支出相关数据变动，系因保险个人缴纳部分支出口径调整，按财政预算管理相关要求，将原列入基本支出的保险个人承担部分调整至其他核算口径，相应核减基本支出金额。项目支出增加20.00万元，主要为无极县政府机关大院安保、保洁外包服务费增加20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县直房地产管理，资产、节能管理以及县级政府采购事项。</w:t>
      </w:r>
    </w:p>
    <w:p>
      <w:pPr>
        <w:pStyle w:val="22"/>
      </w:pPr>
      <w:r>
        <w:t>规范管理、合理使用县区房地产；加强县直住房改革保障管理工作；</w:t>
      </w:r>
    </w:p>
    <w:p>
      <w:pPr>
        <w:pStyle w:val="22"/>
      </w:pPr>
      <w:r>
        <w:t>资产、节能管理</w:t>
      </w:r>
    </w:p>
    <w:p>
      <w:pPr>
        <w:pStyle w:val="22"/>
      </w:pPr>
      <w:r>
        <w:t>加强县直行政机关国有资产管理，维护国有资产安全和完整。深入推进全县公共机构节能工作，</w:t>
      </w:r>
    </w:p>
    <w:p>
      <w:pPr>
        <w:pStyle w:val="22"/>
      </w:pPr>
      <w:r>
        <w:t>对既有建筑制定节能改造计划。</w:t>
      </w:r>
    </w:p>
    <w:p>
      <w:pPr>
        <w:pStyle w:val="22"/>
      </w:pPr>
      <w:r>
        <w:t>负责机关办公用房管理、公务用车的统计、上报工作。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通信保障。</w:t>
      </w:r>
    </w:p>
    <w:p>
      <w:pPr>
        <w:pStyle w:val="23"/>
      </w:pPr>
      <w:r>
        <w:t>搞好各种服务保障，确保通信畅通。通信管理和保障。加强线路改造；完善、拓展县直通信固话、宽带网咯建设；确保通信联络畅通。承担系统综合业务管理和部门综合事务管理。促进全县机关事务管理工作科学发展及综合业务管理。</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r>
        <w:t>机关事务管理局按照县委、县政府工作部署，围绕本部门职责，积极推进机关事务管理工作的科学发展；提高管理、保障、服务水平；协调推进改革进程，理顺全县机关事务管理工作体制。提高人员素质；推进县直机关事业单位办公环境改善；加强县直行政机关国有资产管理，维护国有资产安全和完整。深入推进全县公共机构节能工作，对既有建筑制定节能改造计划。加强通信保障，进行线路改造，完善、拓展县直通信固话、宽带网络建设；确保通信联络畅通。搞好服务保障，为广大干部职工提供安全、快捷、细致、周到的工作环境；加强财务综合业务管理。</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1、无极县政府机关大院安保、保洁外包服务费绩效目标表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13013026P000066100374</w:t>
            </w:r>
          </w:p>
        </w:tc>
        <w:tc>
          <w:tcPr>
            <w:tcW w:w="2835" w:type="dxa"/>
            <w:vAlign w:val="center"/>
          </w:tcPr>
          <w:p>
            <w:pPr>
              <w:pStyle w:val="11"/>
            </w:pPr>
            <w:r>
              <w:t>项目名称</w:t>
            </w:r>
          </w:p>
        </w:tc>
        <w:tc>
          <w:tcPr>
            <w:tcW w:w="6095" w:type="dxa"/>
            <w:gridSpan w:val="3"/>
            <w:vAlign w:val="center"/>
          </w:tcPr>
          <w:p>
            <w:pPr>
              <w:pStyle w:val="13"/>
            </w:pPr>
            <w:r>
              <w:t>无极县政府机关大院安保、保洁外包服务费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用于支付保安、保洁服务费。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45.00</w:t>
            </w:r>
          </w:p>
        </w:tc>
        <w:tc>
          <w:tcPr>
            <w:tcW w:w="2835" w:type="dxa"/>
            <w:vAlign w:val="center"/>
          </w:tcPr>
          <w:p>
            <w:pPr>
              <w:pStyle w:val="14"/>
            </w:pPr>
            <w:r>
              <w:t>90.00</w:t>
            </w:r>
          </w:p>
        </w:tc>
        <w:tc>
          <w:tcPr>
            <w:tcW w:w="2551" w:type="dxa"/>
            <w:vAlign w:val="center"/>
          </w:tcPr>
          <w:p>
            <w:pPr>
              <w:pStyle w:val="14"/>
            </w:pPr>
            <w:r>
              <w:t>135.00</w:t>
            </w:r>
          </w:p>
        </w:tc>
        <w:tc>
          <w:tcPr>
            <w:tcW w:w="3544" w:type="dxa"/>
            <w:gridSpan w:val="2"/>
            <w:vAlign w:val="center"/>
          </w:tcPr>
          <w:p>
            <w:pPr>
              <w:pStyle w:val="14"/>
            </w:pPr>
            <w:r>
              <w:t>180.00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1.保障大院环境卫生及安保。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年度服务部门数量</w:t>
            </w:r>
          </w:p>
        </w:tc>
        <w:tc>
          <w:tcPr>
            <w:tcW w:w="5386" w:type="dxa"/>
            <w:vAlign w:val="center"/>
          </w:tcPr>
          <w:p>
            <w:pPr>
              <w:pStyle w:val="13"/>
            </w:pPr>
            <w:r>
              <w:t>年度服务部门数量</w:t>
            </w:r>
          </w:p>
        </w:tc>
        <w:tc>
          <w:tcPr>
            <w:tcW w:w="2268" w:type="dxa"/>
            <w:vAlign w:val="center"/>
          </w:tcPr>
          <w:p>
            <w:pPr>
              <w:pStyle w:val="13"/>
            </w:pPr>
            <w:r>
              <w:t>≥80百分比</w:t>
            </w:r>
          </w:p>
        </w:tc>
        <w:tc>
          <w:tcPr>
            <w:tcW w:w="1276"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服务保障完成情况</w:t>
            </w:r>
          </w:p>
        </w:tc>
        <w:tc>
          <w:tcPr>
            <w:tcW w:w="5386" w:type="dxa"/>
            <w:vAlign w:val="center"/>
          </w:tcPr>
          <w:p>
            <w:pPr>
              <w:pStyle w:val="13"/>
            </w:pPr>
            <w:r>
              <w:t>服务保障完成情况</w:t>
            </w:r>
          </w:p>
        </w:tc>
        <w:tc>
          <w:tcPr>
            <w:tcW w:w="2268" w:type="dxa"/>
            <w:vAlign w:val="center"/>
          </w:tcPr>
          <w:p>
            <w:pPr>
              <w:pStyle w:val="13"/>
            </w:pPr>
            <w:r>
              <w:t>≥80百分比</w:t>
            </w:r>
          </w:p>
        </w:tc>
        <w:tc>
          <w:tcPr>
            <w:tcW w:w="1276"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服务的完成度</w:t>
            </w:r>
          </w:p>
        </w:tc>
        <w:tc>
          <w:tcPr>
            <w:tcW w:w="5386" w:type="dxa"/>
            <w:vAlign w:val="center"/>
          </w:tcPr>
          <w:p>
            <w:pPr>
              <w:pStyle w:val="13"/>
            </w:pPr>
            <w:r>
              <w:t>服务的完成度</w:t>
            </w:r>
          </w:p>
        </w:tc>
        <w:tc>
          <w:tcPr>
            <w:tcW w:w="2268" w:type="dxa"/>
            <w:vAlign w:val="center"/>
          </w:tcPr>
          <w:p>
            <w:pPr>
              <w:pStyle w:val="13"/>
            </w:pPr>
            <w:r>
              <w:t>≥80百分比</w:t>
            </w:r>
          </w:p>
        </w:tc>
        <w:tc>
          <w:tcPr>
            <w:tcW w:w="1276"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≥80百分比</w:t>
            </w:r>
          </w:p>
        </w:tc>
        <w:tc>
          <w:tcPr>
            <w:tcW w:w="1276"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经济效益提升值%</w:t>
            </w:r>
          </w:p>
        </w:tc>
        <w:tc>
          <w:tcPr>
            <w:tcW w:w="5386" w:type="dxa"/>
            <w:vAlign w:val="center"/>
          </w:tcPr>
          <w:p>
            <w:pPr>
              <w:pStyle w:val="13"/>
            </w:pPr>
            <w:r>
              <w:t>经济效益提升值%</w:t>
            </w:r>
          </w:p>
        </w:tc>
        <w:tc>
          <w:tcPr>
            <w:tcW w:w="2268" w:type="dxa"/>
            <w:vAlign w:val="center"/>
          </w:tcPr>
          <w:p>
            <w:pPr>
              <w:pStyle w:val="13"/>
            </w:pPr>
            <w:r>
              <w:t>≥80百分比</w:t>
            </w:r>
          </w:p>
        </w:tc>
        <w:tc>
          <w:tcPr>
            <w:tcW w:w="1276"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社会效益提升值%</w:t>
            </w:r>
          </w:p>
        </w:tc>
        <w:tc>
          <w:tcPr>
            <w:tcW w:w="5386" w:type="dxa"/>
            <w:vAlign w:val="center"/>
          </w:tcPr>
          <w:p>
            <w:pPr>
              <w:pStyle w:val="13"/>
            </w:pPr>
            <w:r>
              <w:t>社会效益提升值%</w:t>
            </w:r>
          </w:p>
        </w:tc>
        <w:tc>
          <w:tcPr>
            <w:tcW w:w="2268" w:type="dxa"/>
            <w:vAlign w:val="center"/>
          </w:tcPr>
          <w:p>
            <w:pPr>
              <w:pStyle w:val="13"/>
            </w:pPr>
            <w:r>
              <w:t>≥80百分比</w:t>
            </w:r>
          </w:p>
        </w:tc>
        <w:tc>
          <w:tcPr>
            <w:tcW w:w="1276"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生态效益增长率</w:t>
            </w:r>
          </w:p>
        </w:tc>
        <w:tc>
          <w:tcPr>
            <w:tcW w:w="5386" w:type="dxa"/>
            <w:vAlign w:val="center"/>
          </w:tcPr>
          <w:p>
            <w:pPr>
              <w:pStyle w:val="13"/>
            </w:pPr>
            <w:r>
              <w:t>生态效益增长率</w:t>
            </w:r>
          </w:p>
        </w:tc>
        <w:tc>
          <w:tcPr>
            <w:tcW w:w="2268" w:type="dxa"/>
            <w:vAlign w:val="center"/>
          </w:tcPr>
          <w:p>
            <w:pPr>
              <w:pStyle w:val="13"/>
            </w:pPr>
            <w:r>
              <w:t>≥80百分比</w:t>
            </w:r>
          </w:p>
        </w:tc>
        <w:tc>
          <w:tcPr>
            <w:tcW w:w="1276"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持续服务率(%)</w:t>
            </w:r>
          </w:p>
        </w:tc>
        <w:tc>
          <w:tcPr>
            <w:tcW w:w="5386" w:type="dxa"/>
            <w:vAlign w:val="center"/>
          </w:tcPr>
          <w:p>
            <w:pPr>
              <w:pStyle w:val="13"/>
            </w:pPr>
            <w:r>
              <w:t>持续服务率(%)</w:t>
            </w:r>
          </w:p>
        </w:tc>
        <w:tc>
          <w:tcPr>
            <w:tcW w:w="2268" w:type="dxa"/>
            <w:vAlign w:val="center"/>
          </w:tcPr>
          <w:p>
            <w:pPr>
              <w:pStyle w:val="13"/>
            </w:pPr>
            <w:r>
              <w:t>≥80百分比</w:t>
            </w:r>
          </w:p>
        </w:tc>
        <w:tc>
          <w:tcPr>
            <w:tcW w:w="1276" w:type="dxa"/>
            <w:vAlign w:val="center"/>
          </w:tcPr>
          <w:p>
            <w:pPr>
              <w:pStyle w:val="13"/>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≥80百分比</w:t>
            </w:r>
          </w:p>
        </w:tc>
        <w:tc>
          <w:tcPr>
            <w:tcW w:w="1276" w:type="dxa"/>
            <w:vAlign w:val="center"/>
          </w:tcPr>
          <w:p>
            <w:pPr>
              <w:pStyle w:val="13"/>
            </w:pPr>
            <w:r>
              <w:t>按合同</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430无极县机关事务服务中心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0.50</w:t>
            </w:r>
          </w:p>
        </w:tc>
        <w:tc>
          <w:tcPr>
            <w:tcW w:w="964" w:type="dxa"/>
            <w:vAlign w:val="center"/>
          </w:tcPr>
          <w:p>
            <w:pPr>
              <w:pStyle w:val="16"/>
            </w:pPr>
            <w:r>
              <w:t>0.50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无极县机关事务服务中心本极小计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0.50</w:t>
            </w:r>
          </w:p>
        </w:tc>
        <w:tc>
          <w:tcPr>
            <w:tcW w:w="964" w:type="dxa"/>
            <w:vAlign w:val="center"/>
          </w:tcPr>
          <w:p>
            <w:pPr>
              <w:pStyle w:val="16"/>
            </w:pPr>
            <w:r>
              <w:t>0.50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175.00</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批</w:t>
            </w:r>
          </w:p>
        </w:tc>
        <w:tc>
          <w:tcPr>
            <w:tcW w:w="850" w:type="dxa"/>
            <w:vAlign w:val="center"/>
          </w:tcPr>
          <w:p>
            <w:pPr>
              <w:pStyle w:val="12"/>
            </w:pPr>
            <w:r>
              <w:t>10</w:t>
            </w:r>
          </w:p>
        </w:tc>
        <w:tc>
          <w:tcPr>
            <w:tcW w:w="850" w:type="dxa"/>
            <w:vAlign w:val="center"/>
          </w:tcPr>
          <w:p>
            <w:pPr>
              <w:pStyle w:val="12"/>
            </w:pPr>
            <w:r>
              <w:t>0.05</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无极县机关事务服务中心（含所属单位）上年末固定资产金额为405.86万元（详见下表）。本年度拟购置固定资产总额为0.00万元，已按要求列入政府采购预算，详见政府采购预算表。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430无极县机关事务服务中心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405.86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5</w:t>
            </w:r>
          </w:p>
        </w:tc>
        <w:tc>
          <w:tcPr>
            <w:tcW w:w="2835" w:type="dxa"/>
            <w:vAlign w:val="center"/>
          </w:tcPr>
          <w:p>
            <w:pPr>
              <w:pStyle w:val="12"/>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5</w:t>
            </w:r>
          </w:p>
        </w:tc>
        <w:tc>
          <w:tcPr>
            <w:tcW w:w="2835" w:type="dxa"/>
            <w:vAlign w:val="center"/>
          </w:tcPr>
          <w:p>
            <w:pPr>
              <w:pStyle w:val="12"/>
            </w:pPr>
            <w:r>
              <w:t>179.41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439</w:t>
            </w:r>
          </w:p>
        </w:tc>
        <w:tc>
          <w:tcPr>
            <w:tcW w:w="2835" w:type="dxa"/>
            <w:vAlign w:val="center"/>
          </w:tcPr>
          <w:p>
            <w:pPr>
              <w:pStyle w:val="12"/>
            </w:pPr>
            <w:r>
              <w:t>226.45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F10107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2026-02-25T16:14:00Z</dcterms:created>
  <dc:creator>Administrator</dc:creator>
  <cp:lastModifiedBy>Administrator</cp:lastModifiedBy>
  <dcterms:modified xsi:type="dcterms:W3CDTF">2026-02-25T08:33:57Z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5A4E92B43D404881945E96579FD16D80</vt:lpwstr>
  </property>
</Properties>
</file>