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410无极县统计局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573.02</w:t>
            </w:r>
          </w:p>
        </w:tc>
        <w:tc>
          <w:tcPr>
            <w:tcW w:w="4535" w:type="dxa"/>
            <w:vAlign w:val="center"/>
          </w:tcPr>
          <w:p>
            <w:pPr>
              <w:pStyle w:val="13"/>
            </w:pPr>
            <w:r>
              <w:t>一、一般公共服务支出</w:t>
            </w:r>
          </w:p>
        </w:tc>
        <w:tc>
          <w:tcPr>
            <w:tcW w:w="2126" w:type="dxa"/>
            <w:vAlign w:val="center"/>
          </w:tcPr>
          <w:p>
            <w:pPr>
              <w:pStyle w:val="12"/>
            </w:pPr>
            <w:r>
              <w:t>514.32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573.02</w:t>
            </w:r>
          </w:p>
        </w:tc>
        <w:tc>
          <w:tcPr>
            <w:tcW w:w="4535" w:type="dxa"/>
            <w:vAlign w:val="center"/>
          </w:tcPr>
          <w:p>
            <w:pPr>
              <w:pStyle w:val="15"/>
            </w:pPr>
            <w:r>
              <w:t>本年支出合计</w:t>
            </w:r>
          </w:p>
        </w:tc>
        <w:tc>
          <w:tcPr>
            <w:tcW w:w="2126" w:type="dxa"/>
            <w:vAlign w:val="center"/>
          </w:tcPr>
          <w:p>
            <w:pPr>
              <w:pStyle w:val="16"/>
            </w:pPr>
            <w:r>
              <w:t>573.02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573.02</w:t>
            </w:r>
          </w:p>
        </w:tc>
        <w:tc>
          <w:tcPr>
            <w:tcW w:w="4535" w:type="dxa"/>
            <w:vAlign w:val="center"/>
          </w:tcPr>
          <w:p>
            <w:pPr>
              <w:pStyle w:val="15"/>
            </w:pPr>
            <w:r>
              <w:t>支出总计</w:t>
            </w:r>
          </w:p>
        </w:tc>
        <w:tc>
          <w:tcPr>
            <w:tcW w:w="2126" w:type="dxa"/>
            <w:vAlign w:val="center"/>
          </w:tcPr>
          <w:p>
            <w:pPr>
              <w:pStyle w:val="16"/>
            </w:pPr>
            <w:r>
              <w:t>573.02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410无极县统计局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573.02</w:t>
            </w:r>
          </w:p>
        </w:tc>
        <w:tc>
          <w:tcPr>
            <w:tcW w:w="1134" w:type="dxa"/>
            <w:vAlign w:val="center"/>
          </w:tcPr>
          <w:p>
            <w:pPr>
              <w:pStyle w:val="16"/>
            </w:pPr>
            <w:r>
              <w:t>573.02</w:t>
            </w:r>
          </w:p>
        </w:tc>
        <w:tc>
          <w:tcPr>
            <w:tcW w:w="1134" w:type="dxa"/>
            <w:vAlign w:val="center"/>
          </w:tcPr>
          <w:p>
            <w:pPr>
              <w:pStyle w:val="16"/>
            </w:pPr>
            <w:r>
              <w:t>573.02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514.32</w:t>
            </w:r>
          </w:p>
        </w:tc>
        <w:tc>
          <w:tcPr>
            <w:tcW w:w="1134" w:type="dxa"/>
            <w:vAlign w:val="center"/>
          </w:tcPr>
          <w:p>
            <w:pPr>
              <w:pStyle w:val="12"/>
            </w:pPr>
            <w:r>
              <w:t>514.32</w:t>
            </w:r>
          </w:p>
        </w:tc>
        <w:tc>
          <w:tcPr>
            <w:tcW w:w="1134" w:type="dxa"/>
            <w:vAlign w:val="center"/>
          </w:tcPr>
          <w:p>
            <w:pPr>
              <w:pStyle w:val="12"/>
            </w:pPr>
            <w:r>
              <w:t>514.32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514.32</w:t>
            </w:r>
          </w:p>
        </w:tc>
        <w:tc>
          <w:tcPr>
            <w:tcW w:w="1134" w:type="dxa"/>
            <w:vAlign w:val="center"/>
          </w:tcPr>
          <w:p>
            <w:pPr>
              <w:pStyle w:val="12"/>
            </w:pPr>
            <w:r>
              <w:t>514.32</w:t>
            </w:r>
          </w:p>
        </w:tc>
        <w:tc>
          <w:tcPr>
            <w:tcW w:w="1134" w:type="dxa"/>
            <w:vAlign w:val="center"/>
          </w:tcPr>
          <w:p>
            <w:pPr>
              <w:pStyle w:val="12"/>
            </w:pPr>
            <w:r>
              <w:t>514.32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416.32</w:t>
            </w:r>
          </w:p>
        </w:tc>
        <w:tc>
          <w:tcPr>
            <w:tcW w:w="1134" w:type="dxa"/>
            <w:vAlign w:val="center"/>
          </w:tcPr>
          <w:p>
            <w:pPr>
              <w:pStyle w:val="12"/>
            </w:pPr>
            <w:r>
              <w:t>416.32</w:t>
            </w:r>
          </w:p>
        </w:tc>
        <w:tc>
          <w:tcPr>
            <w:tcW w:w="1134" w:type="dxa"/>
            <w:vAlign w:val="center"/>
          </w:tcPr>
          <w:p>
            <w:pPr>
              <w:pStyle w:val="12"/>
            </w:pPr>
            <w:r>
              <w:t>416.32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2010508</w:t>
            </w:r>
          </w:p>
        </w:tc>
        <w:tc>
          <w:tcPr>
            <w:tcW w:w="1559" w:type="dxa"/>
            <w:vAlign w:val="center"/>
          </w:tcPr>
          <w:p>
            <w:pPr>
              <w:pStyle w:val="13"/>
            </w:pPr>
            <w:r>
              <w:t>统计抽样调查</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16.70</w:t>
            </w:r>
          </w:p>
        </w:tc>
        <w:tc>
          <w:tcPr>
            <w:tcW w:w="1134" w:type="dxa"/>
            <w:vAlign w:val="center"/>
          </w:tcPr>
          <w:p>
            <w:pPr>
              <w:pStyle w:val="12"/>
            </w:pPr>
            <w:r>
              <w:t>16.70</w:t>
            </w:r>
          </w:p>
        </w:tc>
        <w:tc>
          <w:tcPr>
            <w:tcW w:w="1134" w:type="dxa"/>
            <w:vAlign w:val="center"/>
          </w:tcPr>
          <w:p>
            <w:pPr>
              <w:pStyle w:val="12"/>
            </w:pPr>
            <w:r>
              <w:t>16.70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16.70</w:t>
            </w:r>
          </w:p>
        </w:tc>
        <w:tc>
          <w:tcPr>
            <w:tcW w:w="1134" w:type="dxa"/>
            <w:vAlign w:val="center"/>
          </w:tcPr>
          <w:p>
            <w:pPr>
              <w:pStyle w:val="12"/>
            </w:pPr>
            <w:r>
              <w:t>16.70</w:t>
            </w:r>
          </w:p>
        </w:tc>
        <w:tc>
          <w:tcPr>
            <w:tcW w:w="1134" w:type="dxa"/>
            <w:vAlign w:val="center"/>
          </w:tcPr>
          <w:p>
            <w:pPr>
              <w:pStyle w:val="12"/>
            </w:pPr>
            <w:r>
              <w:t>16.70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16.70</w:t>
            </w:r>
          </w:p>
        </w:tc>
        <w:tc>
          <w:tcPr>
            <w:tcW w:w="1134" w:type="dxa"/>
            <w:vAlign w:val="center"/>
          </w:tcPr>
          <w:p>
            <w:pPr>
              <w:pStyle w:val="12"/>
            </w:pPr>
            <w:r>
              <w:t>16.70</w:t>
            </w:r>
          </w:p>
        </w:tc>
        <w:tc>
          <w:tcPr>
            <w:tcW w:w="1134" w:type="dxa"/>
            <w:vAlign w:val="center"/>
          </w:tcPr>
          <w:p>
            <w:pPr>
              <w:pStyle w:val="12"/>
            </w:pPr>
            <w:r>
              <w:t>16.70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573.02</w:t>
            </w:r>
          </w:p>
        </w:tc>
        <w:tc>
          <w:tcPr>
            <w:tcW w:w="1361" w:type="dxa"/>
            <w:vAlign w:val="center"/>
          </w:tcPr>
          <w:p>
            <w:pPr>
              <w:pStyle w:val="16"/>
            </w:pPr>
            <w:r>
              <w:t>475.02</w:t>
            </w:r>
          </w:p>
        </w:tc>
        <w:tc>
          <w:tcPr>
            <w:tcW w:w="1361" w:type="dxa"/>
            <w:vAlign w:val="center"/>
          </w:tcPr>
          <w:p>
            <w:pPr>
              <w:pStyle w:val="16"/>
            </w:pPr>
            <w:r>
              <w:t>98.00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514.32</w:t>
            </w:r>
          </w:p>
        </w:tc>
        <w:tc>
          <w:tcPr>
            <w:tcW w:w="1361" w:type="dxa"/>
            <w:vAlign w:val="center"/>
          </w:tcPr>
          <w:p>
            <w:pPr>
              <w:pStyle w:val="12"/>
            </w:pPr>
            <w:r>
              <w:t>416.32</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514.32</w:t>
            </w:r>
          </w:p>
        </w:tc>
        <w:tc>
          <w:tcPr>
            <w:tcW w:w="1361" w:type="dxa"/>
            <w:vAlign w:val="center"/>
          </w:tcPr>
          <w:p>
            <w:pPr>
              <w:pStyle w:val="12"/>
            </w:pPr>
            <w:r>
              <w:t>416.32</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416.32</w:t>
            </w:r>
          </w:p>
        </w:tc>
        <w:tc>
          <w:tcPr>
            <w:tcW w:w="1361" w:type="dxa"/>
            <w:vAlign w:val="center"/>
          </w:tcPr>
          <w:p>
            <w:pPr>
              <w:pStyle w:val="12"/>
            </w:pPr>
            <w:r>
              <w:t>416.32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2010508</w:t>
            </w:r>
          </w:p>
        </w:tc>
        <w:tc>
          <w:tcPr>
            <w:tcW w:w="4535" w:type="dxa"/>
            <w:vAlign w:val="center"/>
          </w:tcPr>
          <w:p>
            <w:pPr>
              <w:pStyle w:val="13"/>
            </w:pPr>
            <w:r>
              <w:t>统计抽样调查</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42.00</w:t>
            </w: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42.00</w:t>
            </w: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42.00</w:t>
            </w: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16.70</w:t>
            </w:r>
          </w:p>
        </w:tc>
        <w:tc>
          <w:tcPr>
            <w:tcW w:w="1361" w:type="dxa"/>
            <w:vAlign w:val="center"/>
          </w:tcPr>
          <w:p>
            <w:pPr>
              <w:pStyle w:val="12"/>
            </w:pPr>
            <w:r>
              <w:t>16.70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16.70</w:t>
            </w:r>
          </w:p>
        </w:tc>
        <w:tc>
          <w:tcPr>
            <w:tcW w:w="1361" w:type="dxa"/>
            <w:vAlign w:val="center"/>
          </w:tcPr>
          <w:p>
            <w:pPr>
              <w:pStyle w:val="12"/>
            </w:pPr>
            <w:r>
              <w:t>16.70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16.70</w:t>
            </w:r>
          </w:p>
        </w:tc>
        <w:tc>
          <w:tcPr>
            <w:tcW w:w="1361" w:type="dxa"/>
            <w:vAlign w:val="center"/>
          </w:tcPr>
          <w:p>
            <w:pPr>
              <w:pStyle w:val="12"/>
            </w:pPr>
            <w:r>
              <w:t>16.70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573.02</w:t>
            </w:r>
          </w:p>
        </w:tc>
        <w:tc>
          <w:tcPr>
            <w:tcW w:w="3402" w:type="dxa"/>
            <w:vAlign w:val="center"/>
          </w:tcPr>
          <w:p>
            <w:pPr>
              <w:pStyle w:val="13"/>
            </w:pPr>
            <w:r>
              <w:t>一、一般公共服务支出</w:t>
            </w:r>
          </w:p>
        </w:tc>
        <w:tc>
          <w:tcPr>
            <w:tcW w:w="1474" w:type="dxa"/>
            <w:vAlign w:val="center"/>
          </w:tcPr>
          <w:p>
            <w:pPr>
              <w:pStyle w:val="12"/>
            </w:pPr>
            <w:r>
              <w:t>514.32</w:t>
            </w:r>
          </w:p>
        </w:tc>
        <w:tc>
          <w:tcPr>
            <w:tcW w:w="1474" w:type="dxa"/>
            <w:vAlign w:val="center"/>
          </w:tcPr>
          <w:p>
            <w:pPr>
              <w:pStyle w:val="12"/>
            </w:pPr>
            <w:r>
              <w:t>514.32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42.00</w:t>
            </w:r>
          </w:p>
        </w:tc>
        <w:tc>
          <w:tcPr>
            <w:tcW w:w="1474" w:type="dxa"/>
            <w:vAlign w:val="center"/>
          </w:tcPr>
          <w:p>
            <w:pPr>
              <w:pStyle w:val="12"/>
            </w:pPr>
            <w:r>
              <w:t>42.00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16.70</w:t>
            </w:r>
          </w:p>
        </w:tc>
        <w:tc>
          <w:tcPr>
            <w:tcW w:w="1474" w:type="dxa"/>
            <w:vAlign w:val="center"/>
          </w:tcPr>
          <w:p>
            <w:pPr>
              <w:pStyle w:val="12"/>
            </w:pPr>
            <w:r>
              <w:t>16.70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573.02</w:t>
            </w:r>
          </w:p>
        </w:tc>
        <w:tc>
          <w:tcPr>
            <w:tcW w:w="3402" w:type="dxa"/>
            <w:vAlign w:val="center"/>
          </w:tcPr>
          <w:p>
            <w:pPr>
              <w:pStyle w:val="15"/>
            </w:pPr>
            <w:r>
              <w:t>本年支出合计</w:t>
            </w:r>
          </w:p>
        </w:tc>
        <w:tc>
          <w:tcPr>
            <w:tcW w:w="1474" w:type="dxa"/>
            <w:vAlign w:val="center"/>
          </w:tcPr>
          <w:p>
            <w:pPr>
              <w:pStyle w:val="16"/>
            </w:pPr>
            <w:r>
              <w:t>573.02</w:t>
            </w:r>
          </w:p>
        </w:tc>
        <w:tc>
          <w:tcPr>
            <w:tcW w:w="1474" w:type="dxa"/>
            <w:vAlign w:val="center"/>
          </w:tcPr>
          <w:p>
            <w:pPr>
              <w:pStyle w:val="16"/>
            </w:pPr>
            <w:r>
              <w:t>573.02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573.02</w:t>
            </w:r>
          </w:p>
        </w:tc>
        <w:tc>
          <w:tcPr>
            <w:tcW w:w="3402" w:type="dxa"/>
            <w:vAlign w:val="center"/>
          </w:tcPr>
          <w:p>
            <w:pPr>
              <w:pStyle w:val="15"/>
            </w:pPr>
            <w:r>
              <w:t>支出总计</w:t>
            </w:r>
          </w:p>
        </w:tc>
        <w:tc>
          <w:tcPr>
            <w:tcW w:w="1474" w:type="dxa"/>
            <w:vAlign w:val="center"/>
          </w:tcPr>
          <w:p>
            <w:pPr>
              <w:pStyle w:val="16"/>
            </w:pPr>
            <w:r>
              <w:t>573.02</w:t>
            </w:r>
          </w:p>
        </w:tc>
        <w:tc>
          <w:tcPr>
            <w:tcW w:w="1474" w:type="dxa"/>
            <w:vAlign w:val="center"/>
          </w:tcPr>
          <w:p>
            <w:pPr>
              <w:pStyle w:val="16"/>
            </w:pPr>
            <w:r>
              <w:t>573.02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573.02</w:t>
            </w:r>
          </w:p>
        </w:tc>
        <w:tc>
          <w:tcPr>
            <w:tcW w:w="2551" w:type="dxa"/>
            <w:vAlign w:val="center"/>
          </w:tcPr>
          <w:p>
            <w:pPr>
              <w:pStyle w:val="16"/>
            </w:pPr>
            <w:r>
              <w:t>475.02</w:t>
            </w:r>
          </w:p>
        </w:tc>
        <w:tc>
          <w:tcPr>
            <w:tcW w:w="2551" w:type="dxa"/>
            <w:vAlign w:val="center"/>
          </w:tcPr>
          <w:p>
            <w:pPr>
              <w:pStyle w:val="16"/>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514.32</w:t>
            </w:r>
          </w:p>
        </w:tc>
        <w:tc>
          <w:tcPr>
            <w:tcW w:w="2551" w:type="dxa"/>
            <w:vAlign w:val="center"/>
          </w:tcPr>
          <w:p>
            <w:pPr>
              <w:pStyle w:val="12"/>
            </w:pPr>
            <w:r>
              <w:t>416.32</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514.32</w:t>
            </w:r>
          </w:p>
        </w:tc>
        <w:tc>
          <w:tcPr>
            <w:tcW w:w="2551" w:type="dxa"/>
            <w:vAlign w:val="center"/>
          </w:tcPr>
          <w:p>
            <w:pPr>
              <w:pStyle w:val="12"/>
            </w:pPr>
            <w:r>
              <w:t>416.32</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416.32</w:t>
            </w:r>
          </w:p>
        </w:tc>
        <w:tc>
          <w:tcPr>
            <w:tcW w:w="2551" w:type="dxa"/>
            <w:vAlign w:val="center"/>
          </w:tcPr>
          <w:p>
            <w:pPr>
              <w:pStyle w:val="12"/>
            </w:pPr>
            <w:r>
              <w:t>416.32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2010508</w:t>
            </w:r>
          </w:p>
        </w:tc>
        <w:tc>
          <w:tcPr>
            <w:tcW w:w="4535" w:type="dxa"/>
            <w:vAlign w:val="center"/>
          </w:tcPr>
          <w:p>
            <w:pPr>
              <w:pStyle w:val="13"/>
            </w:pPr>
            <w:r>
              <w:t>统计抽样调查</w:t>
            </w:r>
          </w:p>
        </w:tc>
        <w:tc>
          <w:tcPr>
            <w:tcW w:w="2551" w:type="dxa"/>
            <w:vAlign w:val="center"/>
          </w:tcPr>
          <w:p>
            <w:pPr>
              <w:pStyle w:val="12"/>
            </w:pPr>
            <w:r>
              <w:t>98.00</w:t>
            </w:r>
          </w:p>
        </w:tc>
        <w:tc>
          <w:tcPr>
            <w:tcW w:w="2551" w:type="dxa"/>
            <w:vAlign w:val="center"/>
          </w:tcPr>
          <w:p>
            <w:pPr>
              <w:pStyle w:val="12"/>
            </w:pP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16.70</w:t>
            </w:r>
          </w:p>
        </w:tc>
        <w:tc>
          <w:tcPr>
            <w:tcW w:w="2551" w:type="dxa"/>
            <w:vAlign w:val="center"/>
          </w:tcPr>
          <w:p>
            <w:pPr>
              <w:pStyle w:val="12"/>
            </w:pPr>
            <w:r>
              <w:t>16.70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16.70</w:t>
            </w:r>
          </w:p>
        </w:tc>
        <w:tc>
          <w:tcPr>
            <w:tcW w:w="2551" w:type="dxa"/>
            <w:vAlign w:val="center"/>
          </w:tcPr>
          <w:p>
            <w:pPr>
              <w:pStyle w:val="12"/>
            </w:pPr>
            <w:r>
              <w:t>16.70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16.70</w:t>
            </w:r>
          </w:p>
        </w:tc>
        <w:tc>
          <w:tcPr>
            <w:tcW w:w="2551" w:type="dxa"/>
            <w:vAlign w:val="center"/>
          </w:tcPr>
          <w:p>
            <w:pPr>
              <w:pStyle w:val="12"/>
            </w:pPr>
            <w:r>
              <w:t>16.70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475.02</w:t>
            </w:r>
          </w:p>
        </w:tc>
        <w:tc>
          <w:tcPr>
            <w:tcW w:w="2551" w:type="dxa"/>
            <w:vAlign w:val="center"/>
          </w:tcPr>
          <w:p>
            <w:pPr>
              <w:pStyle w:val="16"/>
            </w:pPr>
            <w:r>
              <w:t>428.61</w:t>
            </w:r>
          </w:p>
        </w:tc>
        <w:tc>
          <w:tcPr>
            <w:tcW w:w="2551" w:type="dxa"/>
            <w:vAlign w:val="center"/>
          </w:tcPr>
          <w:p>
            <w:pPr>
              <w:pStyle w:val="16"/>
            </w:pPr>
            <w:r>
              <w:t>46.41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351.61</w:t>
            </w:r>
          </w:p>
        </w:tc>
        <w:tc>
          <w:tcPr>
            <w:tcW w:w="2551" w:type="dxa"/>
            <w:vAlign w:val="center"/>
          </w:tcPr>
          <w:p>
            <w:pPr>
              <w:pStyle w:val="12"/>
            </w:pPr>
            <w:r>
              <w:t>351.61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147.00</w:t>
            </w:r>
          </w:p>
        </w:tc>
        <w:tc>
          <w:tcPr>
            <w:tcW w:w="2551" w:type="dxa"/>
            <w:vAlign w:val="center"/>
          </w:tcPr>
          <w:p>
            <w:pPr>
              <w:pStyle w:val="12"/>
            </w:pPr>
            <w:r>
              <w:t>147.00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57.00</w:t>
            </w:r>
          </w:p>
        </w:tc>
        <w:tc>
          <w:tcPr>
            <w:tcW w:w="2551" w:type="dxa"/>
            <w:vAlign w:val="center"/>
          </w:tcPr>
          <w:p>
            <w:pPr>
              <w:pStyle w:val="12"/>
            </w:pPr>
            <w:r>
              <w:t>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49.60</w:t>
            </w:r>
          </w:p>
        </w:tc>
        <w:tc>
          <w:tcPr>
            <w:tcW w:w="2551" w:type="dxa"/>
            <w:vAlign w:val="center"/>
          </w:tcPr>
          <w:p>
            <w:pPr>
              <w:pStyle w:val="12"/>
            </w:pPr>
            <w:r>
              <w:t>49.60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37.80</w:t>
            </w:r>
          </w:p>
        </w:tc>
        <w:tc>
          <w:tcPr>
            <w:tcW w:w="2551" w:type="dxa"/>
            <w:vAlign w:val="center"/>
          </w:tcPr>
          <w:p>
            <w:pPr>
              <w:pStyle w:val="12"/>
            </w:pPr>
            <w:r>
              <w:t>37.80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16.70</w:t>
            </w:r>
          </w:p>
        </w:tc>
        <w:tc>
          <w:tcPr>
            <w:tcW w:w="2551" w:type="dxa"/>
            <w:vAlign w:val="center"/>
          </w:tcPr>
          <w:p>
            <w:pPr>
              <w:pStyle w:val="12"/>
            </w:pPr>
            <w:r>
              <w:t>16.70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1.51</w:t>
            </w:r>
          </w:p>
        </w:tc>
        <w:tc>
          <w:tcPr>
            <w:tcW w:w="2551" w:type="dxa"/>
            <w:vAlign w:val="center"/>
          </w:tcPr>
          <w:p>
            <w:pPr>
              <w:pStyle w:val="12"/>
            </w:pPr>
            <w:r>
              <w:t>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46.41</w:t>
            </w:r>
          </w:p>
        </w:tc>
        <w:tc>
          <w:tcPr>
            <w:tcW w:w="2551" w:type="dxa"/>
            <w:vAlign w:val="center"/>
          </w:tcPr>
          <w:p>
            <w:pPr>
              <w:pStyle w:val="12"/>
            </w:pPr>
          </w:p>
        </w:tc>
        <w:tc>
          <w:tcPr>
            <w:tcW w:w="2551" w:type="dxa"/>
            <w:vAlign w:val="center"/>
          </w:tcPr>
          <w:p>
            <w:pPr>
              <w:pStyle w:val="12"/>
            </w:pPr>
            <w:r>
              <w:t>46.41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16.50</w:t>
            </w:r>
          </w:p>
        </w:tc>
        <w:tc>
          <w:tcPr>
            <w:tcW w:w="2551" w:type="dxa"/>
            <w:vAlign w:val="center"/>
          </w:tcPr>
          <w:p>
            <w:pPr>
              <w:pStyle w:val="12"/>
            </w:pPr>
          </w:p>
        </w:tc>
        <w:tc>
          <w:tcPr>
            <w:tcW w:w="2551"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77.00</w:t>
            </w:r>
          </w:p>
        </w:tc>
        <w:tc>
          <w:tcPr>
            <w:tcW w:w="2551" w:type="dxa"/>
            <w:vAlign w:val="center"/>
          </w:tcPr>
          <w:p>
            <w:pPr>
              <w:pStyle w:val="12"/>
            </w:pPr>
            <w:r>
              <w:t>77.00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77.00</w:t>
            </w:r>
          </w:p>
        </w:tc>
        <w:tc>
          <w:tcPr>
            <w:tcW w:w="2551" w:type="dxa"/>
            <w:vAlign w:val="center"/>
          </w:tcPr>
          <w:p>
            <w:pPr>
              <w:pStyle w:val="12"/>
            </w:pPr>
            <w:r>
              <w:t>77.00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无极县统计局2026年部门预算信息公开情况说明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无极县统计局2026年部门预算信息公开情况说明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按照《中华人民共和国预算法》、《地方预决算公开操作规程》和《关于进一步推进预算公开工作的实施意见》规定，现将无极县统计局2026年部门预算公开如下：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1、完成国家统计调查任务，执行国家统计标准，执行全国统一的基本统计报表制度。</w:t>
      </w:r>
    </w:p>
    <w:p>
      <w:pPr>
        <w:pStyle w:val="18"/>
      </w:pPr>
      <w:r>
        <w:t>2、制订本行政区域内的统计工作现代化规划、统计调查计划和统计调查方案，统一领导和协调本行政区域内包括中央和地方的统计工作，监督检查统计法规和统计制度的实施。</w:t>
      </w:r>
    </w:p>
    <w:p>
      <w:pPr>
        <w:pStyle w:val="18"/>
      </w:pPr>
      <w:r>
        <w:t>3、根据本行政区域内制订计划和进行管理的需要，搜集、整理、提供基本统计资料，对本行政区域内的国民经济和社会发展情况进行统计分析、统计预测和统计监督。</w:t>
      </w:r>
    </w:p>
    <w:p>
      <w:pPr>
        <w:pStyle w:val="18"/>
      </w:pPr>
      <w:r>
        <w:t>4、审查本行政区域内各部门的统计调查计划和统计调查方案，管理本行政区域各部门制发的统计调查表。</w:t>
      </w:r>
    </w:p>
    <w:p>
      <w:pPr>
        <w:pStyle w:val="18"/>
      </w:pPr>
      <w:r>
        <w:t>5、按照国家有关规定，检查、审定、管理、公布、出版本行政区域内的基本统计资料，发布本行政区域内国民经济和社会发展情况的统计公报。</w:t>
      </w:r>
    </w:p>
    <w:p>
      <w:pPr>
        <w:pStyle w:val="18"/>
      </w:pPr>
      <w:r>
        <w:t>6、统一管理县无极县城市社会经济调查队、无极县农村经济调查队、无极县普查中心和无极县文化产业统计中心。</w:t>
      </w:r>
    </w:p>
    <w:p>
      <w:pPr>
        <w:pStyle w:val="18"/>
      </w:pPr>
      <w:r>
        <w:t>7、组织指导本行政区域内各部门、各单位加强统计基础工作建设，加强统计教育、统计干部培训和统计科学研究工作。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按照预算管理有关规定，目前部门预算的编制实行综合预算管理，即全部收入和支出都反映在预算中。无极县统计局机关及所属事业单位的收支包含在部门预算中。</w:t>
      </w:r>
    </w:p>
    <w:p>
      <w:pPr>
        <w:pStyle w:val="19"/>
      </w:pPr>
      <w:r>
        <w:t>1、收入说明</w:t>
      </w:r>
    </w:p>
    <w:p>
      <w:pPr>
        <w:pStyle w:val="19"/>
      </w:pPr>
      <w:r>
        <w:t>反映本部门当年全部收入。2026年预算收入573.02万元，其中：一般公共预算收入573.02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统计局年度部门预算中支出预算的总体情况。2026年支出预算573.02万元，其中基本支出475.02万元，包括人员经费428.61万元和日常公用经费46.41万元；项目支出98.00万元，主要为住户抽样调查项目经费98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2026年预算收支安排573.02万元，较2025年预算减少62.48万元，其中：基本支出减少62.48万元，主要为人员经费减少。项目支出增加0.00万元，主要为无变动</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2026年，我部门机关运行经费共计安排46.41万元，主要用于日常维修、办公用房水电费、办公用房取暖费、办公用房物业管理费等日常运行支出。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贯彻落实党中央和省委、市委、县委关于统计工作的方针政策和决策部署，坚持和加强党对统计工作的集中统一领导。</w:t>
      </w:r>
    </w:p>
    <w:p>
      <w:pPr>
        <w:pStyle w:val="22"/>
      </w:pPr>
      <w:r>
        <w:t>（一）组织领导和协调全县统计工作，确保统计数据真实、准确、完整、及时。</w:t>
      </w:r>
    </w:p>
    <w:p>
      <w:pPr>
        <w:pStyle w:val="22"/>
      </w:pPr>
      <w:r>
        <w:t>（二）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2"/>
      </w:pPr>
      <w:r>
        <w:t>（三）贯彻执行河北省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pStyle w:val="22"/>
      </w:pPr>
      <w:r>
        <w:t>（四）拟订重大县情县力普查调查计划、方案，组织实施全县人口、经济、农业等重大普查调查，汇总、整理和提供有关县情县力方面的统计数据。</w:t>
      </w:r>
    </w:p>
    <w:p>
      <w:pPr>
        <w:pStyle w:val="22"/>
      </w:pPr>
      <w:r>
        <w:t>（五）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pStyle w:val="22"/>
      </w:pPr>
      <w:r>
        <w:t>（六）组织实施县域经济发展、农业产业化、特色小镇、节能降耗、绿色发展、城镇化发展、妇女儿童监测、新产业新业态新商业模式（以下简称新经济）等统计监测，收集、整理和提供统计数据。</w:t>
      </w:r>
    </w:p>
    <w:p>
      <w:pPr>
        <w:pStyle w:val="22"/>
      </w:pPr>
      <w:r>
        <w:t>（七）综合整理和提供财政、金融、旅游、交通运输、邮政、文化、教育、体育、卫生、社会保障、公用事业、对外经济、收入、价格等基本统计数据。</w:t>
      </w:r>
    </w:p>
    <w:p>
      <w:pPr>
        <w:pStyle w:val="22"/>
      </w:pPr>
      <w:r>
        <w:t>（八）组织各乡（镇）和各部门的经济、社会、科技、服务业统计调查，统一核定、管理、公布全县性基本统计资料，定期发布全县国民经济和社会发展情况的统计信息，组织建立统计信息共享制度和发布制度。</w:t>
      </w:r>
    </w:p>
    <w:p>
      <w:pPr>
        <w:pStyle w:val="22"/>
      </w:pPr>
      <w:r>
        <w:t>（九）对国民经济、社会发展、科技进步和资源环境等情况进行统计分析、统计预测和统计监督，向县委、县政府及有关部门提供统计信息和咨询建议。</w:t>
      </w:r>
    </w:p>
    <w:p>
      <w:pPr>
        <w:pStyle w:val="22"/>
      </w:pPr>
      <w:r>
        <w:t>（十）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2"/>
      </w:pPr>
      <w:r>
        <w:t>（十一）负责全县统计信息化系统和统计数据库体系建设工作，管理全县统计数据库网络，组织全县统计信息化系统建设。</w:t>
      </w:r>
    </w:p>
    <w:p>
      <w:pPr>
        <w:pStyle w:val="22"/>
      </w:pPr>
      <w:r>
        <w:t>（十二）负责名录库建设、全面建成小康社会统计监测、社情民意调查等工作；监督管理全县中央统计经费和县财政提供的统计经费。</w:t>
      </w:r>
    </w:p>
    <w:p>
      <w:pPr>
        <w:pStyle w:val="22"/>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2"/>
      </w:pPr>
      <w:r>
        <w:t>（十四）完成县委、县政府和市统计局交办的其他任务。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（一）完成本年度失业率抽样调查工作</w:t>
      </w:r>
    </w:p>
    <w:p>
      <w:pPr>
        <w:pStyle w:val="23"/>
      </w:pPr>
      <w:r>
        <w:t>绩效目标：做好本年度失业率抽样调查工作。</w:t>
      </w:r>
    </w:p>
    <w:p>
      <w:pPr>
        <w:pStyle w:val="23"/>
      </w:pPr>
      <w:r>
        <w:t>绩效指标：完成失业率抽样调查，推算本年度失业人口占全部劳动力（就业人口和失业人口和）的百分比。</w:t>
      </w:r>
    </w:p>
    <w:p>
      <w:pPr>
        <w:pStyle w:val="23"/>
      </w:pPr>
      <w:r>
        <w:t>（二）完成本年度住户抽样调查工作</w:t>
      </w:r>
    </w:p>
    <w:p>
      <w:pPr>
        <w:pStyle w:val="23"/>
      </w:pPr>
      <w:r>
        <w:t>绩效目标：做好本年度住户抽样调查工作。</w:t>
      </w:r>
    </w:p>
    <w:p>
      <w:pPr>
        <w:pStyle w:val="23"/>
      </w:pPr>
      <w:r>
        <w:t>绩效指标：完成住户抽样调查，推算本年度人均可支配收入。</w:t>
      </w:r>
    </w:p>
    <w:p>
      <w:pPr>
        <w:pStyle w:val="23"/>
      </w:pPr>
      <w:r>
        <w:t>（三）完成本年度粮食产量抽样调查工作</w:t>
      </w:r>
    </w:p>
    <w:p>
      <w:pPr>
        <w:pStyle w:val="23"/>
      </w:pPr>
      <w:r>
        <w:t>绩效目标：做好本年度粮食产量抽样调查工作。</w:t>
      </w:r>
    </w:p>
    <w:p>
      <w:pPr>
        <w:pStyle w:val="23"/>
      </w:pPr>
      <w:r>
        <w:t>绩效指标：完成粮食产量抽样调查，推算本年度农作物种植情况。</w:t>
      </w:r>
    </w:p>
    <w:p>
      <w:pPr>
        <w:pStyle w:val="23"/>
      </w:pPr>
      <w:r>
        <w:t>（四）完成本年度人口变动抽样调查工作</w:t>
      </w:r>
    </w:p>
    <w:p>
      <w:pPr>
        <w:pStyle w:val="23"/>
      </w:pPr>
      <w:r>
        <w:t>绩效目标：做好本年度人口变动抽样调查工作。</w:t>
      </w:r>
    </w:p>
    <w:p>
      <w:pPr>
        <w:pStyle w:val="23"/>
      </w:pPr>
      <w:r>
        <w:t>绩效指标：完成人口变动抽样调查，推算本年度全部人口相应各项指标数值。</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贯彻执行国家国民经济核算制度，组织实施全县国民经济核算制度和投入产出调查，核算全县生产总值，整理、测算和提供国民经济核算资料，监督管理全县国民经济核算工作。组织完成国家部署的国情国力普查及重要调查任务，研究提出重大县情县力普查和抽样调查计划并组织实施，汇总、整理和提供有关县情县力方面的统计数据。根据部门职责及《中华人民共和国统计法》和国家统计局、县政府有关文件要求，组织实施涉及相关行业数据的专项统计调查。 管理全县统计数据库网络；指导全县统计信息化系统建设。组织全县统计系统各级各专业实施以企业一套表制度为核心的统计四大工程：建立并管理全县统计信息自动化系统和统计数据库系统。健全全县统计法制建设，严格查处统计违法现象，加强统计基层基础建设，保障机关日常运转，开展计财内审、人事管理、老干部管理、党建、后勤、等工作。</w:t>
      </w:r>
    </w:p>
    <w:p>
      <w:pPr>
        <w:pStyle w:val="24"/>
        <w:sectPr>
          <w:pgSz w:w="16840" w:h="11900" w:orient="landscape"/>
          <w:pgMar w:top="1361" w:right="1020" w:bottom="1361" w:left="1020" w:header="720" w:footer="720" w:gutter="0"/>
          <w:cols w:space="720" w:num="1"/>
        </w:sectPr>
      </w:pPr>
      <w:r>
        <w:t>加强绩效运行监控。驰而不息地抓好统计基层基础建设工作，不定期组织人员到乡镇、企业进行统计基础工作检查和指导，及时解决基层遇到的问题和困难，积极打造星级基层统计站，使乡镇统计站和直报企业统计基础工作全面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1、住户抽样调查绩效目标表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13013026P00006610021J</w:t>
            </w:r>
          </w:p>
        </w:tc>
        <w:tc>
          <w:tcPr>
            <w:tcW w:w="2835" w:type="dxa"/>
            <w:vAlign w:val="center"/>
          </w:tcPr>
          <w:p>
            <w:pPr>
              <w:pStyle w:val="11"/>
            </w:pPr>
            <w:r>
              <w:t>项目名称</w:t>
            </w:r>
          </w:p>
        </w:tc>
        <w:tc>
          <w:tcPr>
            <w:tcW w:w="6095" w:type="dxa"/>
            <w:gridSpan w:val="3"/>
            <w:vAlign w:val="center"/>
          </w:tcPr>
          <w:p>
            <w:pPr>
              <w:pStyle w:val="13"/>
            </w:pPr>
            <w:r>
              <w:t>住户抽样调查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w:t>
            </w:r>
          </w:p>
        </w:tc>
        <w:tc>
          <w:tcPr>
            <w:tcW w:w="2835" w:type="dxa"/>
            <w:vAlign w:val="center"/>
          </w:tcPr>
          <w:p>
            <w:pPr>
              <w:pStyle w:val="11"/>
            </w:pPr>
            <w:r>
              <w:t>其中：财政    资金</w:t>
            </w:r>
          </w:p>
        </w:tc>
        <w:tc>
          <w:tcPr>
            <w:tcW w:w="2551" w:type="dxa"/>
            <w:vAlign w:val="center"/>
          </w:tcPr>
          <w:p>
            <w:pPr>
              <w:pStyle w:val="13"/>
            </w:pPr>
            <w:r>
              <w:t>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完成本年度住户抽样调查工作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1.完成住户抽样调查工作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验收合格比%</w:t>
            </w:r>
          </w:p>
        </w:tc>
        <w:tc>
          <w:tcPr>
            <w:tcW w:w="5386" w:type="dxa"/>
            <w:vAlign w:val="center"/>
          </w:tcPr>
          <w:p>
            <w:pPr>
              <w:pStyle w:val="13"/>
            </w:pPr>
            <w:r>
              <w:t>验收合格比%</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社会效益提升%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≥90百分比</w:t>
            </w:r>
          </w:p>
        </w:tc>
        <w:tc>
          <w:tcPr>
            <w:tcW w:w="1276" w:type="dxa"/>
            <w:vAlign w:val="center"/>
          </w:tcPr>
          <w:p>
            <w:pPr>
              <w:pStyle w:val="13"/>
            </w:pPr>
            <w:r>
              <w:t>政府文件</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410无极县统计局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无极县统计局（含所属单位）上年末固定资产金额为184.00万元（详见下表）。本年度拟购置固定资产总额为0.00万元，已按要求列入政府采购预算，详见政府采购预算表。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410无极县统计局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169.79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762172"/>
    <w:rsid w:val="6A0C646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2026-02-26T09:37:00Z</dcterms:created>
  <dc:creator>Administrator</dc:creator>
  <cp:lastModifiedBy>李润泽</cp:lastModifiedBy>
  <dcterms:modified xsi:type="dcterms:W3CDTF">2026-03-02T05:57:21Z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4DA8409FE5D549F59F0E2431DBA8B9BF</vt:lpwstr>
  </property>
</Properties>
</file>