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562" w:firstLineChars="20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562" w:firstLineChars="20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324无极县自然资源和规划局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2555.60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2418.20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2555.60</w:t>
            </w:r>
          </w:p>
        </w:tc>
        <w:tc>
          <w:tcPr>
            <w:tcW w:w="4535" w:type="dxa"/>
            <w:vAlign w:val="center"/>
          </w:tcPr>
          <w:p>
            <w:pPr>
              <w:pStyle w:val="15"/>
            </w:pPr>
            <w:r>
              <w:t>本年支出合计</w:t>
            </w:r>
          </w:p>
        </w:tc>
        <w:tc>
          <w:tcPr>
            <w:tcW w:w="2126" w:type="dxa"/>
            <w:vAlign w:val="center"/>
          </w:tcPr>
          <w:p>
            <w:pPr>
              <w:pStyle w:val="16"/>
            </w:pPr>
            <w:r>
              <w:t>2585.60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2585.60</w:t>
            </w:r>
          </w:p>
        </w:tc>
        <w:tc>
          <w:tcPr>
            <w:tcW w:w="4535" w:type="dxa"/>
            <w:vAlign w:val="center"/>
          </w:tcPr>
          <w:p>
            <w:pPr>
              <w:pStyle w:val="15"/>
            </w:pPr>
            <w:r>
              <w:t>支出总计</w:t>
            </w:r>
          </w:p>
        </w:tc>
        <w:tc>
          <w:tcPr>
            <w:tcW w:w="2126" w:type="dxa"/>
            <w:vAlign w:val="center"/>
          </w:tcPr>
          <w:p>
            <w:pPr>
              <w:pStyle w:val="16"/>
            </w:pPr>
            <w:r>
              <w:t>2585.60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642"/>
        <w:gridCol w:w="960"/>
        <w:gridCol w:w="915"/>
        <w:gridCol w:w="1200"/>
        <w:gridCol w:w="930"/>
        <w:gridCol w:w="825"/>
        <w:gridCol w:w="945"/>
        <w:gridCol w:w="945"/>
        <w:gridCol w:w="1095"/>
        <w:gridCol w:w="750"/>
        <w:gridCol w:w="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9" w:type="dxa"/>
            <w:gridSpan w:val="5"/>
            <w:tcBorders>
              <w:top w:val="single" w:color="FFFFFF" w:sz="6" w:space="0"/>
              <w:left w:val="single" w:color="FFFFFF" w:sz="6" w:space="0"/>
              <w:right w:val="single" w:color="FFFFFF" w:sz="6" w:space="0"/>
            </w:tcBorders>
            <w:vAlign w:val="center"/>
          </w:tcPr>
          <w:p>
            <w:pPr>
              <w:pStyle w:val="10"/>
            </w:pPr>
            <w:r>
              <w:t>324无极县自然资源和规划局</w:t>
            </w:r>
          </w:p>
        </w:tc>
        <w:tc>
          <w:tcPr>
            <w:tcW w:w="2955"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427"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4634" w:type="dxa"/>
            <w:gridSpan w:val="2"/>
            <w:vAlign w:val="center"/>
          </w:tcPr>
          <w:p>
            <w:pPr>
              <w:pStyle w:val="11"/>
            </w:pPr>
            <w:r>
              <w:t>功能分类科目</w:t>
            </w:r>
          </w:p>
        </w:tc>
        <w:tc>
          <w:tcPr>
            <w:tcW w:w="960" w:type="dxa"/>
            <w:vMerge w:val="restart"/>
            <w:vAlign w:val="center"/>
          </w:tcPr>
          <w:p>
            <w:pPr>
              <w:pStyle w:val="11"/>
            </w:pPr>
            <w:r>
              <w:t>合计</w:t>
            </w:r>
          </w:p>
        </w:tc>
        <w:tc>
          <w:tcPr>
            <w:tcW w:w="7605" w:type="dxa"/>
            <w:gridSpan w:val="8"/>
            <w:vAlign w:val="center"/>
          </w:tcPr>
          <w:p>
            <w:pPr>
              <w:pStyle w:val="11"/>
            </w:pPr>
            <w:r>
              <w:t>本年收入</w:t>
            </w:r>
          </w:p>
        </w:tc>
        <w:tc>
          <w:tcPr>
            <w:tcW w:w="692"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3642" w:type="dxa"/>
            <w:vAlign w:val="center"/>
          </w:tcPr>
          <w:p>
            <w:pPr>
              <w:pStyle w:val="11"/>
            </w:pPr>
            <w:r>
              <w:t>科目名称</w:t>
            </w:r>
          </w:p>
        </w:tc>
        <w:tc>
          <w:tcPr>
            <w:tcW w:w="960" w:type="dxa"/>
            <w:vMerge w:val="continue"/>
          </w:tcPr>
          <w:p/>
        </w:tc>
        <w:tc>
          <w:tcPr>
            <w:tcW w:w="915" w:type="dxa"/>
            <w:vAlign w:val="center"/>
          </w:tcPr>
          <w:p>
            <w:pPr>
              <w:pStyle w:val="11"/>
            </w:pPr>
            <w:r>
              <w:t>小计</w:t>
            </w:r>
          </w:p>
        </w:tc>
        <w:tc>
          <w:tcPr>
            <w:tcW w:w="1200" w:type="dxa"/>
            <w:vAlign w:val="center"/>
          </w:tcPr>
          <w:p>
            <w:pPr>
              <w:pStyle w:val="11"/>
            </w:pPr>
            <w:r>
              <w:t>财政拨款 收入</w:t>
            </w:r>
          </w:p>
        </w:tc>
        <w:tc>
          <w:tcPr>
            <w:tcW w:w="930" w:type="dxa"/>
            <w:vAlign w:val="center"/>
          </w:tcPr>
          <w:p>
            <w:pPr>
              <w:pStyle w:val="11"/>
            </w:pPr>
            <w:r>
              <w:t>财政专户 收入</w:t>
            </w:r>
          </w:p>
        </w:tc>
        <w:tc>
          <w:tcPr>
            <w:tcW w:w="825" w:type="dxa"/>
            <w:vAlign w:val="center"/>
          </w:tcPr>
          <w:p>
            <w:pPr>
              <w:pStyle w:val="11"/>
            </w:pPr>
            <w:r>
              <w:t>事业收入</w:t>
            </w:r>
          </w:p>
        </w:tc>
        <w:tc>
          <w:tcPr>
            <w:tcW w:w="945" w:type="dxa"/>
            <w:vAlign w:val="center"/>
          </w:tcPr>
          <w:p>
            <w:pPr>
              <w:pStyle w:val="11"/>
            </w:pPr>
            <w:r>
              <w:t>经营收入</w:t>
            </w:r>
          </w:p>
        </w:tc>
        <w:tc>
          <w:tcPr>
            <w:tcW w:w="945" w:type="dxa"/>
            <w:vAlign w:val="center"/>
          </w:tcPr>
          <w:p>
            <w:pPr>
              <w:pStyle w:val="11"/>
            </w:pPr>
            <w:r>
              <w:t>上级补助收入</w:t>
            </w:r>
          </w:p>
        </w:tc>
        <w:tc>
          <w:tcPr>
            <w:tcW w:w="1095" w:type="dxa"/>
            <w:vAlign w:val="center"/>
          </w:tcPr>
          <w:p>
            <w:pPr>
              <w:pStyle w:val="11"/>
            </w:pPr>
            <w:r>
              <w:t>附属单位上缴收入</w:t>
            </w:r>
          </w:p>
        </w:tc>
        <w:tc>
          <w:tcPr>
            <w:tcW w:w="750" w:type="dxa"/>
            <w:vAlign w:val="center"/>
          </w:tcPr>
          <w:p>
            <w:pPr>
              <w:pStyle w:val="11"/>
            </w:pPr>
            <w:r>
              <w:t>其他收入</w:t>
            </w:r>
          </w:p>
        </w:tc>
        <w:tc>
          <w:tcPr>
            <w:tcW w:w="6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3642" w:type="dxa"/>
            <w:vAlign w:val="center"/>
          </w:tcPr>
          <w:p>
            <w:pPr>
              <w:pStyle w:val="11"/>
            </w:pPr>
            <w:r>
              <w:t>2</w:t>
            </w:r>
          </w:p>
        </w:tc>
        <w:tc>
          <w:tcPr>
            <w:tcW w:w="960" w:type="dxa"/>
            <w:vAlign w:val="center"/>
          </w:tcPr>
          <w:p>
            <w:pPr>
              <w:pStyle w:val="11"/>
            </w:pPr>
            <w:r>
              <w:t>3</w:t>
            </w:r>
          </w:p>
        </w:tc>
        <w:tc>
          <w:tcPr>
            <w:tcW w:w="915" w:type="dxa"/>
            <w:vAlign w:val="center"/>
          </w:tcPr>
          <w:p>
            <w:pPr>
              <w:pStyle w:val="11"/>
            </w:pPr>
            <w:r>
              <w:t>4</w:t>
            </w:r>
          </w:p>
        </w:tc>
        <w:tc>
          <w:tcPr>
            <w:tcW w:w="1200" w:type="dxa"/>
            <w:vAlign w:val="center"/>
          </w:tcPr>
          <w:p>
            <w:pPr>
              <w:pStyle w:val="11"/>
            </w:pPr>
            <w:r>
              <w:t>5</w:t>
            </w:r>
          </w:p>
        </w:tc>
        <w:tc>
          <w:tcPr>
            <w:tcW w:w="930" w:type="dxa"/>
            <w:vAlign w:val="center"/>
          </w:tcPr>
          <w:p>
            <w:pPr>
              <w:pStyle w:val="11"/>
            </w:pPr>
            <w:r>
              <w:t>6</w:t>
            </w:r>
          </w:p>
        </w:tc>
        <w:tc>
          <w:tcPr>
            <w:tcW w:w="825" w:type="dxa"/>
            <w:vAlign w:val="center"/>
          </w:tcPr>
          <w:p>
            <w:pPr>
              <w:pStyle w:val="11"/>
            </w:pPr>
            <w:r>
              <w:t>7</w:t>
            </w:r>
          </w:p>
        </w:tc>
        <w:tc>
          <w:tcPr>
            <w:tcW w:w="945" w:type="dxa"/>
            <w:vAlign w:val="center"/>
          </w:tcPr>
          <w:p>
            <w:pPr>
              <w:pStyle w:val="11"/>
            </w:pPr>
            <w:r>
              <w:t>8</w:t>
            </w:r>
          </w:p>
        </w:tc>
        <w:tc>
          <w:tcPr>
            <w:tcW w:w="945" w:type="dxa"/>
            <w:vAlign w:val="center"/>
          </w:tcPr>
          <w:p>
            <w:pPr>
              <w:pStyle w:val="11"/>
            </w:pPr>
            <w:r>
              <w:t>9</w:t>
            </w:r>
          </w:p>
        </w:tc>
        <w:tc>
          <w:tcPr>
            <w:tcW w:w="1095" w:type="dxa"/>
            <w:vAlign w:val="center"/>
          </w:tcPr>
          <w:p>
            <w:pPr>
              <w:pStyle w:val="11"/>
            </w:pPr>
            <w:r>
              <w:t>10</w:t>
            </w:r>
          </w:p>
        </w:tc>
        <w:tc>
          <w:tcPr>
            <w:tcW w:w="750" w:type="dxa"/>
            <w:vAlign w:val="center"/>
          </w:tcPr>
          <w:p>
            <w:pPr>
              <w:pStyle w:val="11"/>
            </w:pPr>
            <w:r>
              <w:t>11</w:t>
            </w:r>
          </w:p>
        </w:tc>
        <w:tc>
          <w:tcPr>
            <w:tcW w:w="692"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3642" w:type="dxa"/>
            <w:vAlign w:val="center"/>
          </w:tcPr>
          <w:p>
            <w:pPr>
              <w:pStyle w:val="15"/>
            </w:pPr>
            <w:r>
              <w:t>合计</w:t>
            </w:r>
          </w:p>
        </w:tc>
        <w:tc>
          <w:tcPr>
            <w:tcW w:w="960" w:type="dxa"/>
            <w:vAlign w:val="center"/>
          </w:tcPr>
          <w:p>
            <w:pPr>
              <w:pStyle w:val="16"/>
            </w:pPr>
            <w:r>
              <w:t>2585.60</w:t>
            </w:r>
          </w:p>
        </w:tc>
        <w:tc>
          <w:tcPr>
            <w:tcW w:w="915" w:type="dxa"/>
            <w:vAlign w:val="center"/>
          </w:tcPr>
          <w:p>
            <w:pPr>
              <w:pStyle w:val="16"/>
            </w:pPr>
            <w:r>
              <w:t>2555.60</w:t>
            </w:r>
          </w:p>
        </w:tc>
        <w:tc>
          <w:tcPr>
            <w:tcW w:w="1200" w:type="dxa"/>
            <w:vAlign w:val="center"/>
          </w:tcPr>
          <w:p>
            <w:pPr>
              <w:pStyle w:val="16"/>
            </w:pPr>
            <w:bookmarkStart w:id="20" w:name="_GoBack"/>
            <w:bookmarkEnd w:id="20"/>
            <w:r>
              <w:t>2555.60</w:t>
            </w:r>
          </w:p>
        </w:tc>
        <w:tc>
          <w:tcPr>
            <w:tcW w:w="930" w:type="dxa"/>
            <w:vAlign w:val="center"/>
          </w:tcPr>
          <w:p>
            <w:pPr>
              <w:pStyle w:val="16"/>
            </w:pPr>
          </w:p>
        </w:tc>
        <w:tc>
          <w:tcPr>
            <w:tcW w:w="825" w:type="dxa"/>
            <w:vAlign w:val="center"/>
          </w:tcPr>
          <w:p>
            <w:pPr>
              <w:pStyle w:val="16"/>
            </w:pPr>
          </w:p>
        </w:tc>
        <w:tc>
          <w:tcPr>
            <w:tcW w:w="945" w:type="dxa"/>
            <w:vAlign w:val="center"/>
          </w:tcPr>
          <w:p>
            <w:pPr>
              <w:pStyle w:val="16"/>
            </w:pPr>
          </w:p>
        </w:tc>
        <w:tc>
          <w:tcPr>
            <w:tcW w:w="945" w:type="dxa"/>
            <w:vAlign w:val="center"/>
          </w:tcPr>
          <w:p>
            <w:pPr>
              <w:pStyle w:val="16"/>
            </w:pPr>
          </w:p>
        </w:tc>
        <w:tc>
          <w:tcPr>
            <w:tcW w:w="1095" w:type="dxa"/>
            <w:vAlign w:val="center"/>
          </w:tcPr>
          <w:p>
            <w:pPr>
              <w:pStyle w:val="16"/>
            </w:pPr>
          </w:p>
        </w:tc>
        <w:tc>
          <w:tcPr>
            <w:tcW w:w="750" w:type="dxa"/>
            <w:vAlign w:val="center"/>
          </w:tcPr>
          <w:p>
            <w:pPr>
              <w:pStyle w:val="16"/>
            </w:pPr>
          </w:p>
        </w:tc>
        <w:tc>
          <w:tcPr>
            <w:tcW w:w="692"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3642" w:type="dxa"/>
            <w:vAlign w:val="center"/>
          </w:tcPr>
          <w:p>
            <w:pPr>
              <w:pStyle w:val="13"/>
            </w:pPr>
            <w:r>
              <w:t>社会保障和就业支出</w:t>
            </w:r>
          </w:p>
        </w:tc>
        <w:tc>
          <w:tcPr>
            <w:tcW w:w="960" w:type="dxa"/>
            <w:vAlign w:val="center"/>
          </w:tcPr>
          <w:p>
            <w:pPr>
              <w:pStyle w:val="12"/>
            </w:pPr>
            <w:r>
              <w:t>107.40</w:t>
            </w:r>
          </w:p>
        </w:tc>
        <w:tc>
          <w:tcPr>
            <w:tcW w:w="915" w:type="dxa"/>
            <w:vAlign w:val="center"/>
          </w:tcPr>
          <w:p>
            <w:pPr>
              <w:pStyle w:val="12"/>
            </w:pPr>
            <w:r>
              <w:t>107.40</w:t>
            </w:r>
          </w:p>
        </w:tc>
        <w:tc>
          <w:tcPr>
            <w:tcW w:w="1200" w:type="dxa"/>
            <w:vAlign w:val="center"/>
          </w:tcPr>
          <w:p>
            <w:pPr>
              <w:pStyle w:val="12"/>
            </w:pPr>
            <w:r>
              <w:t>107.40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3642" w:type="dxa"/>
            <w:vAlign w:val="center"/>
          </w:tcPr>
          <w:p>
            <w:pPr>
              <w:pStyle w:val="13"/>
            </w:pPr>
            <w:r>
              <w:t>行政事业单位养老支出</w:t>
            </w:r>
          </w:p>
        </w:tc>
        <w:tc>
          <w:tcPr>
            <w:tcW w:w="960" w:type="dxa"/>
            <w:vAlign w:val="center"/>
          </w:tcPr>
          <w:p>
            <w:pPr>
              <w:pStyle w:val="12"/>
            </w:pPr>
            <w:r>
              <w:t>102.00</w:t>
            </w:r>
          </w:p>
        </w:tc>
        <w:tc>
          <w:tcPr>
            <w:tcW w:w="915" w:type="dxa"/>
            <w:vAlign w:val="center"/>
          </w:tcPr>
          <w:p>
            <w:pPr>
              <w:pStyle w:val="12"/>
            </w:pPr>
            <w:r>
              <w:t>102.00</w:t>
            </w:r>
          </w:p>
        </w:tc>
        <w:tc>
          <w:tcPr>
            <w:tcW w:w="1200" w:type="dxa"/>
            <w:vAlign w:val="center"/>
          </w:tcPr>
          <w:p>
            <w:pPr>
              <w:pStyle w:val="12"/>
            </w:pPr>
            <w:r>
              <w:t>102.00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3642" w:type="dxa"/>
            <w:vAlign w:val="center"/>
          </w:tcPr>
          <w:p>
            <w:pPr>
              <w:pStyle w:val="13"/>
            </w:pPr>
            <w:r>
              <w:t>机关事业单位基本养老保险缴费支出</w:t>
            </w:r>
          </w:p>
        </w:tc>
        <w:tc>
          <w:tcPr>
            <w:tcW w:w="960" w:type="dxa"/>
            <w:vAlign w:val="center"/>
          </w:tcPr>
          <w:p>
            <w:pPr>
              <w:pStyle w:val="12"/>
            </w:pPr>
            <w:r>
              <w:t>102.00</w:t>
            </w:r>
          </w:p>
        </w:tc>
        <w:tc>
          <w:tcPr>
            <w:tcW w:w="915" w:type="dxa"/>
            <w:vAlign w:val="center"/>
          </w:tcPr>
          <w:p>
            <w:pPr>
              <w:pStyle w:val="12"/>
            </w:pPr>
            <w:r>
              <w:t>102.00</w:t>
            </w:r>
          </w:p>
        </w:tc>
        <w:tc>
          <w:tcPr>
            <w:tcW w:w="1200" w:type="dxa"/>
            <w:vAlign w:val="center"/>
          </w:tcPr>
          <w:p>
            <w:pPr>
              <w:pStyle w:val="12"/>
            </w:pPr>
            <w:r>
              <w:t>102.00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20827</w:t>
            </w:r>
          </w:p>
        </w:tc>
        <w:tc>
          <w:tcPr>
            <w:tcW w:w="3642" w:type="dxa"/>
            <w:vAlign w:val="center"/>
          </w:tcPr>
          <w:p>
            <w:pPr>
              <w:pStyle w:val="13"/>
            </w:pPr>
            <w:r>
              <w:t>财政对其他社会保险基金的补助</w:t>
            </w:r>
          </w:p>
        </w:tc>
        <w:tc>
          <w:tcPr>
            <w:tcW w:w="960" w:type="dxa"/>
            <w:vAlign w:val="center"/>
          </w:tcPr>
          <w:p>
            <w:pPr>
              <w:pStyle w:val="12"/>
            </w:pPr>
            <w:r>
              <w:t>5.40</w:t>
            </w:r>
          </w:p>
        </w:tc>
        <w:tc>
          <w:tcPr>
            <w:tcW w:w="915" w:type="dxa"/>
            <w:vAlign w:val="center"/>
          </w:tcPr>
          <w:p>
            <w:pPr>
              <w:pStyle w:val="12"/>
            </w:pPr>
            <w:r>
              <w:t>5.40</w:t>
            </w:r>
          </w:p>
        </w:tc>
        <w:tc>
          <w:tcPr>
            <w:tcW w:w="1200" w:type="dxa"/>
            <w:vAlign w:val="center"/>
          </w:tcPr>
          <w:p>
            <w:pPr>
              <w:pStyle w:val="12"/>
            </w:pPr>
            <w:r>
              <w:t>5.40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2082701</w:t>
            </w:r>
          </w:p>
        </w:tc>
        <w:tc>
          <w:tcPr>
            <w:tcW w:w="3642" w:type="dxa"/>
            <w:vAlign w:val="center"/>
          </w:tcPr>
          <w:p>
            <w:pPr>
              <w:pStyle w:val="13"/>
            </w:pPr>
            <w:r>
              <w:t>财政对失业保险基金的补助</w:t>
            </w:r>
          </w:p>
        </w:tc>
        <w:tc>
          <w:tcPr>
            <w:tcW w:w="960" w:type="dxa"/>
            <w:vAlign w:val="center"/>
          </w:tcPr>
          <w:p>
            <w:pPr>
              <w:pStyle w:val="12"/>
            </w:pPr>
            <w:r>
              <w:t>2.80</w:t>
            </w:r>
          </w:p>
        </w:tc>
        <w:tc>
          <w:tcPr>
            <w:tcW w:w="915" w:type="dxa"/>
            <w:vAlign w:val="center"/>
          </w:tcPr>
          <w:p>
            <w:pPr>
              <w:pStyle w:val="12"/>
            </w:pPr>
            <w:r>
              <w:t>2.80</w:t>
            </w:r>
          </w:p>
        </w:tc>
        <w:tc>
          <w:tcPr>
            <w:tcW w:w="1200" w:type="dxa"/>
            <w:vAlign w:val="center"/>
          </w:tcPr>
          <w:p>
            <w:pPr>
              <w:pStyle w:val="12"/>
            </w:pPr>
            <w:r>
              <w:t>2.80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2082702</w:t>
            </w:r>
          </w:p>
        </w:tc>
        <w:tc>
          <w:tcPr>
            <w:tcW w:w="3642" w:type="dxa"/>
            <w:vAlign w:val="center"/>
          </w:tcPr>
          <w:p>
            <w:pPr>
              <w:pStyle w:val="13"/>
            </w:pPr>
            <w:r>
              <w:t>财政对工伤保险基金的补助</w:t>
            </w:r>
          </w:p>
        </w:tc>
        <w:tc>
          <w:tcPr>
            <w:tcW w:w="960" w:type="dxa"/>
            <w:vAlign w:val="center"/>
          </w:tcPr>
          <w:p>
            <w:pPr>
              <w:pStyle w:val="12"/>
            </w:pPr>
            <w:r>
              <w:t>2.60</w:t>
            </w:r>
          </w:p>
        </w:tc>
        <w:tc>
          <w:tcPr>
            <w:tcW w:w="915" w:type="dxa"/>
            <w:vAlign w:val="center"/>
          </w:tcPr>
          <w:p>
            <w:pPr>
              <w:pStyle w:val="12"/>
            </w:pPr>
            <w:r>
              <w:t>2.60</w:t>
            </w:r>
          </w:p>
        </w:tc>
        <w:tc>
          <w:tcPr>
            <w:tcW w:w="1200" w:type="dxa"/>
            <w:vAlign w:val="center"/>
          </w:tcPr>
          <w:p>
            <w:pPr>
              <w:pStyle w:val="12"/>
            </w:pPr>
            <w:r>
              <w:t>2.60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3642" w:type="dxa"/>
            <w:vAlign w:val="center"/>
          </w:tcPr>
          <w:p>
            <w:pPr>
              <w:pStyle w:val="13"/>
            </w:pPr>
            <w:r>
              <w:t>卫生健康支出</w:t>
            </w:r>
          </w:p>
        </w:tc>
        <w:tc>
          <w:tcPr>
            <w:tcW w:w="960" w:type="dxa"/>
            <w:vAlign w:val="center"/>
          </w:tcPr>
          <w:p>
            <w:pPr>
              <w:pStyle w:val="12"/>
            </w:pPr>
            <w:r>
              <w:t>40.00</w:t>
            </w:r>
          </w:p>
        </w:tc>
        <w:tc>
          <w:tcPr>
            <w:tcW w:w="915" w:type="dxa"/>
            <w:vAlign w:val="center"/>
          </w:tcPr>
          <w:p>
            <w:pPr>
              <w:pStyle w:val="12"/>
            </w:pPr>
            <w:r>
              <w:t>40.00</w:t>
            </w:r>
          </w:p>
        </w:tc>
        <w:tc>
          <w:tcPr>
            <w:tcW w:w="1200" w:type="dxa"/>
            <w:vAlign w:val="center"/>
          </w:tcPr>
          <w:p>
            <w:pPr>
              <w:pStyle w:val="12"/>
            </w:pPr>
            <w:r>
              <w:t>40.00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3642" w:type="dxa"/>
            <w:vAlign w:val="center"/>
          </w:tcPr>
          <w:p>
            <w:pPr>
              <w:pStyle w:val="13"/>
            </w:pPr>
            <w:r>
              <w:t>行政事业单位医疗</w:t>
            </w:r>
          </w:p>
        </w:tc>
        <w:tc>
          <w:tcPr>
            <w:tcW w:w="960" w:type="dxa"/>
            <w:vAlign w:val="center"/>
          </w:tcPr>
          <w:p>
            <w:pPr>
              <w:pStyle w:val="12"/>
            </w:pPr>
            <w:r>
              <w:t>40.00</w:t>
            </w:r>
          </w:p>
        </w:tc>
        <w:tc>
          <w:tcPr>
            <w:tcW w:w="915" w:type="dxa"/>
            <w:vAlign w:val="center"/>
          </w:tcPr>
          <w:p>
            <w:pPr>
              <w:pStyle w:val="12"/>
            </w:pPr>
            <w:r>
              <w:t>40.00</w:t>
            </w:r>
          </w:p>
        </w:tc>
        <w:tc>
          <w:tcPr>
            <w:tcW w:w="1200" w:type="dxa"/>
            <w:vAlign w:val="center"/>
          </w:tcPr>
          <w:p>
            <w:pPr>
              <w:pStyle w:val="12"/>
            </w:pPr>
            <w:r>
              <w:t>40.00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3642" w:type="dxa"/>
            <w:vAlign w:val="center"/>
          </w:tcPr>
          <w:p>
            <w:pPr>
              <w:pStyle w:val="13"/>
            </w:pPr>
            <w:r>
              <w:t>行政单位医疗</w:t>
            </w:r>
          </w:p>
        </w:tc>
        <w:tc>
          <w:tcPr>
            <w:tcW w:w="960" w:type="dxa"/>
            <w:vAlign w:val="center"/>
          </w:tcPr>
          <w:p>
            <w:pPr>
              <w:pStyle w:val="12"/>
            </w:pPr>
            <w:r>
              <w:t>40.00</w:t>
            </w:r>
          </w:p>
        </w:tc>
        <w:tc>
          <w:tcPr>
            <w:tcW w:w="915" w:type="dxa"/>
            <w:vAlign w:val="center"/>
          </w:tcPr>
          <w:p>
            <w:pPr>
              <w:pStyle w:val="12"/>
            </w:pPr>
            <w:r>
              <w:t>40.00</w:t>
            </w:r>
          </w:p>
        </w:tc>
        <w:tc>
          <w:tcPr>
            <w:tcW w:w="1200" w:type="dxa"/>
            <w:vAlign w:val="center"/>
          </w:tcPr>
          <w:p>
            <w:pPr>
              <w:pStyle w:val="12"/>
            </w:pPr>
            <w:r>
              <w:t>40.00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w:t>
            </w:r>
          </w:p>
        </w:tc>
        <w:tc>
          <w:tcPr>
            <w:tcW w:w="3642" w:type="dxa"/>
            <w:vAlign w:val="center"/>
          </w:tcPr>
          <w:p>
            <w:pPr>
              <w:pStyle w:val="13"/>
            </w:pPr>
            <w:r>
              <w:t>节能环保支出</w:t>
            </w:r>
          </w:p>
        </w:tc>
        <w:tc>
          <w:tcPr>
            <w:tcW w:w="960" w:type="dxa"/>
            <w:vAlign w:val="center"/>
          </w:tcPr>
          <w:p>
            <w:pPr>
              <w:pStyle w:val="12"/>
            </w:pPr>
            <w:r>
              <w:t>5.00</w:t>
            </w:r>
          </w:p>
        </w:tc>
        <w:tc>
          <w:tcPr>
            <w:tcW w:w="915" w:type="dxa"/>
            <w:vAlign w:val="center"/>
          </w:tcPr>
          <w:p>
            <w:pPr>
              <w:pStyle w:val="12"/>
            </w:pPr>
            <w:r>
              <w:t>5.00</w:t>
            </w:r>
          </w:p>
        </w:tc>
        <w:tc>
          <w:tcPr>
            <w:tcW w:w="1200" w:type="dxa"/>
            <w:vAlign w:val="center"/>
          </w:tcPr>
          <w:p>
            <w:pPr>
              <w:pStyle w:val="12"/>
            </w:pPr>
            <w:r>
              <w:t>5.00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21104</w:t>
            </w:r>
          </w:p>
        </w:tc>
        <w:tc>
          <w:tcPr>
            <w:tcW w:w="3642" w:type="dxa"/>
            <w:vAlign w:val="center"/>
          </w:tcPr>
          <w:p>
            <w:pPr>
              <w:pStyle w:val="13"/>
            </w:pPr>
            <w:r>
              <w:t>自然生态保护</w:t>
            </w:r>
          </w:p>
        </w:tc>
        <w:tc>
          <w:tcPr>
            <w:tcW w:w="960" w:type="dxa"/>
            <w:vAlign w:val="center"/>
          </w:tcPr>
          <w:p>
            <w:pPr>
              <w:pStyle w:val="12"/>
            </w:pPr>
            <w:r>
              <w:t>5.00</w:t>
            </w:r>
          </w:p>
        </w:tc>
        <w:tc>
          <w:tcPr>
            <w:tcW w:w="915" w:type="dxa"/>
            <w:vAlign w:val="center"/>
          </w:tcPr>
          <w:p>
            <w:pPr>
              <w:pStyle w:val="12"/>
            </w:pPr>
            <w:r>
              <w:t>5.00</w:t>
            </w:r>
          </w:p>
        </w:tc>
        <w:tc>
          <w:tcPr>
            <w:tcW w:w="1200" w:type="dxa"/>
            <w:vAlign w:val="center"/>
          </w:tcPr>
          <w:p>
            <w:pPr>
              <w:pStyle w:val="12"/>
            </w:pPr>
            <w:r>
              <w:t>5.00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2110406</w:t>
            </w:r>
          </w:p>
        </w:tc>
        <w:tc>
          <w:tcPr>
            <w:tcW w:w="3642" w:type="dxa"/>
            <w:vAlign w:val="center"/>
          </w:tcPr>
          <w:p>
            <w:pPr>
              <w:pStyle w:val="13"/>
            </w:pPr>
            <w:r>
              <w:t>自然保护地</w:t>
            </w:r>
          </w:p>
        </w:tc>
        <w:tc>
          <w:tcPr>
            <w:tcW w:w="960" w:type="dxa"/>
            <w:vAlign w:val="center"/>
          </w:tcPr>
          <w:p>
            <w:pPr>
              <w:pStyle w:val="12"/>
            </w:pPr>
            <w:r>
              <w:t>5.00</w:t>
            </w:r>
          </w:p>
        </w:tc>
        <w:tc>
          <w:tcPr>
            <w:tcW w:w="915" w:type="dxa"/>
            <w:vAlign w:val="center"/>
          </w:tcPr>
          <w:p>
            <w:pPr>
              <w:pStyle w:val="12"/>
            </w:pPr>
            <w:r>
              <w:t>5.00</w:t>
            </w:r>
          </w:p>
        </w:tc>
        <w:tc>
          <w:tcPr>
            <w:tcW w:w="1200" w:type="dxa"/>
            <w:vAlign w:val="center"/>
          </w:tcPr>
          <w:p>
            <w:pPr>
              <w:pStyle w:val="12"/>
            </w:pPr>
            <w:r>
              <w:t>5.00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3642" w:type="dxa"/>
            <w:vAlign w:val="center"/>
          </w:tcPr>
          <w:p>
            <w:pPr>
              <w:pStyle w:val="13"/>
            </w:pPr>
            <w:r>
              <w:t>农林水支出</w:t>
            </w:r>
          </w:p>
        </w:tc>
        <w:tc>
          <w:tcPr>
            <w:tcW w:w="960" w:type="dxa"/>
            <w:vAlign w:val="center"/>
          </w:tcPr>
          <w:p>
            <w:pPr>
              <w:pStyle w:val="12"/>
            </w:pPr>
            <w:r>
              <w:t>15.00</w:t>
            </w:r>
          </w:p>
        </w:tc>
        <w:tc>
          <w:tcPr>
            <w:tcW w:w="915" w:type="dxa"/>
            <w:vAlign w:val="center"/>
          </w:tcPr>
          <w:p>
            <w:pPr>
              <w:pStyle w:val="12"/>
            </w:pPr>
            <w:r>
              <w:t>15.00</w:t>
            </w:r>
          </w:p>
        </w:tc>
        <w:tc>
          <w:tcPr>
            <w:tcW w:w="1200" w:type="dxa"/>
            <w:vAlign w:val="center"/>
          </w:tcPr>
          <w:p>
            <w:pPr>
              <w:pStyle w:val="12"/>
            </w:pPr>
            <w:r>
              <w:t>15.00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21302</w:t>
            </w:r>
          </w:p>
        </w:tc>
        <w:tc>
          <w:tcPr>
            <w:tcW w:w="3642" w:type="dxa"/>
            <w:vAlign w:val="center"/>
          </w:tcPr>
          <w:p>
            <w:pPr>
              <w:pStyle w:val="13"/>
            </w:pPr>
            <w:r>
              <w:t>林业和草原</w:t>
            </w:r>
          </w:p>
        </w:tc>
        <w:tc>
          <w:tcPr>
            <w:tcW w:w="960" w:type="dxa"/>
            <w:vAlign w:val="center"/>
          </w:tcPr>
          <w:p>
            <w:pPr>
              <w:pStyle w:val="12"/>
            </w:pPr>
            <w:r>
              <w:t>15.00</w:t>
            </w:r>
          </w:p>
        </w:tc>
        <w:tc>
          <w:tcPr>
            <w:tcW w:w="915" w:type="dxa"/>
            <w:vAlign w:val="center"/>
          </w:tcPr>
          <w:p>
            <w:pPr>
              <w:pStyle w:val="12"/>
            </w:pPr>
            <w:r>
              <w:t>15.00</w:t>
            </w:r>
          </w:p>
        </w:tc>
        <w:tc>
          <w:tcPr>
            <w:tcW w:w="1200" w:type="dxa"/>
            <w:vAlign w:val="center"/>
          </w:tcPr>
          <w:p>
            <w:pPr>
              <w:pStyle w:val="12"/>
            </w:pPr>
            <w:r>
              <w:t>15.00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2130205</w:t>
            </w:r>
          </w:p>
        </w:tc>
        <w:tc>
          <w:tcPr>
            <w:tcW w:w="3642" w:type="dxa"/>
            <w:vAlign w:val="center"/>
          </w:tcPr>
          <w:p>
            <w:pPr>
              <w:pStyle w:val="13"/>
            </w:pPr>
            <w:r>
              <w:t>森林资源培育</w:t>
            </w:r>
          </w:p>
        </w:tc>
        <w:tc>
          <w:tcPr>
            <w:tcW w:w="960" w:type="dxa"/>
            <w:vAlign w:val="center"/>
          </w:tcPr>
          <w:p>
            <w:pPr>
              <w:pStyle w:val="12"/>
            </w:pPr>
            <w:r>
              <w:t>15.00</w:t>
            </w:r>
          </w:p>
        </w:tc>
        <w:tc>
          <w:tcPr>
            <w:tcW w:w="915" w:type="dxa"/>
            <w:vAlign w:val="center"/>
          </w:tcPr>
          <w:p>
            <w:pPr>
              <w:pStyle w:val="12"/>
            </w:pPr>
            <w:r>
              <w:t>15.00</w:t>
            </w:r>
          </w:p>
        </w:tc>
        <w:tc>
          <w:tcPr>
            <w:tcW w:w="1200" w:type="dxa"/>
            <w:vAlign w:val="center"/>
          </w:tcPr>
          <w:p>
            <w:pPr>
              <w:pStyle w:val="12"/>
            </w:pPr>
            <w:r>
              <w:t>15.00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220</w:t>
            </w:r>
          </w:p>
        </w:tc>
        <w:tc>
          <w:tcPr>
            <w:tcW w:w="3642" w:type="dxa"/>
            <w:vAlign w:val="center"/>
          </w:tcPr>
          <w:p>
            <w:pPr>
              <w:pStyle w:val="13"/>
            </w:pPr>
            <w:r>
              <w:t>自然资源海洋气象等支出</w:t>
            </w:r>
          </w:p>
        </w:tc>
        <w:tc>
          <w:tcPr>
            <w:tcW w:w="960" w:type="dxa"/>
            <w:vAlign w:val="center"/>
          </w:tcPr>
          <w:p>
            <w:pPr>
              <w:pStyle w:val="12"/>
            </w:pPr>
            <w:r>
              <w:t>2418.20</w:t>
            </w:r>
          </w:p>
        </w:tc>
        <w:tc>
          <w:tcPr>
            <w:tcW w:w="915" w:type="dxa"/>
            <w:vAlign w:val="center"/>
          </w:tcPr>
          <w:p>
            <w:pPr>
              <w:pStyle w:val="12"/>
            </w:pPr>
            <w:r>
              <w:t>2388.20</w:t>
            </w:r>
          </w:p>
        </w:tc>
        <w:tc>
          <w:tcPr>
            <w:tcW w:w="1200" w:type="dxa"/>
            <w:vAlign w:val="center"/>
          </w:tcPr>
          <w:p>
            <w:pPr>
              <w:pStyle w:val="12"/>
            </w:pPr>
            <w:r>
              <w:t>2388.20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22001</w:t>
            </w:r>
          </w:p>
        </w:tc>
        <w:tc>
          <w:tcPr>
            <w:tcW w:w="3642" w:type="dxa"/>
            <w:vAlign w:val="center"/>
          </w:tcPr>
          <w:p>
            <w:pPr>
              <w:pStyle w:val="13"/>
            </w:pPr>
            <w:r>
              <w:t>自然资源事务</w:t>
            </w:r>
          </w:p>
        </w:tc>
        <w:tc>
          <w:tcPr>
            <w:tcW w:w="960" w:type="dxa"/>
            <w:vAlign w:val="center"/>
          </w:tcPr>
          <w:p>
            <w:pPr>
              <w:pStyle w:val="12"/>
            </w:pPr>
            <w:r>
              <w:t>2418.20</w:t>
            </w:r>
          </w:p>
        </w:tc>
        <w:tc>
          <w:tcPr>
            <w:tcW w:w="915" w:type="dxa"/>
            <w:vAlign w:val="center"/>
          </w:tcPr>
          <w:p>
            <w:pPr>
              <w:pStyle w:val="12"/>
            </w:pPr>
            <w:r>
              <w:t>2388.20</w:t>
            </w:r>
          </w:p>
        </w:tc>
        <w:tc>
          <w:tcPr>
            <w:tcW w:w="1200" w:type="dxa"/>
            <w:vAlign w:val="center"/>
          </w:tcPr>
          <w:p>
            <w:pPr>
              <w:pStyle w:val="12"/>
            </w:pPr>
            <w:r>
              <w:t>2388.20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2200101</w:t>
            </w:r>
          </w:p>
        </w:tc>
        <w:tc>
          <w:tcPr>
            <w:tcW w:w="3642" w:type="dxa"/>
            <w:vAlign w:val="center"/>
          </w:tcPr>
          <w:p>
            <w:pPr>
              <w:pStyle w:val="13"/>
            </w:pPr>
            <w:r>
              <w:t>行政运行</w:t>
            </w:r>
          </w:p>
        </w:tc>
        <w:tc>
          <w:tcPr>
            <w:tcW w:w="960" w:type="dxa"/>
            <w:vAlign w:val="center"/>
          </w:tcPr>
          <w:p>
            <w:pPr>
              <w:pStyle w:val="12"/>
            </w:pPr>
            <w:r>
              <w:t>2388.20</w:t>
            </w:r>
          </w:p>
        </w:tc>
        <w:tc>
          <w:tcPr>
            <w:tcW w:w="915" w:type="dxa"/>
            <w:vAlign w:val="center"/>
          </w:tcPr>
          <w:p>
            <w:pPr>
              <w:pStyle w:val="12"/>
            </w:pPr>
            <w:r>
              <w:t>2388.20</w:t>
            </w:r>
          </w:p>
        </w:tc>
        <w:tc>
          <w:tcPr>
            <w:tcW w:w="1200" w:type="dxa"/>
            <w:vAlign w:val="center"/>
          </w:tcPr>
          <w:p>
            <w:pPr>
              <w:pStyle w:val="12"/>
            </w:pPr>
            <w:r>
              <w:t>2388.20</w:t>
            </w: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2200106</w:t>
            </w:r>
          </w:p>
        </w:tc>
        <w:tc>
          <w:tcPr>
            <w:tcW w:w="3642" w:type="dxa"/>
            <w:vAlign w:val="center"/>
          </w:tcPr>
          <w:p>
            <w:pPr>
              <w:pStyle w:val="13"/>
            </w:pPr>
            <w:r>
              <w:t>自然资源利用与保护</w:t>
            </w:r>
          </w:p>
        </w:tc>
        <w:tc>
          <w:tcPr>
            <w:tcW w:w="960" w:type="dxa"/>
            <w:vAlign w:val="center"/>
          </w:tcPr>
          <w:p>
            <w:pPr>
              <w:pStyle w:val="12"/>
            </w:pPr>
            <w:r>
              <w:t>30.00</w:t>
            </w:r>
          </w:p>
        </w:tc>
        <w:tc>
          <w:tcPr>
            <w:tcW w:w="915" w:type="dxa"/>
            <w:vAlign w:val="center"/>
          </w:tcPr>
          <w:p>
            <w:pPr>
              <w:pStyle w:val="12"/>
            </w:pPr>
          </w:p>
        </w:tc>
        <w:tc>
          <w:tcPr>
            <w:tcW w:w="1200" w:type="dxa"/>
            <w:vAlign w:val="center"/>
          </w:tcPr>
          <w:p>
            <w:pPr>
              <w:pStyle w:val="12"/>
            </w:pPr>
          </w:p>
        </w:tc>
        <w:tc>
          <w:tcPr>
            <w:tcW w:w="930" w:type="dxa"/>
            <w:vAlign w:val="center"/>
          </w:tcPr>
          <w:p>
            <w:pPr>
              <w:pStyle w:val="12"/>
            </w:pPr>
          </w:p>
        </w:tc>
        <w:tc>
          <w:tcPr>
            <w:tcW w:w="825" w:type="dxa"/>
            <w:vAlign w:val="center"/>
          </w:tcPr>
          <w:p>
            <w:pPr>
              <w:pStyle w:val="12"/>
            </w:pPr>
          </w:p>
        </w:tc>
        <w:tc>
          <w:tcPr>
            <w:tcW w:w="945" w:type="dxa"/>
            <w:vAlign w:val="center"/>
          </w:tcPr>
          <w:p>
            <w:pPr>
              <w:pStyle w:val="12"/>
            </w:pPr>
          </w:p>
        </w:tc>
        <w:tc>
          <w:tcPr>
            <w:tcW w:w="945" w:type="dxa"/>
            <w:vAlign w:val="center"/>
          </w:tcPr>
          <w:p>
            <w:pPr>
              <w:pStyle w:val="12"/>
            </w:pPr>
          </w:p>
        </w:tc>
        <w:tc>
          <w:tcPr>
            <w:tcW w:w="1095" w:type="dxa"/>
            <w:vAlign w:val="center"/>
          </w:tcPr>
          <w:p>
            <w:pPr>
              <w:pStyle w:val="12"/>
            </w:pPr>
          </w:p>
        </w:tc>
        <w:tc>
          <w:tcPr>
            <w:tcW w:w="750" w:type="dxa"/>
            <w:vAlign w:val="center"/>
          </w:tcPr>
          <w:p>
            <w:pPr>
              <w:pStyle w:val="12"/>
            </w:pPr>
          </w:p>
        </w:tc>
        <w:tc>
          <w:tcPr>
            <w:tcW w:w="692" w:type="dxa"/>
            <w:vAlign w:val="center"/>
          </w:tcPr>
          <w:p>
            <w:pPr>
              <w:pStyle w:val="12"/>
            </w:pPr>
            <w:r>
              <w:t>30.00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2585.60</w:t>
            </w:r>
          </w:p>
        </w:tc>
        <w:tc>
          <w:tcPr>
            <w:tcW w:w="1361" w:type="dxa"/>
            <w:vAlign w:val="center"/>
          </w:tcPr>
          <w:p>
            <w:pPr>
              <w:pStyle w:val="16"/>
            </w:pPr>
            <w:r>
              <w:t>2535.60</w:t>
            </w:r>
          </w:p>
        </w:tc>
        <w:tc>
          <w:tcPr>
            <w:tcW w:w="1361" w:type="dxa"/>
            <w:vAlign w:val="center"/>
          </w:tcPr>
          <w:p>
            <w:pPr>
              <w:pStyle w:val="16"/>
            </w:pPr>
            <w:r>
              <w:t>50.00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107.40</w:t>
            </w:r>
          </w:p>
        </w:tc>
        <w:tc>
          <w:tcPr>
            <w:tcW w:w="1361" w:type="dxa"/>
            <w:vAlign w:val="center"/>
          </w:tcPr>
          <w:p>
            <w:pPr>
              <w:pStyle w:val="12"/>
            </w:pPr>
            <w:r>
              <w:t>107.40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102.00</w:t>
            </w:r>
          </w:p>
        </w:tc>
        <w:tc>
          <w:tcPr>
            <w:tcW w:w="1361" w:type="dxa"/>
            <w:vAlign w:val="center"/>
          </w:tcPr>
          <w:p>
            <w:pPr>
              <w:pStyle w:val="12"/>
            </w:pPr>
            <w:r>
              <w:t>102.00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102.00</w:t>
            </w:r>
          </w:p>
        </w:tc>
        <w:tc>
          <w:tcPr>
            <w:tcW w:w="1361" w:type="dxa"/>
            <w:vAlign w:val="center"/>
          </w:tcPr>
          <w:p>
            <w:pPr>
              <w:pStyle w:val="12"/>
            </w:pPr>
            <w:r>
              <w:t>102.00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2.60</w:t>
            </w:r>
          </w:p>
        </w:tc>
        <w:tc>
          <w:tcPr>
            <w:tcW w:w="1361" w:type="dxa"/>
            <w:vAlign w:val="center"/>
          </w:tcPr>
          <w:p>
            <w:pPr>
              <w:pStyle w:val="12"/>
            </w:pPr>
            <w:r>
              <w:t>2.60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2110406</w:t>
            </w:r>
          </w:p>
        </w:tc>
        <w:tc>
          <w:tcPr>
            <w:tcW w:w="4535" w:type="dxa"/>
            <w:vAlign w:val="center"/>
          </w:tcPr>
          <w:p>
            <w:pPr>
              <w:pStyle w:val="13"/>
            </w:pPr>
            <w:r>
              <w:t>自然保护地</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2418.20</w:t>
            </w:r>
          </w:p>
        </w:tc>
        <w:tc>
          <w:tcPr>
            <w:tcW w:w="1361" w:type="dxa"/>
            <w:vAlign w:val="center"/>
          </w:tcPr>
          <w:p>
            <w:pPr>
              <w:pStyle w:val="12"/>
            </w:pPr>
            <w:r>
              <w:t>2388.20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22001</w:t>
            </w:r>
          </w:p>
        </w:tc>
        <w:tc>
          <w:tcPr>
            <w:tcW w:w="4535" w:type="dxa"/>
            <w:vAlign w:val="center"/>
          </w:tcPr>
          <w:p>
            <w:pPr>
              <w:pStyle w:val="13"/>
            </w:pPr>
            <w:r>
              <w:t>自然资源事务</w:t>
            </w:r>
          </w:p>
        </w:tc>
        <w:tc>
          <w:tcPr>
            <w:tcW w:w="1361" w:type="dxa"/>
            <w:vAlign w:val="center"/>
          </w:tcPr>
          <w:p>
            <w:pPr>
              <w:pStyle w:val="12"/>
            </w:pPr>
            <w:r>
              <w:t>2418.20</w:t>
            </w:r>
          </w:p>
        </w:tc>
        <w:tc>
          <w:tcPr>
            <w:tcW w:w="1361" w:type="dxa"/>
            <w:vAlign w:val="center"/>
          </w:tcPr>
          <w:p>
            <w:pPr>
              <w:pStyle w:val="12"/>
            </w:pPr>
            <w:r>
              <w:t>2388.20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2200101</w:t>
            </w:r>
          </w:p>
        </w:tc>
        <w:tc>
          <w:tcPr>
            <w:tcW w:w="4535" w:type="dxa"/>
            <w:vAlign w:val="center"/>
          </w:tcPr>
          <w:p>
            <w:pPr>
              <w:pStyle w:val="13"/>
            </w:pPr>
            <w:r>
              <w:t>行政运行</w:t>
            </w:r>
          </w:p>
        </w:tc>
        <w:tc>
          <w:tcPr>
            <w:tcW w:w="1361" w:type="dxa"/>
            <w:vAlign w:val="center"/>
          </w:tcPr>
          <w:p>
            <w:pPr>
              <w:pStyle w:val="12"/>
            </w:pPr>
            <w:r>
              <w:t>2388.20</w:t>
            </w:r>
          </w:p>
        </w:tc>
        <w:tc>
          <w:tcPr>
            <w:tcW w:w="1361" w:type="dxa"/>
            <w:vAlign w:val="center"/>
          </w:tcPr>
          <w:p>
            <w:pPr>
              <w:pStyle w:val="12"/>
            </w:pPr>
            <w:r>
              <w:t>2388.20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2200106</w:t>
            </w:r>
          </w:p>
        </w:tc>
        <w:tc>
          <w:tcPr>
            <w:tcW w:w="4535" w:type="dxa"/>
            <w:vAlign w:val="center"/>
          </w:tcPr>
          <w:p>
            <w:pPr>
              <w:pStyle w:val="13"/>
            </w:pPr>
            <w:r>
              <w:t>自然资源利用与保护</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2555.60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107.40</w:t>
            </w:r>
          </w:p>
        </w:tc>
        <w:tc>
          <w:tcPr>
            <w:tcW w:w="1474" w:type="dxa"/>
            <w:vAlign w:val="center"/>
          </w:tcPr>
          <w:p>
            <w:pPr>
              <w:pStyle w:val="12"/>
            </w:pPr>
            <w:r>
              <w:t>107.40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40.00</w:t>
            </w:r>
          </w:p>
        </w:tc>
        <w:tc>
          <w:tcPr>
            <w:tcW w:w="1474" w:type="dxa"/>
            <w:vAlign w:val="center"/>
          </w:tcPr>
          <w:p>
            <w:pPr>
              <w:pStyle w:val="12"/>
            </w:pPr>
            <w:r>
              <w:t>40.00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2418.20</w:t>
            </w:r>
          </w:p>
        </w:tc>
        <w:tc>
          <w:tcPr>
            <w:tcW w:w="1474" w:type="dxa"/>
            <w:vAlign w:val="center"/>
          </w:tcPr>
          <w:p>
            <w:pPr>
              <w:pStyle w:val="12"/>
            </w:pPr>
            <w:r>
              <w:t>2418.20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2555.60</w:t>
            </w:r>
          </w:p>
        </w:tc>
        <w:tc>
          <w:tcPr>
            <w:tcW w:w="3402" w:type="dxa"/>
            <w:vAlign w:val="center"/>
          </w:tcPr>
          <w:p>
            <w:pPr>
              <w:pStyle w:val="15"/>
            </w:pPr>
            <w:r>
              <w:t>本年支出合计</w:t>
            </w:r>
          </w:p>
        </w:tc>
        <w:tc>
          <w:tcPr>
            <w:tcW w:w="1474" w:type="dxa"/>
            <w:vAlign w:val="center"/>
          </w:tcPr>
          <w:p>
            <w:pPr>
              <w:pStyle w:val="16"/>
            </w:pPr>
            <w:r>
              <w:t>2585.60</w:t>
            </w:r>
          </w:p>
        </w:tc>
        <w:tc>
          <w:tcPr>
            <w:tcW w:w="1474" w:type="dxa"/>
            <w:vAlign w:val="center"/>
          </w:tcPr>
          <w:p>
            <w:pPr>
              <w:pStyle w:val="16"/>
            </w:pPr>
            <w:r>
              <w:t>2585.60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2585.60</w:t>
            </w:r>
          </w:p>
        </w:tc>
        <w:tc>
          <w:tcPr>
            <w:tcW w:w="3402" w:type="dxa"/>
            <w:vAlign w:val="center"/>
          </w:tcPr>
          <w:p>
            <w:pPr>
              <w:pStyle w:val="15"/>
            </w:pPr>
            <w:r>
              <w:t>支出总计</w:t>
            </w:r>
          </w:p>
        </w:tc>
        <w:tc>
          <w:tcPr>
            <w:tcW w:w="1474" w:type="dxa"/>
            <w:vAlign w:val="center"/>
          </w:tcPr>
          <w:p>
            <w:pPr>
              <w:pStyle w:val="16"/>
            </w:pPr>
            <w:r>
              <w:t>2585.60</w:t>
            </w:r>
          </w:p>
        </w:tc>
        <w:tc>
          <w:tcPr>
            <w:tcW w:w="1474" w:type="dxa"/>
            <w:vAlign w:val="center"/>
          </w:tcPr>
          <w:p>
            <w:pPr>
              <w:pStyle w:val="16"/>
            </w:pPr>
            <w:r>
              <w:t>2585.60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2585.60</w:t>
            </w:r>
          </w:p>
        </w:tc>
        <w:tc>
          <w:tcPr>
            <w:tcW w:w="2551" w:type="dxa"/>
            <w:vAlign w:val="center"/>
          </w:tcPr>
          <w:p>
            <w:pPr>
              <w:pStyle w:val="16"/>
            </w:pPr>
            <w:r>
              <w:t>2535.60</w:t>
            </w:r>
          </w:p>
        </w:tc>
        <w:tc>
          <w:tcPr>
            <w:tcW w:w="2551"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107.40</w:t>
            </w:r>
          </w:p>
        </w:tc>
        <w:tc>
          <w:tcPr>
            <w:tcW w:w="2551" w:type="dxa"/>
            <w:vAlign w:val="center"/>
          </w:tcPr>
          <w:p>
            <w:pPr>
              <w:pStyle w:val="12"/>
            </w:pPr>
            <w:r>
              <w:t>107.40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2.60</w:t>
            </w:r>
          </w:p>
        </w:tc>
        <w:tc>
          <w:tcPr>
            <w:tcW w:w="2551" w:type="dxa"/>
            <w:vAlign w:val="center"/>
          </w:tcPr>
          <w:p>
            <w:pPr>
              <w:pStyle w:val="12"/>
            </w:pPr>
            <w:r>
              <w:t>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2110406</w:t>
            </w:r>
          </w:p>
        </w:tc>
        <w:tc>
          <w:tcPr>
            <w:tcW w:w="4535" w:type="dxa"/>
            <w:vAlign w:val="center"/>
          </w:tcPr>
          <w:p>
            <w:pPr>
              <w:pStyle w:val="13"/>
            </w:pPr>
            <w:r>
              <w:t>自然保护地</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2418.20</w:t>
            </w:r>
          </w:p>
        </w:tc>
        <w:tc>
          <w:tcPr>
            <w:tcW w:w="2551" w:type="dxa"/>
            <w:vAlign w:val="center"/>
          </w:tcPr>
          <w:p>
            <w:pPr>
              <w:pStyle w:val="12"/>
            </w:pPr>
            <w:r>
              <w:t>2388.20</w:t>
            </w: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2418.20</w:t>
            </w:r>
          </w:p>
        </w:tc>
        <w:tc>
          <w:tcPr>
            <w:tcW w:w="2551" w:type="dxa"/>
            <w:vAlign w:val="center"/>
          </w:tcPr>
          <w:p>
            <w:pPr>
              <w:pStyle w:val="12"/>
            </w:pPr>
            <w:r>
              <w:t>2388.20</w:t>
            </w: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2200101</w:t>
            </w:r>
          </w:p>
        </w:tc>
        <w:tc>
          <w:tcPr>
            <w:tcW w:w="4535" w:type="dxa"/>
            <w:vAlign w:val="center"/>
          </w:tcPr>
          <w:p>
            <w:pPr>
              <w:pStyle w:val="13"/>
            </w:pPr>
            <w:r>
              <w:t>行政运行</w:t>
            </w:r>
          </w:p>
        </w:tc>
        <w:tc>
          <w:tcPr>
            <w:tcW w:w="2551" w:type="dxa"/>
            <w:vAlign w:val="center"/>
          </w:tcPr>
          <w:p>
            <w:pPr>
              <w:pStyle w:val="12"/>
            </w:pPr>
            <w:r>
              <w:t>2388.20</w:t>
            </w:r>
          </w:p>
        </w:tc>
        <w:tc>
          <w:tcPr>
            <w:tcW w:w="2551" w:type="dxa"/>
            <w:vAlign w:val="center"/>
          </w:tcPr>
          <w:p>
            <w:pPr>
              <w:pStyle w:val="12"/>
            </w:pPr>
            <w:r>
              <w:t>2388.20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2200106</w:t>
            </w:r>
          </w:p>
        </w:tc>
        <w:tc>
          <w:tcPr>
            <w:tcW w:w="4535" w:type="dxa"/>
            <w:vAlign w:val="center"/>
          </w:tcPr>
          <w:p>
            <w:pPr>
              <w:pStyle w:val="13"/>
            </w:pPr>
            <w:r>
              <w:t>自然资源利用与保护</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2535.60</w:t>
            </w:r>
          </w:p>
        </w:tc>
        <w:tc>
          <w:tcPr>
            <w:tcW w:w="2551" w:type="dxa"/>
            <w:vAlign w:val="center"/>
          </w:tcPr>
          <w:p>
            <w:pPr>
              <w:pStyle w:val="16"/>
            </w:pPr>
            <w:r>
              <w:t>2212.60</w:t>
            </w:r>
          </w:p>
        </w:tc>
        <w:tc>
          <w:tcPr>
            <w:tcW w:w="2551" w:type="dxa"/>
            <w:vAlign w:val="center"/>
          </w:tcPr>
          <w:p>
            <w:pPr>
              <w:pStyle w:val="16"/>
            </w:pPr>
            <w:r>
              <w:t>323.00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2117.60</w:t>
            </w:r>
          </w:p>
        </w:tc>
        <w:tc>
          <w:tcPr>
            <w:tcW w:w="2551" w:type="dxa"/>
            <w:vAlign w:val="center"/>
          </w:tcPr>
          <w:p>
            <w:pPr>
              <w:pStyle w:val="12"/>
            </w:pPr>
            <w:r>
              <w:t>2117.60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1638.00</w:t>
            </w:r>
          </w:p>
        </w:tc>
        <w:tc>
          <w:tcPr>
            <w:tcW w:w="2551" w:type="dxa"/>
            <w:vAlign w:val="center"/>
          </w:tcPr>
          <w:p>
            <w:pPr>
              <w:pStyle w:val="12"/>
            </w:pPr>
            <w:r>
              <w:t>1638.00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88.50</w:t>
            </w:r>
          </w:p>
        </w:tc>
        <w:tc>
          <w:tcPr>
            <w:tcW w:w="2551" w:type="dxa"/>
            <w:vAlign w:val="center"/>
          </w:tcPr>
          <w:p>
            <w:pPr>
              <w:pStyle w:val="12"/>
            </w:pPr>
            <w:r>
              <w:t>88.50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47.90</w:t>
            </w:r>
          </w:p>
        </w:tc>
        <w:tc>
          <w:tcPr>
            <w:tcW w:w="2551" w:type="dxa"/>
            <w:vAlign w:val="center"/>
          </w:tcPr>
          <w:p>
            <w:pPr>
              <w:pStyle w:val="12"/>
            </w:pPr>
            <w:r>
              <w:t>47.90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195.80</w:t>
            </w:r>
          </w:p>
        </w:tc>
        <w:tc>
          <w:tcPr>
            <w:tcW w:w="2551" w:type="dxa"/>
            <w:vAlign w:val="center"/>
          </w:tcPr>
          <w:p>
            <w:pPr>
              <w:pStyle w:val="12"/>
            </w:pPr>
            <w:r>
              <w:t>195.80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323.00</w:t>
            </w:r>
          </w:p>
        </w:tc>
        <w:tc>
          <w:tcPr>
            <w:tcW w:w="2551" w:type="dxa"/>
            <w:vAlign w:val="center"/>
          </w:tcPr>
          <w:p>
            <w:pPr>
              <w:pStyle w:val="12"/>
            </w:pPr>
          </w:p>
        </w:tc>
        <w:tc>
          <w:tcPr>
            <w:tcW w:w="2551" w:type="dxa"/>
            <w:vAlign w:val="center"/>
          </w:tcPr>
          <w:p>
            <w:pPr>
              <w:pStyle w:val="12"/>
            </w:pPr>
            <w:r>
              <w:t>323.00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297.09</w:t>
            </w:r>
          </w:p>
        </w:tc>
        <w:tc>
          <w:tcPr>
            <w:tcW w:w="2551" w:type="dxa"/>
            <w:vAlign w:val="center"/>
          </w:tcPr>
          <w:p>
            <w:pPr>
              <w:pStyle w:val="12"/>
            </w:pPr>
          </w:p>
        </w:tc>
        <w:tc>
          <w:tcPr>
            <w:tcW w:w="2551" w:type="dxa"/>
            <w:vAlign w:val="center"/>
          </w:tcPr>
          <w:p>
            <w:pPr>
              <w:pStyle w:val="12"/>
            </w:pPr>
            <w:r>
              <w:t>297.09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324无极县自然资源和规划局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分  无极县自然资源和规划局2026年部门预算信息公开情况说明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无极县自然资源和规划局2026年部门预算信息公开情况说明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按照《中华人民共和国预算法》、《地方预决算公开操作规程》和《关于进一步推进预算公开工作的实施意见》规定，现将无极县自然资源和规划局2026年部门预算公开如下：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贯彻落实党中央和省、市、县委关于自然资源和规划、林业草原工作的方针政策和决策部署，坚持和加强党对自然资源和规划、林业和草原工作的集中统一领导。主要职责是：</w:t>
      </w:r>
    </w:p>
    <w:p>
      <w:pPr>
        <w:pStyle w:val="18"/>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18"/>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18"/>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18"/>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18"/>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8"/>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8"/>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18"/>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8"/>
      </w:pPr>
      <w:r>
        <w:t>（九）负责管理全县地质勘查行业和地质工作。编制地质勘查规划并监督检查执行情况。管理县级地质勘查项目。组织实施重大地质矿产勘查专项。负责古生物化石的监督管理。</w:t>
      </w:r>
    </w:p>
    <w:p>
      <w:pPr>
        <w:pStyle w:val="18"/>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18"/>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8"/>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18"/>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18"/>
      </w:pPr>
      <w:r>
        <w:t>（十四）查处全县自然资源开发利用、国土空间规划及测绘违法案件。</w:t>
      </w:r>
    </w:p>
    <w:p>
      <w:pPr>
        <w:pStyle w:val="18"/>
      </w:pPr>
      <w:r>
        <w:t>（十五）承担无极县城乡规划委员会的日常工作。</w:t>
      </w:r>
    </w:p>
    <w:p>
      <w:pPr>
        <w:pStyle w:val="18"/>
      </w:pPr>
      <w:r>
        <w:t>（十六）组织开展自然资源和规划领域对外交流合作。</w:t>
      </w:r>
    </w:p>
    <w:p>
      <w:pPr>
        <w:pStyle w:val="18"/>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18"/>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18"/>
      </w:pPr>
      <w:r>
        <w:t>（十九）拟订全县林地保护利用规划并组织实施，监督执行采伐限额；管理县属国有林场森林资源；拟订全县湿地生态保护修复规划并组织实施，监督管理湿地的开发利用。</w:t>
      </w:r>
    </w:p>
    <w:p>
      <w:pPr>
        <w:pStyle w:val="18"/>
      </w:pPr>
      <w:r>
        <w:t>（二十）负责监督管理荒漠化防治工作，组织开展荒漠调查，拟订全县防沙治沙及沙化土地封禁保护区建设规划并组织实施，监督管理沙化土地的开发利用，组织沙尘暴灾害应急处置。</w:t>
      </w:r>
    </w:p>
    <w:p>
      <w:pPr>
        <w:pStyle w:val="18"/>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18"/>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18"/>
      </w:pPr>
      <w:r>
        <w:t>（二十三）负责推进全县集体林权制度、国有林场、草原等改革工作，负责农村林业发展、维护林业经营者合法权益，指导监督农村林地承包经营工作，负责开展退耕还林、天然林保护工作。</w:t>
      </w:r>
    </w:p>
    <w:p>
      <w:pPr>
        <w:pStyle w:val="18"/>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18"/>
      </w:pPr>
      <w:r>
        <w:t>（二十五）负责林业和草原科技推广、教育培训工作，负责林业和草原人才队伍建设工作。</w:t>
      </w:r>
    </w:p>
    <w:p>
      <w:pPr>
        <w:pStyle w:val="18"/>
      </w:pPr>
      <w:r>
        <w:t>（二十六）负责全县林业和草原相关工作。</w:t>
      </w:r>
    </w:p>
    <w:p>
      <w:pPr>
        <w:pStyle w:val="18"/>
      </w:pPr>
      <w:r>
        <w:t>（二十七）负责城乡规划方面法律法规规章规定的行政处罚。</w:t>
      </w:r>
    </w:p>
    <w:p>
      <w:pPr>
        <w:pStyle w:val="18"/>
      </w:pPr>
      <w:r>
        <w:t>（二十八）完成县委、县政府交办的其他任务。 </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无极县自然资源和规划局本级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按照预算管理有关规定，目前部门预算的编制实行综合预算管理，即全部收入和支出都反映在预算中。无极县自然资源和规划局机关及所属事业单位的收支包含在部门预算中。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1、收入说明</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反映本部门当年全部收入。2026年预算收入2585.60万元，其中：一般公共预算收入2555.60万元，基金预算收入0.00万元，国有资本经营预算收入0.00万元，财政专户核拨收入0.00万元，单位资金收入0.00万元，上年结转结余30.00万元。</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2、支出说明</w:t>
      </w:r>
    </w:p>
    <w:p>
      <w:pPr>
        <w:pStyle w:val="19"/>
      </w:pPr>
      <w:r>
        <w:t>收支预算总表支出栏、基本支出表、项目支出表按经济分类和支出功能分类科目编制，反映无极县自然资源和规划局年度部门预算中支出预算的总体情况。2026年支出预算2585.60万元，其中基本支出2535.60万元，包括人员经费2212.60万元和日常公用经费323.00万元；项目支出50.00万元，主要为主要是林业改革发展资金及</w:t>
      </w:r>
      <w:r>
        <w:rPr>
          <w:rFonts w:hint="eastAsia"/>
          <w:lang w:val="en-US" w:eastAsia="zh-CN"/>
        </w:rPr>
        <w:t>25年结转的</w:t>
      </w:r>
      <w:r>
        <w:t>新增建设用地有偿使用费返还</w:t>
      </w:r>
      <w:r>
        <w:rPr>
          <w:rFonts w:hint="eastAsia"/>
          <w:lang w:eastAsia="zh-CN"/>
        </w:rPr>
        <w:t>。</w:t>
      </w:r>
      <w:r>
        <w:t>预计下年使用的单位资金结余0.00万元。委托业务费共计安排30.00万元，主要用于因技术原因确需对外委托的辅助性工作和确有必要对外委托开展咨询、评审、规划等工作。</w:t>
      </w:r>
    </w:p>
    <w:p>
      <w:pPr>
        <w:pStyle w:val="19"/>
      </w:pPr>
      <w:r>
        <w:t>3、比上年增减情况</w:t>
      </w:r>
    </w:p>
    <w:p>
      <w:pPr>
        <w:pStyle w:val="19"/>
      </w:pPr>
      <w:r>
        <w:t>2026年预算收支安排2585.60万元，较2025年预算减少209.77万元，其中：基本支出增加27.60万元，主要为主要是新增公务员及人员工资调整。项目支出减少237.37万元，主要为主要是新增建设用地有偿使用费返还减少。预计下年使用的单位资金结余增加0.00万元。</w:t>
      </w:r>
    </w:p>
    <w:p>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6"/>
        <w:keepNext w:val="0"/>
        <w:keepLines w:val="0"/>
        <w:pageBreakBefore w:val="0"/>
        <w:widowControl/>
        <w:kinsoku/>
        <w:wordWrap/>
        <w:overflowPunct/>
        <w:topLinePunct w:val="0"/>
        <w:autoSpaceDE/>
        <w:autoSpaceDN/>
        <w:bidi w:val="0"/>
        <w:adjustRightInd/>
        <w:snapToGrid/>
        <w:spacing w:before="0" w:after="0" w:line="240" w:lineRule="auto"/>
        <w:textAlignment w:val="auto"/>
      </w:pPr>
      <w:r>
        <w:t>202</w:t>
      </w:r>
      <w:r>
        <w:rPr>
          <w:rFonts w:hint="eastAsia"/>
          <w:lang w:val="en-US" w:eastAsia="zh-CN"/>
        </w:rPr>
        <w:t>5</w:t>
      </w:r>
      <w:r>
        <w:t>年机关运行经费共计安排</w:t>
      </w:r>
      <w:r>
        <w:rPr>
          <w:rFonts w:hint="eastAsia"/>
          <w:lang w:val="en-US" w:eastAsia="zh-CN"/>
        </w:rPr>
        <w:t>323</w:t>
      </w:r>
      <w:r>
        <w:t>万元，主要用于我部门日常办公，办公区水电费、日常维修，办公用房取暖费，办公用房物业管理费等日常运行支出。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2026年，我部门财政拨款“三公”经费预算安排2.91万元，其中因公出国（境）费0.00万元；公务用车购置及运维费2.91万元（其中：公务用车购置费为0.00万元，公务用车运维费2.91万元)；公务接待费0.00万元。公务用车运维费与2025年相比减少0.09万元，</w:t>
      </w:r>
      <w:r>
        <w:rPr>
          <w:rFonts w:hint="eastAsia"/>
          <w:lang w:eastAsia="zh-CN"/>
        </w:rPr>
        <w:t>减少</w:t>
      </w:r>
      <w:r>
        <w:t>的主要原因是严格按照公务用车相关制度执行厉行节约。</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紧紧围绕县委、县政府工作部署，认真谋划，扎实稳步推进各项工作，完成各项规划编制和提升项目审批效率：推进耕地和基本农田布局正向优化；加快供地节奏，做好供地前期准备工作，促进各类项目顺利落地；加快批而未供土地处置，按照省市要求完成处置任务；做好土地要素保障，完成1000亩补充耕地的全流程核查评定工作，造林绿化任务100亩，森林火灾受害率、林业有害生物成灾率控制在上级规定指标以内，古树名木保护率达到100%；实施森林抚育3000亩；按照上级要求的时间节点，完成宅基地房地一体首次登记工作；继续加大力度推进公建配套移交和税费追缴工作，做好审批项目的批后监管工作，确保项目审批内容与建设现状的一致性。</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w:t>
      </w:r>
      <w:r>
        <w:rPr>
          <w:rFonts w:hint="eastAsia"/>
          <w:lang w:eastAsia="zh-CN"/>
        </w:rPr>
        <w:t>、</w:t>
      </w:r>
      <w:r>
        <w:t>规划编制和项目审批:     无极县城镇开发边界内控制性详细规划、城市设计的审批及规划数据库的入库工作和无极县乡村地区“通则式”规划技术管理规定的审批及数据库入库工作；推进各部门专项规划的编制工作，争取在2026年全部完成审批；完成县、乡两级总体规划、详细规划、专项规划三类的规划体系建设。按程序开展控规动态维护工作；积极配合开发边界内国土空间详细规划、单独建设项目用地详细规划、村庄规划、乡村地区“通则式”规划技术管理规定等编制工作开展。</w:t>
      </w:r>
    </w:p>
    <w:p>
      <w:pPr>
        <w:pStyle w:val="23"/>
      </w:pPr>
      <w:r>
        <w:t>2</w:t>
      </w:r>
      <w:r>
        <w:rPr>
          <w:rFonts w:hint="eastAsia"/>
          <w:lang w:eastAsia="zh-CN"/>
        </w:rPr>
        <w:t>、</w:t>
      </w:r>
      <w:r>
        <w:t>耕地保护工作:</w:t>
      </w:r>
    </w:p>
    <w:p>
      <w:pPr>
        <w:pStyle w:val="23"/>
      </w:pPr>
      <w:r>
        <w:t>继续强化落实网格化监管机制，严格按照县、乡、村“三级监管”体系落实日常巡查、监管责任，加大自然资源执法监察力度，严肃查处各类违法占地行为；继续推进卫片整改并完成上级交办的其他任务。推进耕地和基本农田布局正向优化。</w:t>
      </w:r>
    </w:p>
    <w:p>
      <w:pPr>
        <w:pStyle w:val="23"/>
      </w:pPr>
      <w:r>
        <w:t>3</w:t>
      </w:r>
      <w:r>
        <w:rPr>
          <w:rFonts w:hint="eastAsia"/>
          <w:lang w:eastAsia="zh-CN"/>
        </w:rPr>
        <w:t>、</w:t>
      </w:r>
      <w:r>
        <w:t>土地供应和批而未供工作:</w:t>
      </w:r>
    </w:p>
    <w:p>
      <w:pPr>
        <w:pStyle w:val="23"/>
      </w:pPr>
      <w:r>
        <w:t>根据项目用地安排和征地进度，提前介入，加快供地节奏，做好供地前期准备工作，促进各类项目顺利落地；结合开发区、各乡镇政府及有关部门，分类施策、解决存在问题，加快批而未供土地处置，按照省市要求完成处置任务。</w:t>
      </w:r>
    </w:p>
    <w:p>
      <w:pPr>
        <w:pStyle w:val="23"/>
      </w:pPr>
      <w:r>
        <w:t>继续推进低效用地再开发试点工作；完成全民所有自然资源资产清查工作；完成城镇基准地价更新工作。</w:t>
      </w:r>
    </w:p>
    <w:p>
      <w:pPr>
        <w:pStyle w:val="23"/>
      </w:pPr>
      <w:r>
        <w:t>4</w:t>
      </w:r>
      <w:r>
        <w:rPr>
          <w:rFonts w:hint="eastAsia"/>
          <w:lang w:eastAsia="zh-CN"/>
        </w:rPr>
        <w:t>、</w:t>
      </w:r>
      <w:r>
        <w:t>土地要素保障:</w:t>
      </w:r>
    </w:p>
    <w:p>
      <w:pPr>
        <w:pStyle w:val="23"/>
      </w:pPr>
      <w:r>
        <w:t>积极推进组卷报批，对省市重点项目倒排工期，确保省市重点项目优先落地，2026年拟完成安迪、高冠、贝吉门前地，北苏中学、金融中心停车场、安绕物流三角地、御和堂药业、圣福生物科技、中材美宅、万华三期等项目土地征收工作。积极指导基层开展设施农用地备案，做好在“河北省设施农业用地备案监管系统”的报备及与部系统交互工作。</w:t>
      </w:r>
    </w:p>
    <w:p>
      <w:pPr>
        <w:pStyle w:val="23"/>
      </w:pPr>
      <w:r>
        <w:t>预计分4个批次通过市级审核及省级复核，完成1000亩补充耕地的全流程核查评定工作，全部纳入河北省耕地占补平衡管理平台，实现补充耕地质量不低于周边同等条件耕地水平，为全县项目落地提供占补平衡指标支撑。</w:t>
      </w:r>
    </w:p>
    <w:p>
      <w:pPr>
        <w:pStyle w:val="23"/>
      </w:pPr>
      <w:r>
        <w:t>5</w:t>
      </w:r>
      <w:r>
        <w:rPr>
          <w:rFonts w:hint="eastAsia"/>
          <w:lang w:eastAsia="zh-CN"/>
        </w:rPr>
        <w:t>、</w:t>
      </w:r>
      <w:r>
        <w:t>林业工作:</w:t>
      </w:r>
    </w:p>
    <w:p>
      <w:pPr>
        <w:pStyle w:val="23"/>
      </w:pPr>
      <w:r>
        <w:t>年度预计造林绿化任务100亩；全面加强森林、湿地、野生动植物资源有效保护，森林火灾受害率、林业有害生物成灾率控制在上级规定指标以内。古树名木保护率达到100%；实施森林抚育3000亩，改造低效林，增强森林生态功能与景观效果，林木覆盖率保持稳定；依法加强林地、湿地用途管制，严厉打击乱砍滥伐、非法侵占林地、乱捕滥猎野生动物等违法行为。</w:t>
      </w:r>
    </w:p>
    <w:p>
      <w:pPr>
        <w:pStyle w:val="23"/>
      </w:pPr>
      <w:r>
        <w:t>6</w:t>
      </w:r>
      <w:r>
        <w:rPr>
          <w:rFonts w:hint="eastAsia"/>
          <w:lang w:eastAsia="zh-CN"/>
        </w:rPr>
        <w:t>、</w:t>
      </w:r>
      <w:r>
        <w:t>不动产登记工作</w:t>
      </w:r>
    </w:p>
    <w:p>
      <w:pPr>
        <w:pStyle w:val="23"/>
      </w:pPr>
      <w:r>
        <w:t>严格按照上级要求的时间节点，完成宅基地房地一体首次登记工作。加强与农业农村局沟通对接，做好农村土地承包经营权登记颁证资料的数据移交工作。推动不动产“登记难”问题专项整治，制定切实可行化解举措，按时保质完成整治任务。</w:t>
      </w:r>
    </w:p>
    <w:p>
      <w:pPr>
        <w:pStyle w:val="23"/>
      </w:pPr>
      <w:r>
        <w:t>7</w:t>
      </w:r>
      <w:r>
        <w:rPr>
          <w:rFonts w:hint="eastAsia"/>
          <w:lang w:eastAsia="zh-CN"/>
        </w:rPr>
        <w:t>、</w:t>
      </w:r>
      <w:r>
        <w:t>综合事务工作</w:t>
      </w:r>
    </w:p>
    <w:p>
      <w:pPr>
        <w:pStyle w:val="23"/>
      </w:pPr>
      <w:r>
        <w:t>继续加大力度推进公建配套移交和税费追缴工作；继续严格以相关标准规范为依据，全面核对规划条件的各项内容。同时做好审批项目的批后监管工作，确保项目审批内容与建设现状的一致性。</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2026年我局将坚持以党的十九大会议精神为指导，认真学习贯彻上级关于自然资源管理工作的一系列重要指示精神，按照县委、县政府的工作部署，稳中求进，改革创新，强化工作举措，努力完成各项工作目标任务。工作保障措施如下：</w:t>
      </w:r>
    </w:p>
    <w:p>
      <w:pPr>
        <w:pStyle w:val="24"/>
      </w:pPr>
      <w:r>
        <w:t>1、完善制度。</w:t>
      </w:r>
    </w:p>
    <w:p>
      <w:pPr>
        <w:pStyle w:val="24"/>
      </w:pPr>
      <w:r>
        <w:t>根据我县预算绩效管理的实施意见，强化绩效目标管理，汇总各业务科室制定适合我局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4"/>
      </w:pPr>
      <w:r>
        <w:t>2、加强支出管理</w:t>
      </w:r>
    </w:p>
    <w:p>
      <w:pPr>
        <w:pStyle w:val="24"/>
      </w:pPr>
      <w:r>
        <w:t>优化支出结构、编细编实预算、加快履行政府采购手续、尽快启动项目、及时支付资金、6月底前细化代编预算、按规定及时下达资金等多种措施，确保支出进度达标。</w:t>
      </w:r>
    </w:p>
    <w:p>
      <w:pPr>
        <w:pStyle w:val="24"/>
      </w:pPr>
      <w:r>
        <w:t xml:space="preserve">3、加强绩效运行监控。  </w:t>
      </w:r>
    </w:p>
    <w:p>
      <w:pPr>
        <w:pStyle w:val="24"/>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4"/>
      </w:pPr>
      <w:r>
        <w:t>4、做好绩效自评。</w:t>
      </w:r>
    </w:p>
    <w:p>
      <w:pPr>
        <w:pStyle w:val="24"/>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管理。</w:t>
      </w:r>
    </w:p>
    <w:p>
      <w:pPr>
        <w:pStyle w:val="24"/>
      </w:pPr>
      <w:r>
        <w:t>5、规范财务资产管理。</w:t>
      </w:r>
    </w:p>
    <w:p>
      <w:pPr>
        <w:pStyle w:val="24"/>
      </w:pPr>
      <w:r>
        <w:t>完善财务管理制度，严格审批程序，加强资金使用、完善项目管理状况，资产配置、使用、及其收益管理情况（包括成本控制、质量控制、合同管理情况）。加强固定资产登记、使用和报废处置管理，做到支出合理，物尽其用。</w:t>
      </w:r>
    </w:p>
    <w:p>
      <w:pPr>
        <w:pStyle w:val="24"/>
      </w:pPr>
      <w:r>
        <w:t>6、加强内部监督。</w:t>
      </w:r>
    </w:p>
    <w:p>
      <w:pPr>
        <w:pStyle w:val="24"/>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4"/>
      </w:pPr>
      <w:r>
        <w:t>7、加强宣传培训调研等。</w:t>
      </w:r>
    </w:p>
    <w:p>
      <w:pPr>
        <w:pStyle w:val="24"/>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640"/>
        <w:jc w:val="left"/>
        <w:outlineLvl w:val="2"/>
        <w:rPr>
          <w:rFonts w:hint="eastAsia" w:ascii="方正仿宋_GBK" w:hAnsi="方正仿宋_GBK" w:eastAsia="方正仿宋_GBK" w:cs="方正仿宋_GBK"/>
          <w:color w:val="000000"/>
          <w:sz w:val="32"/>
          <w:lang w:eastAsia="zh-CN"/>
        </w:rPr>
      </w:pPr>
      <w:bookmarkStart w:id="15" w:name="_Toc_3_3_0000000016"/>
      <w:r>
        <w:rPr>
          <w:rFonts w:hint="eastAsia" w:ascii="方正仿宋_GBK" w:hAnsi="方正仿宋_GBK" w:eastAsia="方正仿宋_GBK" w:cs="方正仿宋_GBK"/>
          <w:color w:val="000000"/>
          <w:sz w:val="32"/>
          <w:lang w:eastAsia="zh-CN"/>
        </w:rPr>
        <w:t>无</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1、关于清算提前下达2025年土地整治专项资金（新增建设用地土地有偿使用费返还市县资金）绩效目标表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13013025P000002102614</w:t>
            </w:r>
          </w:p>
        </w:tc>
        <w:tc>
          <w:tcPr>
            <w:tcW w:w="2835" w:type="dxa"/>
            <w:vAlign w:val="center"/>
          </w:tcPr>
          <w:p>
            <w:pPr>
              <w:pStyle w:val="11"/>
            </w:pPr>
            <w:r>
              <w:t>项目名称</w:t>
            </w:r>
          </w:p>
        </w:tc>
        <w:tc>
          <w:tcPr>
            <w:tcW w:w="6095" w:type="dxa"/>
            <w:gridSpan w:val="3"/>
            <w:vAlign w:val="center"/>
          </w:tcPr>
          <w:p>
            <w:pPr>
              <w:pStyle w:val="13"/>
            </w:pPr>
            <w:r>
              <w:t>关于清算提前下达2025年土地整治专项资金（新增建设用地土地有偿使用费返还市县资金）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15.00</w:t>
            </w:r>
          </w:p>
        </w:tc>
        <w:tc>
          <w:tcPr>
            <w:tcW w:w="2551" w:type="dxa"/>
            <w:vAlign w:val="center"/>
          </w:tcPr>
          <w:p>
            <w:pPr>
              <w:pStyle w:val="14"/>
            </w:pPr>
            <w:r>
              <w:t xml:space="preserve"> </w:t>
            </w:r>
          </w:p>
        </w:tc>
        <w:tc>
          <w:tcPr>
            <w:tcW w:w="3544"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1.增加土地开发，完成耕地保护</w:t>
            </w:r>
          </w:p>
          <w:p>
            <w:pPr>
              <w:pStyle w:val="13"/>
            </w:pPr>
            <w:r>
              <w:t>2.完成占地平衡，增加粮食产量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耕地面积增长率</w:t>
            </w:r>
          </w:p>
        </w:tc>
        <w:tc>
          <w:tcPr>
            <w:tcW w:w="5386" w:type="dxa"/>
            <w:vAlign w:val="center"/>
          </w:tcPr>
          <w:p>
            <w:pPr>
              <w:pStyle w:val="13"/>
            </w:pPr>
            <w:r>
              <w:t>耕地面积比原有基础增长比率</w:t>
            </w:r>
          </w:p>
        </w:tc>
        <w:tc>
          <w:tcPr>
            <w:tcW w:w="2268" w:type="dxa"/>
            <w:vAlign w:val="center"/>
          </w:tcPr>
          <w:p>
            <w:pPr>
              <w:pStyle w:val="13"/>
            </w:pPr>
            <w:r>
              <w:t>≥5%</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项目合格占总量的比例</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各项任务在时间节点内完成的比例</w:t>
            </w:r>
          </w:p>
        </w:tc>
        <w:tc>
          <w:tcPr>
            <w:tcW w:w="2268" w:type="dxa"/>
            <w:vAlign w:val="center"/>
          </w:tcPr>
          <w:p>
            <w:pPr>
              <w:pStyle w:val="13"/>
            </w:pPr>
            <w:r>
              <w:t>≥95%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项目成本控制率</w:t>
            </w:r>
          </w:p>
        </w:tc>
        <w:tc>
          <w:tcPr>
            <w:tcW w:w="5386" w:type="dxa"/>
            <w:vAlign w:val="center"/>
          </w:tcPr>
          <w:p>
            <w:pPr>
              <w:pStyle w:val="13"/>
            </w:pPr>
            <w:r>
              <w:t>项目成本占预算总数的比例</w:t>
            </w:r>
          </w:p>
        </w:tc>
        <w:tc>
          <w:tcPr>
            <w:tcW w:w="2268" w:type="dxa"/>
            <w:vAlign w:val="center"/>
          </w:tcPr>
          <w:p>
            <w:pPr>
              <w:pStyle w:val="13"/>
            </w:pPr>
            <w:r>
              <w:t>≤95%</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新增粮食产能</w:t>
            </w:r>
          </w:p>
        </w:tc>
        <w:tc>
          <w:tcPr>
            <w:tcW w:w="5386" w:type="dxa"/>
            <w:vAlign w:val="center"/>
          </w:tcPr>
          <w:p>
            <w:pPr>
              <w:pStyle w:val="13"/>
            </w:pPr>
            <w:r>
              <w:t>新增粮食产能占原产能的比例</w:t>
            </w:r>
          </w:p>
        </w:tc>
        <w:tc>
          <w:tcPr>
            <w:tcW w:w="2268" w:type="dxa"/>
            <w:vAlign w:val="center"/>
          </w:tcPr>
          <w:p>
            <w:pPr>
              <w:pStyle w:val="13"/>
            </w:pPr>
            <w:r>
              <w:t>≥5%</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项目带动就业能力</w:t>
            </w:r>
          </w:p>
        </w:tc>
        <w:tc>
          <w:tcPr>
            <w:tcW w:w="5386" w:type="dxa"/>
            <w:vAlign w:val="center"/>
          </w:tcPr>
          <w:p>
            <w:pPr>
              <w:pStyle w:val="13"/>
            </w:pPr>
            <w:r>
              <w:t>项目带动就业能力</w:t>
            </w:r>
          </w:p>
        </w:tc>
        <w:tc>
          <w:tcPr>
            <w:tcW w:w="2268" w:type="dxa"/>
            <w:vAlign w:val="center"/>
          </w:tcPr>
          <w:p>
            <w:pPr>
              <w:pStyle w:val="13"/>
            </w:pPr>
            <w:r>
              <w:t>提高</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耕地质量提升</w:t>
            </w:r>
          </w:p>
        </w:tc>
        <w:tc>
          <w:tcPr>
            <w:tcW w:w="5386" w:type="dxa"/>
            <w:vAlign w:val="center"/>
          </w:tcPr>
          <w:p>
            <w:pPr>
              <w:pStyle w:val="13"/>
            </w:pPr>
            <w:r>
              <w:t>耕地质量提升程度</w:t>
            </w:r>
          </w:p>
        </w:tc>
        <w:tc>
          <w:tcPr>
            <w:tcW w:w="2268" w:type="dxa"/>
            <w:vAlign w:val="center"/>
          </w:tcPr>
          <w:p>
            <w:pPr>
              <w:pStyle w:val="13"/>
            </w:pPr>
            <w:r>
              <w:t>明显</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反映项目持续影响</w:t>
            </w:r>
          </w:p>
        </w:tc>
        <w:tc>
          <w:tcPr>
            <w:tcW w:w="2268" w:type="dxa"/>
            <w:vAlign w:val="center"/>
          </w:tcPr>
          <w:p>
            <w:pPr>
              <w:pStyle w:val="13"/>
            </w:pPr>
            <w:r>
              <w:t>长远</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服务对象满意数占总数量比例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受益群体满意数量占调查人数比例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群众满意人数占调查总数量的比例</w:t>
            </w:r>
          </w:p>
        </w:tc>
        <w:tc>
          <w:tcPr>
            <w:tcW w:w="2268" w:type="dxa"/>
            <w:vAlign w:val="center"/>
          </w:tcPr>
          <w:p>
            <w:pPr>
              <w:pStyle w:val="13"/>
            </w:pPr>
            <w:r>
              <w:t>≥85%</w:t>
            </w:r>
          </w:p>
        </w:tc>
        <w:tc>
          <w:tcPr>
            <w:tcW w:w="1276" w:type="dxa"/>
            <w:vAlign w:val="center"/>
          </w:tcPr>
          <w:p>
            <w:pPr>
              <w:pStyle w:val="13"/>
            </w:pPr>
            <w:r>
              <w:t>历史指标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2、提前下达2026年省级林业改革发展补助资金绩效目标表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13013026P000113100048</w:t>
            </w:r>
          </w:p>
        </w:tc>
        <w:tc>
          <w:tcPr>
            <w:tcW w:w="2835" w:type="dxa"/>
            <w:vAlign w:val="center"/>
          </w:tcPr>
          <w:p>
            <w:pPr>
              <w:pStyle w:val="11"/>
            </w:pPr>
            <w:r>
              <w:t>项目名称</w:t>
            </w:r>
          </w:p>
        </w:tc>
        <w:tc>
          <w:tcPr>
            <w:tcW w:w="6095" w:type="dxa"/>
            <w:gridSpan w:val="3"/>
            <w:vAlign w:val="center"/>
          </w:tcPr>
          <w:p>
            <w:pPr>
              <w:pStyle w:val="13"/>
            </w:pPr>
            <w:r>
              <w:t>提前下达2026年省级林业改革发展补助资金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支付森林乡村绿化提升补助及古树复壮款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10.00</w:t>
            </w:r>
          </w:p>
        </w:tc>
        <w:tc>
          <w:tcPr>
            <w:tcW w:w="2551" w:type="dxa"/>
            <w:vAlign w:val="center"/>
          </w:tcPr>
          <w:p>
            <w:pPr>
              <w:pStyle w:val="14"/>
            </w:pPr>
            <w:r>
              <w:t>5.00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1.完成古树抢救复壮，提高建设水平。</w:t>
            </w:r>
          </w:p>
          <w:p>
            <w:pPr>
              <w:pStyle w:val="13"/>
            </w:pPr>
            <w:r>
              <w:t>2.全面提升森林乡村建设，加强森林资源保护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省级森林质量乡村提升村庄数量</w:t>
            </w:r>
          </w:p>
        </w:tc>
        <w:tc>
          <w:tcPr>
            <w:tcW w:w="5386" w:type="dxa"/>
            <w:vAlign w:val="center"/>
          </w:tcPr>
          <w:p>
            <w:pPr>
              <w:pStyle w:val="13"/>
            </w:pPr>
            <w:r>
              <w:t>绿化村庄数量</w:t>
            </w:r>
          </w:p>
        </w:tc>
        <w:tc>
          <w:tcPr>
            <w:tcW w:w="2268" w:type="dxa"/>
            <w:vAlign w:val="center"/>
          </w:tcPr>
          <w:p>
            <w:pPr>
              <w:pStyle w:val="13"/>
            </w:pPr>
            <w:r>
              <w:t>5个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古树抢救复壮完成数量</w:t>
            </w:r>
          </w:p>
        </w:tc>
        <w:tc>
          <w:tcPr>
            <w:tcW w:w="5386" w:type="dxa"/>
            <w:vAlign w:val="center"/>
          </w:tcPr>
          <w:p>
            <w:pPr>
              <w:pStyle w:val="13"/>
            </w:pPr>
            <w:r>
              <w:t>完成数量</w:t>
            </w:r>
          </w:p>
        </w:tc>
        <w:tc>
          <w:tcPr>
            <w:tcW w:w="2268" w:type="dxa"/>
            <w:vAlign w:val="center"/>
          </w:tcPr>
          <w:p>
            <w:pPr>
              <w:pStyle w:val="13"/>
            </w:pPr>
            <w:r>
              <w:t>1株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森林质量提升完成率</w:t>
            </w:r>
          </w:p>
        </w:tc>
        <w:tc>
          <w:tcPr>
            <w:tcW w:w="5386" w:type="dxa"/>
            <w:vAlign w:val="center"/>
          </w:tcPr>
          <w:p>
            <w:pPr>
              <w:pStyle w:val="13"/>
            </w:pPr>
            <w:r>
              <w:t>森林质量完成</w:t>
            </w:r>
          </w:p>
        </w:tc>
        <w:tc>
          <w:tcPr>
            <w:tcW w:w="2268" w:type="dxa"/>
            <w:vAlign w:val="center"/>
          </w:tcPr>
          <w:p>
            <w:pPr>
              <w:pStyle w:val="13"/>
            </w:pPr>
            <w:r>
              <w:t>≥85%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各项任务完成及时率（%）</w:t>
            </w:r>
          </w:p>
        </w:tc>
        <w:tc>
          <w:tcPr>
            <w:tcW w:w="2268" w:type="dxa"/>
            <w:vAlign w:val="center"/>
          </w:tcPr>
          <w:p>
            <w:pPr>
              <w:pStyle w:val="13"/>
            </w:pPr>
            <w:r>
              <w:t>按时完成</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增加</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木材蓄积年增加数</w:t>
            </w:r>
          </w:p>
        </w:tc>
        <w:tc>
          <w:tcPr>
            <w:tcW w:w="5386" w:type="dxa"/>
            <w:vAlign w:val="center"/>
          </w:tcPr>
          <w:p>
            <w:pPr>
              <w:pStyle w:val="13"/>
            </w:pPr>
            <w:r>
              <w:t>造林任务完成数</w:t>
            </w:r>
          </w:p>
        </w:tc>
        <w:tc>
          <w:tcPr>
            <w:tcW w:w="2268" w:type="dxa"/>
            <w:vAlign w:val="center"/>
          </w:tcPr>
          <w:p>
            <w:pPr>
              <w:pStyle w:val="13"/>
            </w:pPr>
            <w:r>
              <w:t>增加</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闲置农民就业机会</w:t>
            </w:r>
          </w:p>
        </w:tc>
        <w:tc>
          <w:tcPr>
            <w:tcW w:w="5386" w:type="dxa"/>
            <w:vAlign w:val="center"/>
          </w:tcPr>
          <w:p>
            <w:pPr>
              <w:pStyle w:val="13"/>
            </w:pPr>
            <w:r>
              <w:t>闲置农民就业机会</w:t>
            </w:r>
          </w:p>
        </w:tc>
        <w:tc>
          <w:tcPr>
            <w:tcW w:w="2268" w:type="dxa"/>
            <w:vAlign w:val="center"/>
          </w:tcPr>
          <w:p>
            <w:pPr>
              <w:pStyle w:val="13"/>
            </w:pPr>
            <w:r>
              <w:t>提高</w:t>
            </w:r>
          </w:p>
        </w:tc>
        <w:tc>
          <w:tcPr>
            <w:tcW w:w="1276" w:type="dxa"/>
            <w:vAlign w:val="center"/>
          </w:tcPr>
          <w:p>
            <w:pPr>
              <w:pStyle w:val="13"/>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对生态环境的影响</w:t>
            </w:r>
          </w:p>
        </w:tc>
        <w:tc>
          <w:tcPr>
            <w:tcW w:w="5386" w:type="dxa"/>
            <w:vAlign w:val="center"/>
          </w:tcPr>
          <w:p>
            <w:pPr>
              <w:pStyle w:val="13"/>
            </w:pPr>
            <w:r>
              <w:t>不断扩大绿色生态空间</w:t>
            </w:r>
          </w:p>
        </w:tc>
        <w:tc>
          <w:tcPr>
            <w:tcW w:w="2268" w:type="dxa"/>
            <w:vAlign w:val="center"/>
          </w:tcPr>
          <w:p>
            <w:pPr>
              <w:pStyle w:val="13"/>
            </w:pPr>
            <w:r>
              <w:t>有效提升</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森林对生态系统改善可持续影响</w:t>
            </w:r>
          </w:p>
        </w:tc>
        <w:tc>
          <w:tcPr>
            <w:tcW w:w="5386" w:type="dxa"/>
            <w:vAlign w:val="center"/>
          </w:tcPr>
          <w:p>
            <w:pPr>
              <w:pStyle w:val="13"/>
            </w:pPr>
            <w:r>
              <w:t>森林系统生态效益发挥</w:t>
            </w:r>
          </w:p>
        </w:tc>
        <w:tc>
          <w:tcPr>
            <w:tcW w:w="2268" w:type="dxa"/>
            <w:vAlign w:val="center"/>
          </w:tcPr>
          <w:p>
            <w:pPr>
              <w:pStyle w:val="13"/>
            </w:pPr>
            <w:r>
              <w:t>持续</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≥85%</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3、提前下达2026年中央财政林业草原生态保护恢复资金绩效目标表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13013026P00011210002B</w:t>
            </w:r>
          </w:p>
        </w:tc>
        <w:tc>
          <w:tcPr>
            <w:tcW w:w="2835" w:type="dxa"/>
            <w:vAlign w:val="center"/>
          </w:tcPr>
          <w:p>
            <w:pPr>
              <w:pStyle w:val="11"/>
            </w:pPr>
            <w:r>
              <w:t>项目名称</w:t>
            </w:r>
          </w:p>
        </w:tc>
        <w:tc>
          <w:tcPr>
            <w:tcW w:w="6095" w:type="dxa"/>
            <w:gridSpan w:val="3"/>
            <w:vAlign w:val="center"/>
          </w:tcPr>
          <w:p>
            <w:pPr>
              <w:pStyle w:val="13"/>
            </w:pPr>
            <w:r>
              <w:t>提前下达2026年中央财政林业草原生态保护恢复资金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支付古树抢救复壮维护费用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1.提升自然保护地对动植物保护，维护生物多样性。</w:t>
            </w:r>
          </w:p>
          <w:p>
            <w:pPr>
              <w:pStyle w:val="13"/>
            </w:pPr>
            <w:r>
              <w:t>2.完成一株古树抢救复壮。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林业系统管理的古树和名目开展抢救复壮数量</w:t>
            </w:r>
          </w:p>
        </w:tc>
        <w:tc>
          <w:tcPr>
            <w:tcW w:w="5386" w:type="dxa"/>
            <w:vAlign w:val="center"/>
          </w:tcPr>
          <w:p>
            <w:pPr>
              <w:pStyle w:val="13"/>
            </w:pPr>
            <w:r>
              <w:t>古树保护完成数</w:t>
            </w:r>
          </w:p>
        </w:tc>
        <w:tc>
          <w:tcPr>
            <w:tcW w:w="2268" w:type="dxa"/>
            <w:vAlign w:val="center"/>
          </w:tcPr>
          <w:p>
            <w:pPr>
              <w:pStyle w:val="13"/>
            </w:pPr>
            <w:r>
              <w:t>1棵</w:t>
            </w:r>
          </w:p>
        </w:tc>
        <w:tc>
          <w:tcPr>
            <w:tcW w:w="1276" w:type="dxa"/>
            <w:vAlign w:val="center"/>
          </w:tcPr>
          <w:p>
            <w:pPr>
              <w:pStyle w:val="13"/>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林业系统管理的古树和名木开展抢救复壮合格率</w:t>
            </w:r>
          </w:p>
        </w:tc>
        <w:tc>
          <w:tcPr>
            <w:tcW w:w="5386" w:type="dxa"/>
            <w:vAlign w:val="center"/>
          </w:tcPr>
          <w:p>
            <w:pPr>
              <w:pStyle w:val="13"/>
            </w:pPr>
            <w:r>
              <w:t>保护合格数占总任务比例</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预算（成本）控制率</w:t>
            </w:r>
          </w:p>
        </w:tc>
        <w:tc>
          <w:tcPr>
            <w:tcW w:w="5386" w:type="dxa"/>
            <w:vAlign w:val="center"/>
          </w:tcPr>
          <w:p>
            <w:pPr>
              <w:pStyle w:val="13"/>
            </w:pPr>
            <w:r>
              <w:t>预算与决算数额比例</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带动地方旅游业</w:t>
            </w:r>
          </w:p>
        </w:tc>
        <w:tc>
          <w:tcPr>
            <w:tcW w:w="5386" w:type="dxa"/>
            <w:vAlign w:val="center"/>
          </w:tcPr>
          <w:p>
            <w:pPr>
              <w:pStyle w:val="13"/>
            </w:pPr>
            <w:r>
              <w:t>旅游业提高</w:t>
            </w:r>
          </w:p>
        </w:tc>
        <w:tc>
          <w:tcPr>
            <w:tcW w:w="2268" w:type="dxa"/>
            <w:vAlign w:val="center"/>
          </w:tcPr>
          <w:p>
            <w:pPr>
              <w:pStyle w:val="13"/>
            </w:pPr>
            <w:r>
              <w:t>提高</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保护和管理能力</w:t>
            </w:r>
          </w:p>
        </w:tc>
        <w:tc>
          <w:tcPr>
            <w:tcW w:w="5386" w:type="dxa"/>
            <w:vAlign w:val="center"/>
          </w:tcPr>
          <w:p>
            <w:pPr>
              <w:pStyle w:val="13"/>
            </w:pPr>
            <w:r>
              <w:t>保护和管理能力</w:t>
            </w:r>
          </w:p>
        </w:tc>
        <w:tc>
          <w:tcPr>
            <w:tcW w:w="2268" w:type="dxa"/>
            <w:vAlign w:val="center"/>
          </w:tcPr>
          <w:p>
            <w:pPr>
              <w:pStyle w:val="13"/>
            </w:pPr>
            <w:r>
              <w:t>提升</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生态系统和生物多样性</w:t>
            </w:r>
          </w:p>
        </w:tc>
        <w:tc>
          <w:tcPr>
            <w:tcW w:w="5386" w:type="dxa"/>
            <w:vAlign w:val="center"/>
          </w:tcPr>
          <w:p>
            <w:pPr>
              <w:pStyle w:val="13"/>
            </w:pPr>
            <w:r>
              <w:t>生态系统和生物多样性</w:t>
            </w:r>
          </w:p>
        </w:tc>
        <w:tc>
          <w:tcPr>
            <w:tcW w:w="2268" w:type="dxa"/>
            <w:vAlign w:val="center"/>
          </w:tcPr>
          <w:p>
            <w:pPr>
              <w:pStyle w:val="13"/>
            </w:pPr>
            <w:r>
              <w:t>得到有效保护</w:t>
            </w:r>
          </w:p>
        </w:tc>
        <w:tc>
          <w:tcPr>
            <w:tcW w:w="1276" w:type="dxa"/>
            <w:vAlign w:val="center"/>
          </w:tcPr>
          <w:p>
            <w:pPr>
              <w:pStyle w:val="13"/>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森林对生态系统效益发挥</w:t>
            </w:r>
          </w:p>
        </w:tc>
        <w:tc>
          <w:tcPr>
            <w:tcW w:w="5386" w:type="dxa"/>
            <w:vAlign w:val="center"/>
          </w:tcPr>
          <w:p>
            <w:pPr>
              <w:pStyle w:val="13"/>
            </w:pPr>
            <w:r>
              <w:t>森林系统生态效益发挥</w:t>
            </w:r>
          </w:p>
        </w:tc>
        <w:tc>
          <w:tcPr>
            <w:tcW w:w="2268" w:type="dxa"/>
            <w:vAlign w:val="center"/>
          </w:tcPr>
          <w:p>
            <w:pPr>
              <w:pStyle w:val="13"/>
            </w:pPr>
            <w:r>
              <w:t>明显提升</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上级验收部门满意度</w:t>
            </w:r>
          </w:p>
        </w:tc>
        <w:tc>
          <w:tcPr>
            <w:tcW w:w="5386" w:type="dxa"/>
            <w:vAlign w:val="center"/>
          </w:tcPr>
          <w:p>
            <w:pPr>
              <w:pStyle w:val="13"/>
            </w:pPr>
            <w:r>
              <w:t>上级验收部门对项目满意比例</w:t>
            </w:r>
          </w:p>
        </w:tc>
        <w:tc>
          <w:tcPr>
            <w:tcW w:w="2268" w:type="dxa"/>
            <w:vAlign w:val="center"/>
          </w:tcPr>
          <w:p>
            <w:pPr>
              <w:pStyle w:val="13"/>
            </w:pPr>
            <w:r>
              <w:t>≥85%</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受益群众与调查人数满比例</w:t>
            </w:r>
          </w:p>
        </w:tc>
        <w:tc>
          <w:tcPr>
            <w:tcW w:w="2268" w:type="dxa"/>
            <w:vAlign w:val="center"/>
          </w:tcPr>
          <w:p>
            <w:pPr>
              <w:pStyle w:val="13"/>
            </w:pPr>
            <w:r>
              <w:t>≥80%</w:t>
            </w:r>
          </w:p>
        </w:tc>
        <w:tc>
          <w:tcPr>
            <w:tcW w:w="1276" w:type="dxa"/>
            <w:vAlign w:val="center"/>
          </w:tcPr>
          <w:p>
            <w:pPr>
              <w:pStyle w:val="13"/>
            </w:pPr>
            <w:r>
              <w:t>历史指标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324无极县自然资源和规划局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无极县自然资源和规划局（含所属单位）上年末固定资产金额为730.64万元（详见下表）。本年度拟购置固定资产总额为15.00万元，已按要求列入政府采购预算，详见政府采购预算表。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324无极县自然资源和规划局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730.64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1360.33</w:t>
            </w:r>
          </w:p>
        </w:tc>
        <w:tc>
          <w:tcPr>
            <w:tcW w:w="2835" w:type="dxa"/>
            <w:vAlign w:val="center"/>
          </w:tcPr>
          <w:p>
            <w:pPr>
              <w:pStyle w:val="12"/>
            </w:pPr>
            <w:r>
              <w:t>163.04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12</w:t>
            </w:r>
          </w:p>
        </w:tc>
        <w:tc>
          <w:tcPr>
            <w:tcW w:w="2835" w:type="dxa"/>
            <w:vAlign w:val="center"/>
          </w:tcPr>
          <w:p>
            <w:pPr>
              <w:pStyle w:val="12"/>
            </w:pPr>
            <w:r>
              <w:t>127.05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2607</w:t>
            </w:r>
          </w:p>
        </w:tc>
        <w:tc>
          <w:tcPr>
            <w:tcW w:w="2835" w:type="dxa"/>
            <w:vAlign w:val="center"/>
          </w:tcPr>
          <w:p>
            <w:pPr>
              <w:pStyle w:val="12"/>
            </w:pPr>
            <w:r>
              <w:t>440.55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3E1ECE"/>
    <w:multiLevelType w:val="singleLevel"/>
    <w:tmpl w:val="F83E1EC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47761"/>
    <w:rsid w:val="02254161"/>
    <w:rsid w:val="04EA3016"/>
    <w:rsid w:val="14794EA4"/>
    <w:rsid w:val="174E114A"/>
    <w:rsid w:val="1D86477C"/>
    <w:rsid w:val="21A842C7"/>
    <w:rsid w:val="2F6E12E0"/>
    <w:rsid w:val="34F04880"/>
    <w:rsid w:val="4D666DC7"/>
    <w:rsid w:val="5339057B"/>
    <w:rsid w:val="5B1F728F"/>
    <w:rsid w:val="72B729C4"/>
    <w:rsid w:val="7D104E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TotalTime>11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2026-02-26T15:02:00Z</dcterms:created>
  <dc:creator>Administrator</dc:creator>
  <cp:lastModifiedBy>Administrator</cp:lastModifiedBy>
  <cp:lastPrinted>2026-02-26T08:42:00Z</cp:lastPrinted>
  <dcterms:modified xsi:type="dcterms:W3CDTF">2026-02-26T09:15:51Z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C1196CEC51EE43D9A226D9C4B188FD80</vt:lpwstr>
  </property>
</Properties>
</file>