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488.70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432.61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488.70</w:t>
            </w:r>
          </w:p>
        </w:tc>
        <w:tc>
          <w:tcPr>
            <w:tcW w:w="4535" w:type="dxa"/>
            <w:vAlign w:val="center"/>
          </w:tcPr>
          <w:p>
            <w:pPr>
              <w:pStyle w:val="15"/>
            </w:pPr>
            <w:r>
              <w:t>本年支出合计</w:t>
            </w:r>
          </w:p>
        </w:tc>
        <w:tc>
          <w:tcPr>
            <w:tcW w:w="2126" w:type="dxa"/>
            <w:vAlign w:val="center"/>
          </w:tcPr>
          <w:p>
            <w:pPr>
              <w:pStyle w:val="16"/>
            </w:pPr>
            <w:r>
              <w:t>502.61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13.91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502.61</w:t>
            </w:r>
          </w:p>
        </w:tc>
        <w:tc>
          <w:tcPr>
            <w:tcW w:w="4535" w:type="dxa"/>
            <w:vAlign w:val="center"/>
          </w:tcPr>
          <w:p>
            <w:pPr>
              <w:pStyle w:val="15"/>
            </w:pPr>
            <w:r>
              <w:t>支出总计</w:t>
            </w:r>
          </w:p>
        </w:tc>
        <w:tc>
          <w:tcPr>
            <w:tcW w:w="2126" w:type="dxa"/>
            <w:vAlign w:val="center"/>
          </w:tcPr>
          <w:p>
            <w:pPr>
              <w:pStyle w:val="16"/>
            </w:pPr>
            <w:r>
              <w:t>502.61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502.61</w:t>
            </w:r>
          </w:p>
        </w:tc>
        <w:tc>
          <w:tcPr>
            <w:tcW w:w="1134" w:type="dxa"/>
            <w:vAlign w:val="center"/>
          </w:tcPr>
          <w:p>
            <w:pPr>
              <w:pStyle w:val="16"/>
            </w:pPr>
            <w:r>
              <w:t>488.70</w:t>
            </w:r>
          </w:p>
        </w:tc>
        <w:tc>
          <w:tcPr>
            <w:tcW w:w="1134" w:type="dxa"/>
            <w:vAlign w:val="center"/>
          </w:tcPr>
          <w:p>
            <w:pPr>
              <w:pStyle w:val="16"/>
            </w:pPr>
            <w:r>
              <w:t>488.70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432.61</w:t>
            </w:r>
          </w:p>
        </w:tc>
        <w:tc>
          <w:tcPr>
            <w:tcW w:w="1134" w:type="dxa"/>
            <w:vAlign w:val="center"/>
          </w:tcPr>
          <w:p>
            <w:pPr>
              <w:pStyle w:val="12"/>
            </w:pPr>
            <w:r>
              <w:t>418.70</w:t>
            </w:r>
          </w:p>
        </w:tc>
        <w:tc>
          <w:tcPr>
            <w:tcW w:w="1134" w:type="dxa"/>
            <w:vAlign w:val="center"/>
          </w:tcPr>
          <w:p>
            <w:pPr>
              <w:pStyle w:val="12"/>
            </w:pPr>
            <w:r>
              <w:t>418.70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20708</w:t>
            </w:r>
          </w:p>
        </w:tc>
        <w:tc>
          <w:tcPr>
            <w:tcW w:w="1559" w:type="dxa"/>
            <w:vAlign w:val="center"/>
          </w:tcPr>
          <w:p>
            <w:pPr>
              <w:pStyle w:val="13"/>
            </w:pPr>
            <w:r>
              <w:t>广播电视</w:t>
            </w:r>
          </w:p>
        </w:tc>
        <w:tc>
          <w:tcPr>
            <w:tcW w:w="1134" w:type="dxa"/>
            <w:vAlign w:val="center"/>
          </w:tcPr>
          <w:p>
            <w:pPr>
              <w:pStyle w:val="12"/>
            </w:pPr>
            <w:r>
              <w:t>408.91</w:t>
            </w:r>
          </w:p>
        </w:tc>
        <w:tc>
          <w:tcPr>
            <w:tcW w:w="1134" w:type="dxa"/>
            <w:vAlign w:val="center"/>
          </w:tcPr>
          <w:p>
            <w:pPr>
              <w:pStyle w:val="12"/>
            </w:pPr>
            <w:r>
              <w:t>395.00</w:t>
            </w:r>
          </w:p>
        </w:tc>
        <w:tc>
          <w:tcPr>
            <w:tcW w:w="1134" w:type="dxa"/>
            <w:vAlign w:val="center"/>
          </w:tcPr>
          <w:p>
            <w:pPr>
              <w:pStyle w:val="12"/>
            </w:pPr>
            <w:r>
              <w:t>395.00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2070801</w:t>
            </w:r>
          </w:p>
        </w:tc>
        <w:tc>
          <w:tcPr>
            <w:tcW w:w="1559" w:type="dxa"/>
            <w:vAlign w:val="center"/>
          </w:tcPr>
          <w:p>
            <w:pPr>
              <w:pStyle w:val="13"/>
            </w:pPr>
            <w:r>
              <w:t>行政运行</w:t>
            </w:r>
          </w:p>
        </w:tc>
        <w:tc>
          <w:tcPr>
            <w:tcW w:w="1134" w:type="dxa"/>
            <w:vAlign w:val="center"/>
          </w:tcPr>
          <w:p>
            <w:pPr>
              <w:pStyle w:val="12"/>
            </w:pPr>
            <w:r>
              <w:t>395.00</w:t>
            </w:r>
          </w:p>
        </w:tc>
        <w:tc>
          <w:tcPr>
            <w:tcW w:w="1134" w:type="dxa"/>
            <w:vAlign w:val="center"/>
          </w:tcPr>
          <w:p>
            <w:pPr>
              <w:pStyle w:val="12"/>
            </w:pPr>
            <w:r>
              <w:t>395.00</w:t>
            </w:r>
          </w:p>
        </w:tc>
        <w:tc>
          <w:tcPr>
            <w:tcW w:w="1134" w:type="dxa"/>
            <w:vAlign w:val="center"/>
          </w:tcPr>
          <w:p>
            <w:pPr>
              <w:pStyle w:val="12"/>
            </w:pPr>
            <w:r>
              <w:t>395.00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2070808</w:t>
            </w:r>
          </w:p>
        </w:tc>
        <w:tc>
          <w:tcPr>
            <w:tcW w:w="1559" w:type="dxa"/>
            <w:vAlign w:val="center"/>
          </w:tcPr>
          <w:p>
            <w:pPr>
              <w:pStyle w:val="13"/>
            </w:pPr>
            <w:r>
              <w:t>广播电视事务</w:t>
            </w:r>
          </w:p>
        </w:tc>
        <w:tc>
          <w:tcPr>
            <w:tcW w:w="1134" w:type="dxa"/>
            <w:vAlign w:val="center"/>
          </w:tcPr>
          <w:p>
            <w:pPr>
              <w:pStyle w:val="12"/>
            </w:pPr>
            <w:r>
              <w:t>13.91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23.70</w:t>
            </w:r>
          </w:p>
        </w:tc>
        <w:tc>
          <w:tcPr>
            <w:tcW w:w="1134" w:type="dxa"/>
            <w:vAlign w:val="center"/>
          </w:tcPr>
          <w:p>
            <w:pPr>
              <w:pStyle w:val="12"/>
            </w:pPr>
            <w:r>
              <w:t>23.70</w:t>
            </w:r>
          </w:p>
        </w:tc>
        <w:tc>
          <w:tcPr>
            <w:tcW w:w="1134" w:type="dxa"/>
            <w:vAlign w:val="center"/>
          </w:tcPr>
          <w:p>
            <w:pPr>
              <w:pStyle w:val="12"/>
            </w:pPr>
            <w:r>
              <w:t>23.70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23.70</w:t>
            </w:r>
          </w:p>
        </w:tc>
        <w:tc>
          <w:tcPr>
            <w:tcW w:w="1134" w:type="dxa"/>
            <w:vAlign w:val="center"/>
          </w:tcPr>
          <w:p>
            <w:pPr>
              <w:pStyle w:val="12"/>
            </w:pPr>
            <w:r>
              <w:t>23.70</w:t>
            </w:r>
          </w:p>
        </w:tc>
        <w:tc>
          <w:tcPr>
            <w:tcW w:w="1134" w:type="dxa"/>
            <w:vAlign w:val="center"/>
          </w:tcPr>
          <w:p>
            <w:pPr>
              <w:pStyle w:val="12"/>
            </w:pPr>
            <w:r>
              <w:t>23.70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r>
              <w:t>48.00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502.61</w:t>
            </w:r>
          </w:p>
        </w:tc>
        <w:tc>
          <w:tcPr>
            <w:tcW w:w="1361" w:type="dxa"/>
            <w:vAlign w:val="center"/>
          </w:tcPr>
          <w:p>
            <w:pPr>
              <w:pStyle w:val="16"/>
            </w:pPr>
            <w:r>
              <w:t>465.00</w:t>
            </w:r>
          </w:p>
        </w:tc>
        <w:tc>
          <w:tcPr>
            <w:tcW w:w="1361" w:type="dxa"/>
            <w:vAlign w:val="center"/>
          </w:tcPr>
          <w:p>
            <w:pPr>
              <w:pStyle w:val="16"/>
            </w:pPr>
            <w:r>
              <w:t>37.61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432.61</w:t>
            </w:r>
          </w:p>
        </w:tc>
        <w:tc>
          <w:tcPr>
            <w:tcW w:w="1361" w:type="dxa"/>
            <w:vAlign w:val="center"/>
          </w:tcPr>
          <w:p>
            <w:pPr>
              <w:pStyle w:val="12"/>
            </w:pPr>
            <w:r>
              <w:t>395.00</w:t>
            </w:r>
          </w:p>
        </w:tc>
        <w:tc>
          <w:tcPr>
            <w:tcW w:w="1361" w:type="dxa"/>
            <w:vAlign w:val="center"/>
          </w:tcPr>
          <w:p>
            <w:pPr>
              <w:pStyle w:val="12"/>
            </w:pPr>
            <w:r>
              <w:t>37.61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20708</w:t>
            </w:r>
          </w:p>
        </w:tc>
        <w:tc>
          <w:tcPr>
            <w:tcW w:w="4535" w:type="dxa"/>
            <w:vAlign w:val="center"/>
          </w:tcPr>
          <w:p>
            <w:pPr>
              <w:pStyle w:val="13"/>
            </w:pPr>
            <w:r>
              <w:t>广播电视</w:t>
            </w:r>
          </w:p>
        </w:tc>
        <w:tc>
          <w:tcPr>
            <w:tcW w:w="1361" w:type="dxa"/>
            <w:vAlign w:val="center"/>
          </w:tcPr>
          <w:p>
            <w:pPr>
              <w:pStyle w:val="12"/>
            </w:pPr>
            <w:r>
              <w:t>408.91</w:t>
            </w:r>
          </w:p>
        </w:tc>
        <w:tc>
          <w:tcPr>
            <w:tcW w:w="1361" w:type="dxa"/>
            <w:vAlign w:val="center"/>
          </w:tcPr>
          <w:p>
            <w:pPr>
              <w:pStyle w:val="12"/>
            </w:pPr>
            <w:r>
              <w:t>395.00</w:t>
            </w:r>
          </w:p>
        </w:tc>
        <w:tc>
          <w:tcPr>
            <w:tcW w:w="1361" w:type="dxa"/>
            <w:vAlign w:val="center"/>
          </w:tcPr>
          <w:p>
            <w:pPr>
              <w:pStyle w:val="12"/>
            </w:pPr>
            <w:r>
              <w:t>13.91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2070801</w:t>
            </w:r>
          </w:p>
        </w:tc>
        <w:tc>
          <w:tcPr>
            <w:tcW w:w="4535" w:type="dxa"/>
            <w:vAlign w:val="center"/>
          </w:tcPr>
          <w:p>
            <w:pPr>
              <w:pStyle w:val="13"/>
            </w:pPr>
            <w:r>
              <w:t>行政运行</w:t>
            </w:r>
          </w:p>
        </w:tc>
        <w:tc>
          <w:tcPr>
            <w:tcW w:w="1361" w:type="dxa"/>
            <w:vAlign w:val="center"/>
          </w:tcPr>
          <w:p>
            <w:pPr>
              <w:pStyle w:val="12"/>
            </w:pPr>
            <w:r>
              <w:t>395.00</w:t>
            </w:r>
          </w:p>
        </w:tc>
        <w:tc>
          <w:tcPr>
            <w:tcW w:w="1361" w:type="dxa"/>
            <w:vAlign w:val="center"/>
          </w:tcPr>
          <w:p>
            <w:pPr>
              <w:pStyle w:val="12"/>
            </w:pPr>
            <w:r>
              <w:t>395.00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2070808</w:t>
            </w:r>
          </w:p>
        </w:tc>
        <w:tc>
          <w:tcPr>
            <w:tcW w:w="4535" w:type="dxa"/>
            <w:vAlign w:val="center"/>
          </w:tcPr>
          <w:p>
            <w:pPr>
              <w:pStyle w:val="13"/>
            </w:pPr>
            <w:r>
              <w:t>广播电视事务</w:t>
            </w:r>
          </w:p>
        </w:tc>
        <w:tc>
          <w:tcPr>
            <w:tcW w:w="1361" w:type="dxa"/>
            <w:vAlign w:val="center"/>
          </w:tcPr>
          <w:p>
            <w:pPr>
              <w:pStyle w:val="12"/>
            </w:pPr>
            <w:r>
              <w:t>13.91</w:t>
            </w:r>
          </w:p>
        </w:tc>
        <w:tc>
          <w:tcPr>
            <w:tcW w:w="1361" w:type="dxa"/>
            <w:vAlign w:val="center"/>
          </w:tcPr>
          <w:p>
            <w:pPr>
              <w:pStyle w:val="12"/>
            </w:pPr>
          </w:p>
        </w:tc>
        <w:tc>
          <w:tcPr>
            <w:tcW w:w="1361" w:type="dxa"/>
            <w:vAlign w:val="center"/>
          </w:tcPr>
          <w:p>
            <w:pPr>
              <w:pStyle w:val="12"/>
            </w:pPr>
            <w:r>
              <w:t>13.91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r>
              <w:t>23.70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48.00</w:t>
            </w:r>
          </w:p>
        </w:tc>
        <w:tc>
          <w:tcPr>
            <w:tcW w:w="1361" w:type="dxa"/>
            <w:vAlign w:val="center"/>
          </w:tcPr>
          <w:p>
            <w:pPr>
              <w:pStyle w:val="12"/>
            </w:pPr>
            <w:r>
              <w:t>48.00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22.00</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22.00</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22.00</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488.70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432.61</w:t>
            </w:r>
          </w:p>
        </w:tc>
        <w:tc>
          <w:tcPr>
            <w:tcW w:w="1474" w:type="dxa"/>
            <w:vAlign w:val="center"/>
          </w:tcPr>
          <w:p>
            <w:pPr>
              <w:pStyle w:val="12"/>
            </w:pPr>
            <w:r>
              <w:t>432.61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48.00</w:t>
            </w:r>
          </w:p>
        </w:tc>
        <w:tc>
          <w:tcPr>
            <w:tcW w:w="1474" w:type="dxa"/>
            <w:vAlign w:val="center"/>
          </w:tcPr>
          <w:p>
            <w:pPr>
              <w:pStyle w:val="12"/>
            </w:pPr>
            <w:r>
              <w:t>48.00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22.00</w:t>
            </w:r>
          </w:p>
        </w:tc>
        <w:tc>
          <w:tcPr>
            <w:tcW w:w="1474" w:type="dxa"/>
            <w:vAlign w:val="center"/>
          </w:tcPr>
          <w:p>
            <w:pPr>
              <w:pStyle w:val="12"/>
            </w:pPr>
            <w:r>
              <w:t>22.00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488.70</w:t>
            </w:r>
          </w:p>
        </w:tc>
        <w:tc>
          <w:tcPr>
            <w:tcW w:w="3402" w:type="dxa"/>
            <w:vAlign w:val="center"/>
          </w:tcPr>
          <w:p>
            <w:pPr>
              <w:pStyle w:val="15"/>
            </w:pPr>
            <w:r>
              <w:t>本年支出合计</w:t>
            </w:r>
          </w:p>
        </w:tc>
        <w:tc>
          <w:tcPr>
            <w:tcW w:w="1474" w:type="dxa"/>
            <w:vAlign w:val="center"/>
          </w:tcPr>
          <w:p>
            <w:pPr>
              <w:pStyle w:val="16"/>
            </w:pPr>
            <w:r>
              <w:t>502.61</w:t>
            </w:r>
          </w:p>
        </w:tc>
        <w:tc>
          <w:tcPr>
            <w:tcW w:w="1474" w:type="dxa"/>
            <w:vAlign w:val="center"/>
          </w:tcPr>
          <w:p>
            <w:pPr>
              <w:pStyle w:val="16"/>
            </w:pPr>
            <w:r>
              <w:t>502.61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13.91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13.91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502.61</w:t>
            </w:r>
          </w:p>
        </w:tc>
        <w:tc>
          <w:tcPr>
            <w:tcW w:w="3402" w:type="dxa"/>
            <w:vAlign w:val="center"/>
          </w:tcPr>
          <w:p>
            <w:pPr>
              <w:pStyle w:val="15"/>
            </w:pPr>
            <w:r>
              <w:t>支出总计</w:t>
            </w:r>
          </w:p>
        </w:tc>
        <w:tc>
          <w:tcPr>
            <w:tcW w:w="1474" w:type="dxa"/>
            <w:vAlign w:val="center"/>
          </w:tcPr>
          <w:p>
            <w:pPr>
              <w:pStyle w:val="16"/>
            </w:pPr>
            <w:r>
              <w:t>502.61</w:t>
            </w:r>
          </w:p>
        </w:tc>
        <w:tc>
          <w:tcPr>
            <w:tcW w:w="1474" w:type="dxa"/>
            <w:vAlign w:val="center"/>
          </w:tcPr>
          <w:p>
            <w:pPr>
              <w:pStyle w:val="16"/>
            </w:pPr>
            <w:r>
              <w:t>502.61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502.61</w:t>
            </w:r>
          </w:p>
        </w:tc>
        <w:tc>
          <w:tcPr>
            <w:tcW w:w="2551" w:type="dxa"/>
            <w:vAlign w:val="center"/>
          </w:tcPr>
          <w:p>
            <w:pPr>
              <w:pStyle w:val="16"/>
            </w:pPr>
            <w:r>
              <w:t>465.00</w:t>
            </w:r>
          </w:p>
        </w:tc>
        <w:tc>
          <w:tcPr>
            <w:tcW w:w="2551" w:type="dxa"/>
            <w:vAlign w:val="center"/>
          </w:tcPr>
          <w:p>
            <w:pPr>
              <w:pStyle w:val="16"/>
            </w:pPr>
            <w:r>
              <w:t>37.61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432.61</w:t>
            </w:r>
          </w:p>
        </w:tc>
        <w:tc>
          <w:tcPr>
            <w:tcW w:w="2551" w:type="dxa"/>
            <w:vAlign w:val="center"/>
          </w:tcPr>
          <w:p>
            <w:pPr>
              <w:pStyle w:val="12"/>
            </w:pPr>
            <w:r>
              <w:t>395.00</w:t>
            </w:r>
          </w:p>
        </w:tc>
        <w:tc>
          <w:tcPr>
            <w:tcW w:w="2551" w:type="dxa"/>
            <w:vAlign w:val="center"/>
          </w:tcPr>
          <w:p>
            <w:pPr>
              <w:pStyle w:val="12"/>
            </w:pPr>
            <w:r>
              <w:t>37.61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20708</w:t>
            </w:r>
          </w:p>
        </w:tc>
        <w:tc>
          <w:tcPr>
            <w:tcW w:w="4535" w:type="dxa"/>
            <w:vAlign w:val="center"/>
          </w:tcPr>
          <w:p>
            <w:pPr>
              <w:pStyle w:val="13"/>
            </w:pPr>
            <w:r>
              <w:t>广播电视</w:t>
            </w:r>
          </w:p>
        </w:tc>
        <w:tc>
          <w:tcPr>
            <w:tcW w:w="2551" w:type="dxa"/>
            <w:vAlign w:val="center"/>
          </w:tcPr>
          <w:p>
            <w:pPr>
              <w:pStyle w:val="12"/>
            </w:pPr>
            <w:r>
              <w:t>408.91</w:t>
            </w:r>
          </w:p>
        </w:tc>
        <w:tc>
          <w:tcPr>
            <w:tcW w:w="2551" w:type="dxa"/>
            <w:vAlign w:val="center"/>
          </w:tcPr>
          <w:p>
            <w:pPr>
              <w:pStyle w:val="12"/>
            </w:pPr>
            <w:r>
              <w:t>395.00</w:t>
            </w:r>
          </w:p>
        </w:tc>
        <w:tc>
          <w:tcPr>
            <w:tcW w:w="2551" w:type="dxa"/>
            <w:vAlign w:val="center"/>
          </w:tcPr>
          <w:p>
            <w:pPr>
              <w:pStyle w:val="12"/>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2070801</w:t>
            </w:r>
          </w:p>
        </w:tc>
        <w:tc>
          <w:tcPr>
            <w:tcW w:w="4535" w:type="dxa"/>
            <w:vAlign w:val="center"/>
          </w:tcPr>
          <w:p>
            <w:pPr>
              <w:pStyle w:val="13"/>
            </w:pPr>
            <w:r>
              <w:t>行政运行</w:t>
            </w:r>
          </w:p>
        </w:tc>
        <w:tc>
          <w:tcPr>
            <w:tcW w:w="2551" w:type="dxa"/>
            <w:vAlign w:val="center"/>
          </w:tcPr>
          <w:p>
            <w:pPr>
              <w:pStyle w:val="12"/>
            </w:pPr>
            <w:r>
              <w:t>395.00</w:t>
            </w:r>
          </w:p>
        </w:tc>
        <w:tc>
          <w:tcPr>
            <w:tcW w:w="2551" w:type="dxa"/>
            <w:vAlign w:val="center"/>
          </w:tcPr>
          <w:p>
            <w:pPr>
              <w:pStyle w:val="12"/>
            </w:pPr>
            <w:r>
              <w:t>395.00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2070808</w:t>
            </w:r>
          </w:p>
        </w:tc>
        <w:tc>
          <w:tcPr>
            <w:tcW w:w="4535" w:type="dxa"/>
            <w:vAlign w:val="center"/>
          </w:tcPr>
          <w:p>
            <w:pPr>
              <w:pStyle w:val="13"/>
            </w:pPr>
            <w:r>
              <w:t>广播电视事务</w:t>
            </w:r>
          </w:p>
        </w:tc>
        <w:tc>
          <w:tcPr>
            <w:tcW w:w="2551" w:type="dxa"/>
            <w:vAlign w:val="center"/>
          </w:tcPr>
          <w:p>
            <w:pPr>
              <w:pStyle w:val="12"/>
            </w:pPr>
            <w:r>
              <w:t>13.91</w:t>
            </w:r>
          </w:p>
        </w:tc>
        <w:tc>
          <w:tcPr>
            <w:tcW w:w="2551" w:type="dxa"/>
            <w:vAlign w:val="center"/>
          </w:tcPr>
          <w:p>
            <w:pPr>
              <w:pStyle w:val="12"/>
            </w:pPr>
          </w:p>
        </w:tc>
        <w:tc>
          <w:tcPr>
            <w:tcW w:w="2551" w:type="dxa"/>
            <w:vAlign w:val="center"/>
          </w:tcPr>
          <w:p>
            <w:pPr>
              <w:pStyle w:val="12"/>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23.70</w:t>
            </w:r>
          </w:p>
        </w:tc>
        <w:tc>
          <w:tcPr>
            <w:tcW w:w="2551" w:type="dxa"/>
            <w:vAlign w:val="center"/>
          </w:tcPr>
          <w:p>
            <w:pPr>
              <w:pStyle w:val="12"/>
            </w:pPr>
          </w:p>
        </w:tc>
        <w:tc>
          <w:tcPr>
            <w:tcW w:w="2551" w:type="dxa"/>
            <w:vAlign w:val="center"/>
          </w:tcPr>
          <w:p>
            <w:pPr>
              <w:pStyle w:val="12"/>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23.70</w:t>
            </w:r>
          </w:p>
        </w:tc>
        <w:tc>
          <w:tcPr>
            <w:tcW w:w="2551" w:type="dxa"/>
            <w:vAlign w:val="center"/>
          </w:tcPr>
          <w:p>
            <w:pPr>
              <w:pStyle w:val="12"/>
            </w:pPr>
          </w:p>
        </w:tc>
        <w:tc>
          <w:tcPr>
            <w:tcW w:w="2551" w:type="dxa"/>
            <w:vAlign w:val="center"/>
          </w:tcPr>
          <w:p>
            <w:pPr>
              <w:pStyle w:val="12"/>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465.00</w:t>
            </w:r>
          </w:p>
        </w:tc>
        <w:tc>
          <w:tcPr>
            <w:tcW w:w="2551" w:type="dxa"/>
            <w:vAlign w:val="center"/>
          </w:tcPr>
          <w:p>
            <w:pPr>
              <w:pStyle w:val="16"/>
            </w:pPr>
            <w:r>
              <w:t>465.00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414.00</w:t>
            </w:r>
          </w:p>
        </w:tc>
        <w:tc>
          <w:tcPr>
            <w:tcW w:w="2551" w:type="dxa"/>
            <w:vAlign w:val="center"/>
          </w:tcPr>
          <w:p>
            <w:pPr>
              <w:pStyle w:val="12"/>
            </w:pPr>
            <w:r>
              <w:t>414.00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189.00</w:t>
            </w:r>
          </w:p>
        </w:tc>
        <w:tc>
          <w:tcPr>
            <w:tcW w:w="2551" w:type="dxa"/>
            <w:vAlign w:val="center"/>
          </w:tcPr>
          <w:p>
            <w:pPr>
              <w:pStyle w:val="12"/>
            </w:pPr>
            <w:r>
              <w:t>189.00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26.00</w:t>
            </w:r>
          </w:p>
        </w:tc>
        <w:tc>
          <w:tcPr>
            <w:tcW w:w="2551" w:type="dxa"/>
            <w:vAlign w:val="center"/>
          </w:tcPr>
          <w:p>
            <w:pPr>
              <w:pStyle w:val="12"/>
            </w:pPr>
            <w:r>
              <w:t>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126.00</w:t>
            </w:r>
          </w:p>
        </w:tc>
        <w:tc>
          <w:tcPr>
            <w:tcW w:w="2551" w:type="dxa"/>
            <w:vAlign w:val="center"/>
          </w:tcPr>
          <w:p>
            <w:pPr>
              <w:pStyle w:val="12"/>
            </w:pPr>
            <w:r>
              <w:t>126.00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51.00</w:t>
            </w:r>
          </w:p>
        </w:tc>
        <w:tc>
          <w:tcPr>
            <w:tcW w:w="2551" w:type="dxa"/>
            <w:vAlign w:val="center"/>
          </w:tcPr>
          <w:p>
            <w:pPr>
              <w:pStyle w:val="12"/>
            </w:pPr>
            <w:r>
              <w:t>51.00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无极县融媒体中心（无极县广播电视台）2026年部门预算信息公开情况说明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无极县融媒体中心（无极县广播电视台）2026年部门预算信息公开情况说明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按照《中华人民共和国预算法》、《地方预决算公开操作规程》和《关于进一步推进预算公开工作的实施意见》规定，现将无极县融媒体中心（无极县广播电视台）2026年部门预算公开如下：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负责县域内各类新闻资讯的采集和编辑；</w:t>
      </w:r>
    </w:p>
    <w:p>
      <w:pPr>
        <w:pStyle w:val="18"/>
      </w:pPr>
      <w:r>
        <w:t>宣传上级党委、政府的决策部署，中心工作及重点工作，宣传本地党委和政府工作安排，传播本地政经资讯；</w:t>
      </w:r>
    </w:p>
    <w:p>
      <w:pPr>
        <w:pStyle w:val="18"/>
      </w:pPr>
      <w:r>
        <w:t>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无极县融媒体中心(无极县广播电视台)本级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按照预算管理有关规定，目前部门预算的编制实行综合预算管理，即全部收入和支出都反映在预算中。无极县融媒体中心（无极县广播电视台）机关及所属事业单位的收支包含在部门预算中。</w:t>
      </w:r>
    </w:p>
    <w:p>
      <w:pPr>
        <w:pStyle w:val="19"/>
      </w:pPr>
      <w:r>
        <w:t>1、收入说明</w:t>
      </w:r>
    </w:p>
    <w:p>
      <w:pPr>
        <w:pStyle w:val="19"/>
      </w:pPr>
      <w:r>
        <w:t>反映本部门当年全部收入。2026年预算收入502.61万元，其中：一般公共预算收入488.70万元，基金预算收入0.00万元，国有资本经营预算收入0.00万元，财政专户核拨收入0.00万元，单位资金收入0.00万元，上年结转结余13.91万元。</w:t>
      </w:r>
    </w:p>
    <w:p>
      <w:pPr>
        <w:pStyle w:val="19"/>
      </w:pPr>
      <w:r>
        <w:t>2、支出说明</w:t>
      </w:r>
    </w:p>
    <w:p>
      <w:pPr>
        <w:pStyle w:val="19"/>
      </w:pPr>
      <w:r>
        <w:t>收支预算总表支出栏、基本支出表、项目支出表按经济分类和支出功能分类科目编制，反映无极县融媒体中心（无极县广播电视台）年度部门预算中支出预算的总体情况。2026年支出预算502.61万元，其中基本支出465.00万元，包括人员经费465.00万元和日常公用经费0.00万元；项目支出37.61万元，主要为2025年中央补助地方资金结转13.91万元，提前下达2026年中央补助地方公共文化建设资金23.7万元，计划全部用于地面数字的运行和维护。；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502.61万元，较2025年预算减少17.89万元，其中：基本支出减少18.20万元，主要为日常公用无预算安排。项目支出增加0.31万元，主要为2025年中央补助地方资金结转13.91万元，提前下达2026年中央补助地方公共文化建设资金23.7万元，计划全部用于地面数字的运行和维护。。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2025年部门总体绩效目标</w:t>
      </w:r>
    </w:p>
    <w:p>
      <w:pPr>
        <w:pStyle w:val="22"/>
      </w:pPr>
      <w:r>
        <w:t xml:space="preserve">根据县委、县政府赋予职能及确定的无极县融媒体中心(无极县广播电视台)任务，2025年利用财政资金所达到的绩效目标： </w:t>
      </w:r>
    </w:p>
    <w:p>
      <w:pPr>
        <w:pStyle w:val="22"/>
      </w:pPr>
      <w:r>
        <w:t>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做好经营创收工作及按照相关规定做好公益广告的播出级依照广告法经营好各类广告业务。完整传输中央、省、市、县广播电视节目及公益无线数字电视传输，保证安全播出。</w:t>
      </w:r>
    </w:p>
    <w:p>
      <w:pPr>
        <w:pStyle w:val="22"/>
      </w:pPr>
      <w:r>
        <w:t>（二）分项绩效目标</w:t>
      </w:r>
    </w:p>
    <w:p>
      <w:pPr>
        <w:pStyle w:val="22"/>
      </w:pPr>
      <w:r>
        <w:t>分项绩效目标</w:t>
      </w:r>
    </w:p>
    <w:p>
      <w:pPr>
        <w:pStyle w:val="22"/>
      </w:pPr>
      <w:r>
        <w:t>1、新闻出版广播影视事业建设更高效</w:t>
      </w:r>
    </w:p>
    <w:p>
      <w:pPr>
        <w:pStyle w:val="22"/>
      </w:pPr>
      <w:r>
        <w:t>绩效目标：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完整安全传输中央、省、市、县广播电视节目及公益无线数字电视，安全优质播出节目。</w:t>
      </w:r>
    </w:p>
    <w:p>
      <w:pPr>
        <w:pStyle w:val="22"/>
      </w:pPr>
      <w:r>
        <w:t>绩效指标：开办新栏目、新节目数量（个）及对上报道录用率。</w:t>
      </w:r>
    </w:p>
    <w:p>
      <w:pPr>
        <w:pStyle w:val="22"/>
      </w:pPr>
      <w:r>
        <w:t>进一步完成新闻出版广播影视产业的平台建设</w:t>
      </w:r>
    </w:p>
    <w:p>
      <w:pPr>
        <w:pStyle w:val="22"/>
      </w:pPr>
      <w:r>
        <w:t>绩效目标：加快融媒体平台的建设，增加了全县人民接受信息的渠道，满足社会多元化需求。加快“无极融媒”、“魅力无极”等客户端等网络新媒体平台的建设。</w:t>
      </w:r>
    </w:p>
    <w:p>
      <w:pPr>
        <w:pStyle w:val="22"/>
      </w:pPr>
      <w:r>
        <w:t>绩效指标：新媒体融合度、新媒体设备利用率、高清数字化设备更新率。</w:t>
      </w:r>
    </w:p>
    <w:p>
      <w:pPr>
        <w:pStyle w:val="22"/>
      </w:pPr>
      <w:r>
        <w:t>节目覆盖率更加广泛、播出信号更稳定。</w:t>
      </w:r>
    </w:p>
    <w:p>
      <w:pPr>
        <w:pStyle w:val="22"/>
      </w:pPr>
      <w:r>
        <w:t>绩效目标：开始广播发射塔的建设工作，完善好各种配套基础设施的建设，提高节目覆盖面积</w:t>
      </w:r>
    </w:p>
    <w:p>
      <w:pPr>
        <w:pStyle w:val="22"/>
      </w:pPr>
    </w:p>
    <w:p>
      <w:pPr>
        <w:pStyle w:val="22"/>
      </w:pPr>
      <w:r>
        <w:t>（三）工作保障措施</w:t>
      </w:r>
    </w:p>
    <w:p>
      <w:pPr>
        <w:pStyle w:val="22"/>
      </w:pPr>
      <w:r>
        <w:t>工作保障措施</w:t>
      </w:r>
    </w:p>
    <w:p>
      <w:pPr>
        <w:pStyle w:val="22"/>
      </w:pPr>
      <w:r>
        <w:t>2025年我台将坚持以党的十九大会议精神为指导，认真学习贯彻上级关于新闻宣传工作的一系列重要指示精神，按照县委、县政府的工作部署，稳中求进，改革创新，强化工作举措，努力完成各项工作目标任务。工作保障措施如下：</w:t>
      </w:r>
    </w:p>
    <w:p>
      <w:pPr>
        <w:pStyle w:val="22"/>
      </w:pPr>
      <w:r>
        <w:t>1、完善制度。</w:t>
      </w:r>
    </w:p>
    <w:p>
      <w:pPr>
        <w:pStyle w:val="22"/>
      </w:pPr>
      <w:r>
        <w:t>根据我县预算绩效管理的实施意见，强化绩效目标管理，汇总各业务科室制定适合我台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2"/>
      </w:pPr>
      <w:r>
        <w:t>2、加强支出管理</w:t>
      </w:r>
    </w:p>
    <w:p>
      <w:pPr>
        <w:pStyle w:val="22"/>
      </w:pPr>
      <w:r>
        <w:t>优化支出结构、编细编实预算、加快履行政府采购手续、尽快启动项目、及时支付资金、6月底前细化代编预算、按规定及时下达资金等多种措施，确保支出进度达标。</w:t>
      </w:r>
    </w:p>
    <w:p>
      <w:pPr>
        <w:pStyle w:val="22"/>
      </w:pPr>
      <w:r>
        <w:t xml:space="preserve">3、加强绩效运行监控。  </w:t>
      </w:r>
    </w:p>
    <w:p>
      <w:pPr>
        <w:pStyle w:val="22"/>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2"/>
      </w:pPr>
      <w:r>
        <w:t>4、做好绩效自评。</w:t>
      </w:r>
    </w:p>
    <w:p>
      <w:pPr>
        <w:pStyle w:val="22"/>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台年度发展规划目标办。台年度发展规划目标办要加强过程管理，建立季度抽查、半年公开通报制度，以加强对年度发展规划目标责任落实的跟踪管理。</w:t>
      </w:r>
    </w:p>
    <w:p>
      <w:pPr>
        <w:pStyle w:val="22"/>
      </w:pPr>
      <w:r>
        <w:t>5、规范财务资产管理。</w:t>
      </w:r>
    </w:p>
    <w:p>
      <w:pPr>
        <w:pStyle w:val="22"/>
      </w:pPr>
      <w:r>
        <w:t>完善财务管理制度，严格审批程序，加强资金使用、完善项目管理状况，资产配置、使用、及其收益管理情况（包括成本控制、质量控制、合同管理情况）。加强固定资产登记、使用和报废处置管理，做到支出合理，物尽其用。</w:t>
      </w:r>
    </w:p>
    <w:p>
      <w:pPr>
        <w:pStyle w:val="22"/>
      </w:pPr>
      <w:r>
        <w:t>6、加强内部监督。</w:t>
      </w:r>
    </w:p>
    <w:p>
      <w:pPr>
        <w:pStyle w:val="22"/>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2"/>
      </w:pPr>
      <w:r>
        <w:t>7、加强宣传培训调研等。</w:t>
      </w:r>
    </w:p>
    <w:p>
      <w:pPr>
        <w:pStyle w:val="22"/>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13013025P000176101491</w:t>
            </w:r>
          </w:p>
        </w:tc>
        <w:tc>
          <w:tcPr>
            <w:tcW w:w="2835" w:type="dxa"/>
            <w:vAlign w:val="center"/>
          </w:tcPr>
          <w:p>
            <w:pPr>
              <w:pStyle w:val="11"/>
            </w:pPr>
            <w:r>
              <w:t>项目名称</w:t>
            </w:r>
          </w:p>
        </w:tc>
        <w:tc>
          <w:tcPr>
            <w:tcW w:w="6095" w:type="dxa"/>
            <w:gridSpan w:val="3"/>
            <w:vAlign w:val="center"/>
          </w:tcPr>
          <w:p>
            <w:pPr>
              <w:pStyle w:val="13"/>
            </w:pPr>
            <w:r>
              <w:t>关于提前下达2025年中央支持地方公共文化服务体系建设补助资金预算的通知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13.91</w:t>
            </w:r>
          </w:p>
        </w:tc>
        <w:tc>
          <w:tcPr>
            <w:tcW w:w="2835" w:type="dxa"/>
            <w:vAlign w:val="center"/>
          </w:tcPr>
          <w:p>
            <w:pPr>
              <w:pStyle w:val="11"/>
            </w:pPr>
            <w:r>
              <w:t>其中：财政    资金</w:t>
            </w:r>
          </w:p>
        </w:tc>
        <w:tc>
          <w:tcPr>
            <w:tcW w:w="2551" w:type="dxa"/>
            <w:vAlign w:val="center"/>
          </w:tcPr>
          <w:p>
            <w:pPr>
              <w:pStyle w:val="13"/>
            </w:pPr>
            <w:r>
              <w:t>13.91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13.91</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1.关于提前下达2025年中央支持地方公共文化服务体系建设补助资金预算的通知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2、关于提前下达2026年中央支持地方公共文化服务体系建设补助资金预算的通知绩效目标表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13013026P00008010002T</w:t>
            </w:r>
          </w:p>
        </w:tc>
        <w:tc>
          <w:tcPr>
            <w:tcW w:w="2835" w:type="dxa"/>
            <w:vAlign w:val="center"/>
          </w:tcPr>
          <w:p>
            <w:pPr>
              <w:pStyle w:val="11"/>
            </w:pPr>
            <w:r>
              <w:t>项目名称</w:t>
            </w:r>
          </w:p>
        </w:tc>
        <w:tc>
          <w:tcPr>
            <w:tcW w:w="6095" w:type="dxa"/>
            <w:gridSpan w:val="3"/>
            <w:vAlign w:val="center"/>
          </w:tcPr>
          <w:p>
            <w:pPr>
              <w:pStyle w:val="13"/>
            </w:pPr>
            <w:r>
              <w:t>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23.70</w:t>
            </w:r>
          </w:p>
        </w:tc>
        <w:tc>
          <w:tcPr>
            <w:tcW w:w="2835" w:type="dxa"/>
            <w:vAlign w:val="center"/>
          </w:tcPr>
          <w:p>
            <w:pPr>
              <w:pStyle w:val="11"/>
            </w:pPr>
            <w:r>
              <w:t>其中：财政    资金</w:t>
            </w:r>
          </w:p>
        </w:tc>
        <w:tc>
          <w:tcPr>
            <w:tcW w:w="2551" w:type="dxa"/>
            <w:vAlign w:val="center"/>
          </w:tcPr>
          <w:p>
            <w:pPr>
              <w:pStyle w:val="13"/>
            </w:pPr>
            <w:r>
              <w:t>23.70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用于播出机房的日常维修维护和水电暖等日常费用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11.50</w:t>
            </w:r>
          </w:p>
        </w:tc>
        <w:tc>
          <w:tcPr>
            <w:tcW w:w="2551" w:type="dxa"/>
            <w:vAlign w:val="center"/>
          </w:tcPr>
          <w:p>
            <w:pPr>
              <w:pStyle w:val="14"/>
            </w:pPr>
            <w:r>
              <w:t>18.00</w:t>
            </w:r>
          </w:p>
        </w:tc>
        <w:tc>
          <w:tcPr>
            <w:tcW w:w="3544" w:type="dxa"/>
            <w:gridSpan w:val="2"/>
            <w:vAlign w:val="center"/>
          </w:tcPr>
          <w:p>
            <w:pPr>
              <w:pStyle w:val="14"/>
            </w:pPr>
            <w:r>
              <w:t>23.70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1.关于提前下达2026年中央支持地方公共文化服务体系建设补助资金预算的通知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无极县融媒体中心（无极县广播电视台）（含所属单位）上年末固定资产金额为2587.55万元（详见下表）。本年度拟购置固定资产总额为0.00万元，已按要求列入政府采购预算，详见政府采购预算表。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220</w:t>
            </w:r>
          </w:p>
        </w:tc>
        <w:tc>
          <w:tcPr>
            <w:tcW w:w="2835"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220</w:t>
            </w:r>
          </w:p>
        </w:tc>
        <w:tc>
          <w:tcPr>
            <w:tcW w:w="2835"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51.90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6</w:t>
            </w:r>
          </w:p>
        </w:tc>
        <w:tc>
          <w:tcPr>
            <w:tcW w:w="2835" w:type="dxa"/>
            <w:vAlign w:val="center"/>
          </w:tcPr>
          <w:p>
            <w:pPr>
              <w:pStyle w:val="12"/>
            </w:pPr>
            <w:r>
              <w:t>1443.49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1504</w:t>
            </w:r>
          </w:p>
        </w:tc>
        <w:tc>
          <w:tcPr>
            <w:tcW w:w="2835" w:type="dxa"/>
            <w:vAlign w:val="center"/>
          </w:tcPr>
          <w:p>
            <w:pPr>
              <w:pStyle w:val="12"/>
            </w:pPr>
            <w:r>
              <w:t>1062.16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2B00C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2026-02-26T16:05:00Z</dcterms:created>
  <dc:creator>戴尔</dc:creator>
  <cp:lastModifiedBy>戴尔</cp:lastModifiedBy>
  <dcterms:modified xsi:type="dcterms:W3CDTF">2026-02-26T07:56:26Z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0F4271D26D994F8DAADD7FFD10C0310B</vt:lpwstr>
  </property>
</Properties>
</file>