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一、河北无极经济开发区管理委员会本级收支预算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一、河北无极经济开发区管理委员会本级收支预算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855.01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969.79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33.00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855.01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5072.79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4217.78</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5072.79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5072.79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5072.79</w:t>
            </w:r>
          </w:p>
        </w:tc>
        <w:tc>
          <w:tcPr>
            <w:tcW w:w="1134" w:type="dxa"/>
            <w:vAlign w:val="center"/>
          </w:tcPr>
          <w:p>
            <w:pPr>
              <w:pStyle w:val="单元格样式7"/>
            </w:pPr>
            <w:r>
              <w:t xml:space="preserve">855.01</w:t>
            </w:r>
          </w:p>
        </w:tc>
        <w:tc>
          <w:tcPr>
            <w:tcW w:w="1134" w:type="dxa"/>
            <w:vAlign w:val="center"/>
          </w:tcPr>
          <w:p>
            <w:pPr>
              <w:pStyle w:val="单元格样式7"/>
            </w:pPr>
            <w:r>
              <w:t xml:space="preserve">855.01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4217.78</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969.79</w:t>
            </w:r>
          </w:p>
        </w:tc>
        <w:tc>
          <w:tcPr>
            <w:tcW w:w="1134" w:type="dxa"/>
            <w:vAlign w:val="center"/>
          </w:tcPr>
          <w:p>
            <w:pPr>
              <w:pStyle w:val="单元格样式4"/>
            </w:pPr>
            <w:r>
              <w:t xml:space="preserve">752.01</w:t>
            </w:r>
          </w:p>
        </w:tc>
        <w:tc>
          <w:tcPr>
            <w:tcW w:w="1134" w:type="dxa"/>
            <w:vAlign w:val="center"/>
          </w:tcPr>
          <w:p>
            <w:pPr>
              <w:pStyle w:val="单元格样式4"/>
            </w:pPr>
            <w:r>
              <w:t xml:space="preserve">752.01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r>
              <w:t xml:space="preserve">582.01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387.78</w:t>
            </w:r>
          </w:p>
        </w:tc>
        <w:tc>
          <w:tcPr>
            <w:tcW w:w="1134" w:type="dxa"/>
            <w:vAlign w:val="center"/>
          </w:tcPr>
          <w:p>
            <w:pPr>
              <w:pStyle w:val="单元格样式4"/>
            </w:pPr>
            <w:r>
              <w:t xml:space="preserve">170.00</w:t>
            </w:r>
          </w:p>
        </w:tc>
        <w:tc>
          <w:tcPr>
            <w:tcW w:w="1134" w:type="dxa"/>
            <w:vAlign w:val="center"/>
          </w:tcPr>
          <w:p>
            <w:pPr>
              <w:pStyle w:val="单元格样式4"/>
            </w:pPr>
            <w:r>
              <w:t xml:space="preserve">170.00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217.78</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r>
              <w:t xml:space="preserve">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4000.00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4000.00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5072.79</w:t>
            </w:r>
          </w:p>
        </w:tc>
        <w:tc>
          <w:tcPr>
            <w:tcW w:w="1361" w:type="dxa"/>
            <w:vAlign w:val="center"/>
          </w:tcPr>
          <w:p>
            <w:pPr>
              <w:pStyle w:val="单元格样式7"/>
            </w:pPr>
            <w:r>
              <w:t xml:space="preserve">685.01</w:t>
            </w:r>
          </w:p>
        </w:tc>
        <w:tc>
          <w:tcPr>
            <w:tcW w:w="1361" w:type="dxa"/>
            <w:vAlign w:val="center"/>
          </w:tcPr>
          <w:p>
            <w:pPr>
              <w:pStyle w:val="单元格样式7"/>
            </w:pPr>
            <w:r>
              <w:t xml:space="preserve">4387.78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969.79</w:t>
            </w:r>
          </w:p>
        </w:tc>
        <w:tc>
          <w:tcPr>
            <w:tcW w:w="1361" w:type="dxa"/>
            <w:vAlign w:val="center"/>
          </w:tcPr>
          <w:p>
            <w:pPr>
              <w:pStyle w:val="单元格样式4"/>
            </w:pPr>
            <w:r>
              <w:t xml:space="preserve">582.01</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582.01</w:t>
            </w:r>
          </w:p>
        </w:tc>
        <w:tc>
          <w:tcPr>
            <w:tcW w:w="1361" w:type="dxa"/>
            <w:vAlign w:val="center"/>
          </w:tcPr>
          <w:p>
            <w:pPr>
              <w:pStyle w:val="单元格样式4"/>
            </w:pPr>
            <w:r>
              <w:t xml:space="preserve">582.01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r>
              <w:t xml:space="preserve">387.78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70.00</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33.00</w:t>
            </w:r>
          </w:p>
        </w:tc>
        <w:tc>
          <w:tcPr>
            <w:tcW w:w="1361" w:type="dxa"/>
            <w:vAlign w:val="center"/>
          </w:tcPr>
          <w:p>
            <w:pPr>
              <w:pStyle w:val="单元格样式4"/>
            </w:pPr>
            <w:r>
              <w:t xml:space="preserve">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r>
              <w:t xml:space="preserve">4000.00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855.01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969.79</w:t>
            </w:r>
          </w:p>
        </w:tc>
        <w:tc>
          <w:tcPr>
            <w:tcW w:w="1474" w:type="dxa"/>
            <w:vAlign w:val="center"/>
          </w:tcPr>
          <w:p>
            <w:pPr>
              <w:pStyle w:val="单元格样式4"/>
            </w:pPr>
            <w:r>
              <w:t xml:space="preserve">969.79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70.00</w:t>
            </w:r>
          </w:p>
        </w:tc>
        <w:tc>
          <w:tcPr>
            <w:tcW w:w="1474" w:type="dxa"/>
            <w:vAlign w:val="center"/>
          </w:tcPr>
          <w:p>
            <w:pPr>
              <w:pStyle w:val="单元格样式4"/>
            </w:pPr>
            <w:r>
              <w:t xml:space="preserve">70.00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33.00</w:t>
            </w:r>
          </w:p>
        </w:tc>
        <w:tc>
          <w:tcPr>
            <w:tcW w:w="1474" w:type="dxa"/>
            <w:vAlign w:val="center"/>
          </w:tcPr>
          <w:p>
            <w:pPr>
              <w:pStyle w:val="单元格样式4"/>
            </w:pPr>
            <w:r>
              <w:t xml:space="preserve">33.00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4000.00</w:t>
            </w:r>
          </w:p>
        </w:tc>
        <w:tc>
          <w:tcPr>
            <w:tcW w:w="1474" w:type="dxa"/>
            <w:vAlign w:val="center"/>
          </w:tcPr>
          <w:p>
            <w:pPr>
              <w:pStyle w:val="单元格样式4"/>
            </w:pPr>
          </w:p>
        </w:tc>
        <w:tc>
          <w:tcPr>
            <w:tcW w:w="1474" w:type="dxa"/>
            <w:vAlign w:val="center"/>
          </w:tcPr>
          <w:p>
            <w:pPr>
              <w:pStyle w:val="单元格样式4"/>
            </w:pPr>
            <w:r>
              <w:t xml:space="preserve">4000.00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855.01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4217.78</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217.78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4000.00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5072.79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5072.79</w:t>
            </w:r>
          </w:p>
        </w:tc>
        <w:tc>
          <w:tcPr>
            <w:tcW w:w="1474" w:type="dxa"/>
            <w:vAlign w:val="center"/>
          </w:tcPr>
          <w:p>
            <w:pPr>
              <w:pStyle w:val="单元格样式7"/>
            </w:pPr>
            <w:r>
              <w:t xml:space="preserve">1072.79</w:t>
            </w:r>
          </w:p>
        </w:tc>
        <w:tc>
          <w:tcPr>
            <w:tcW w:w="1474" w:type="dxa"/>
            <w:vAlign w:val="center"/>
          </w:tcPr>
          <w:p>
            <w:pPr>
              <w:pStyle w:val="单元格样式7"/>
            </w:pPr>
            <w:r>
              <w:t xml:space="preserve">4000.00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1072.79</w:t>
            </w:r>
          </w:p>
        </w:tc>
        <w:tc>
          <w:tcPr>
            <w:tcW w:w="2551" w:type="dxa"/>
            <w:vAlign w:val="center"/>
          </w:tcPr>
          <w:p>
            <w:pPr>
              <w:pStyle w:val="单元格样式7"/>
            </w:pPr>
            <w:r>
              <w:t xml:space="preserve">685.01</w:t>
            </w:r>
          </w:p>
        </w:tc>
        <w:tc>
          <w:tcPr>
            <w:tcW w:w="2551" w:type="dxa"/>
            <w:vAlign w:val="center"/>
          </w:tcPr>
          <w:p>
            <w:pPr>
              <w:pStyle w:val="单元格样式7"/>
            </w:pPr>
            <w:r>
              <w:t xml:space="preserve">387.78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969.79</w:t>
            </w:r>
          </w:p>
        </w:tc>
        <w:tc>
          <w:tcPr>
            <w:tcW w:w="2551" w:type="dxa"/>
            <w:vAlign w:val="center"/>
          </w:tcPr>
          <w:p>
            <w:pPr>
              <w:pStyle w:val="单元格样式4"/>
            </w:pPr>
            <w:r>
              <w:t xml:space="preserve">582.01</w:t>
            </w: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582.01</w:t>
            </w:r>
          </w:p>
        </w:tc>
        <w:tc>
          <w:tcPr>
            <w:tcW w:w="2551" w:type="dxa"/>
            <w:vAlign w:val="center"/>
          </w:tcPr>
          <w:p>
            <w:pPr>
              <w:pStyle w:val="单元格样式4"/>
            </w:pPr>
            <w:r>
              <w:t xml:space="preserve">582.01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387.78</w:t>
            </w:r>
          </w:p>
        </w:tc>
        <w:tc>
          <w:tcPr>
            <w:tcW w:w="2551" w:type="dxa"/>
            <w:vAlign w:val="center"/>
          </w:tcPr>
          <w:p>
            <w:pPr>
              <w:pStyle w:val="单元格样式4"/>
            </w:pPr>
          </w:p>
        </w:tc>
        <w:tc>
          <w:tcPr>
            <w:tcW w:w="2551" w:type="dxa"/>
            <w:vAlign w:val="center"/>
          </w:tcPr>
          <w:p>
            <w:pPr>
              <w:pStyle w:val="单元格样式4"/>
            </w:pPr>
            <w:r>
              <w:t xml:space="preserve">387.78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685.01</w:t>
            </w:r>
          </w:p>
        </w:tc>
        <w:tc>
          <w:tcPr>
            <w:tcW w:w="2551" w:type="dxa"/>
            <w:vAlign w:val="center"/>
          </w:tcPr>
          <w:p>
            <w:pPr>
              <w:pStyle w:val="单元格样式7"/>
            </w:pPr>
            <w:r>
              <w:t xml:space="preserve">637.30</w:t>
            </w:r>
          </w:p>
        </w:tc>
        <w:tc>
          <w:tcPr>
            <w:tcW w:w="2551" w:type="dxa"/>
            <w:vAlign w:val="center"/>
          </w:tcPr>
          <w:p>
            <w:pPr>
              <w:pStyle w:val="单元格样式7"/>
            </w:pPr>
            <w:r>
              <w:t xml:space="preserve">47.71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632.00</w:t>
            </w:r>
          </w:p>
        </w:tc>
        <w:tc>
          <w:tcPr>
            <w:tcW w:w="2551" w:type="dxa"/>
            <w:vAlign w:val="center"/>
          </w:tcPr>
          <w:p>
            <w:pPr>
              <w:pStyle w:val="单元格样式4"/>
            </w:pPr>
            <w:r>
              <w:t xml:space="preserve">632.00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300.00</w:t>
            </w:r>
          </w:p>
        </w:tc>
        <w:tc>
          <w:tcPr>
            <w:tcW w:w="2551" w:type="dxa"/>
            <w:vAlign w:val="center"/>
          </w:tcPr>
          <w:p>
            <w:pPr>
              <w:pStyle w:val="单元格样式4"/>
            </w:pPr>
            <w:r>
              <w:t xml:space="preserve">300.00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53.00</w:t>
            </w:r>
          </w:p>
        </w:tc>
        <w:tc>
          <w:tcPr>
            <w:tcW w:w="2551" w:type="dxa"/>
            <w:vAlign w:val="center"/>
          </w:tcPr>
          <w:p>
            <w:pPr>
              <w:pStyle w:val="单元格样式4"/>
            </w:pPr>
            <w:r>
              <w:t xml:space="preserve">53.00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31.00</w:t>
            </w:r>
          </w:p>
        </w:tc>
        <w:tc>
          <w:tcPr>
            <w:tcW w:w="2551" w:type="dxa"/>
            <w:vAlign w:val="center"/>
          </w:tcPr>
          <w:p>
            <w:pPr>
              <w:pStyle w:val="单元格样式4"/>
            </w:pPr>
            <w:r>
              <w:t xml:space="preserve">31.00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141.00</w:t>
            </w:r>
          </w:p>
        </w:tc>
        <w:tc>
          <w:tcPr>
            <w:tcW w:w="2551" w:type="dxa"/>
            <w:vAlign w:val="center"/>
          </w:tcPr>
          <w:p>
            <w:pPr>
              <w:pStyle w:val="单元格样式4"/>
            </w:pPr>
            <w:r>
              <w:t xml:space="preserve">141.00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70.00</w:t>
            </w:r>
          </w:p>
        </w:tc>
        <w:tc>
          <w:tcPr>
            <w:tcW w:w="2551" w:type="dxa"/>
            <w:vAlign w:val="center"/>
          </w:tcPr>
          <w:p>
            <w:pPr>
              <w:pStyle w:val="单元格样式4"/>
            </w:pPr>
            <w:r>
              <w:t xml:space="preserve">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33.00</w:t>
            </w:r>
          </w:p>
        </w:tc>
        <w:tc>
          <w:tcPr>
            <w:tcW w:w="2551" w:type="dxa"/>
            <w:vAlign w:val="center"/>
          </w:tcPr>
          <w:p>
            <w:pPr>
              <w:pStyle w:val="单元格样式4"/>
            </w:pPr>
            <w:r>
              <w:t xml:space="preserve">33.00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4.00</w:t>
            </w:r>
          </w:p>
        </w:tc>
        <w:tc>
          <w:tcPr>
            <w:tcW w:w="2551" w:type="dxa"/>
            <w:vAlign w:val="center"/>
          </w:tcPr>
          <w:p>
            <w:pPr>
              <w:pStyle w:val="单元格样式4"/>
            </w:pPr>
            <w:r>
              <w:t xml:space="preserve">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47.71</w:t>
            </w:r>
          </w:p>
        </w:tc>
        <w:tc>
          <w:tcPr>
            <w:tcW w:w="2551" w:type="dxa"/>
            <w:vAlign w:val="center"/>
          </w:tcPr>
          <w:p>
            <w:pPr>
              <w:pStyle w:val="单元格样式4"/>
            </w:pPr>
          </w:p>
        </w:tc>
        <w:tc>
          <w:tcPr>
            <w:tcW w:w="2551" w:type="dxa"/>
            <w:vAlign w:val="center"/>
          </w:tcPr>
          <w:p>
            <w:pPr>
              <w:pStyle w:val="单元格样式4"/>
            </w:pPr>
            <w:r>
              <w:t xml:space="preserve">47.71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29.00</w:t>
            </w:r>
          </w:p>
        </w:tc>
        <w:tc>
          <w:tcPr>
            <w:tcW w:w="2551" w:type="dxa"/>
            <w:vAlign w:val="center"/>
          </w:tcPr>
          <w:p>
            <w:pPr>
              <w:pStyle w:val="单元格样式4"/>
            </w:pPr>
          </w:p>
        </w:tc>
        <w:tc>
          <w:tcPr>
            <w:tcW w:w="2551" w:type="dxa"/>
            <w:vAlign w:val="center"/>
          </w:tcPr>
          <w:p>
            <w:pPr>
              <w:pStyle w:val="单元格样式4"/>
            </w:pPr>
            <w:r>
              <w:t xml:space="preserve">29.00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6.30</w:t>
            </w:r>
          </w:p>
        </w:tc>
        <w:tc>
          <w:tcPr>
            <w:tcW w:w="2551" w:type="dxa"/>
            <w:vAlign w:val="center"/>
          </w:tcPr>
          <w:p>
            <w:pPr>
              <w:pStyle w:val="单元格样式4"/>
            </w:pPr>
          </w:p>
        </w:tc>
        <w:tc>
          <w:tcPr>
            <w:tcW w:w="2551" w:type="dxa"/>
            <w:vAlign w:val="center"/>
          </w:tcPr>
          <w:p>
            <w:pPr>
              <w:pStyle w:val="单元格样式4"/>
            </w:pPr>
            <w:r>
              <w:t xml:space="preserve">6.30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5.30</w:t>
            </w:r>
          </w:p>
        </w:tc>
        <w:tc>
          <w:tcPr>
            <w:tcW w:w="2551" w:type="dxa"/>
            <w:vAlign w:val="center"/>
          </w:tcPr>
          <w:p>
            <w:pPr>
              <w:pStyle w:val="单元格样式4"/>
            </w:pPr>
            <w:r>
              <w:t xml:space="preserve">5.30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4000.00</w:t>
            </w:r>
          </w:p>
        </w:tc>
        <w:tc>
          <w:tcPr>
            <w:tcW w:w="2551" w:type="dxa"/>
            <w:vAlign w:val="center"/>
          </w:tcPr>
          <w:p>
            <w:pPr>
              <w:pStyle w:val="单元格样式7"/>
            </w:pPr>
          </w:p>
        </w:tc>
        <w:tc>
          <w:tcPr>
            <w:tcW w:w="2551" w:type="dxa"/>
            <w:vAlign w:val="center"/>
          </w:tcPr>
          <w:p>
            <w:pPr>
              <w:pStyle w:val="单元格样式7"/>
            </w:pPr>
            <w:r>
              <w:t xml:space="preserve">4000.00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4000.00</w:t>
            </w:r>
          </w:p>
        </w:tc>
        <w:tc>
          <w:tcPr>
            <w:tcW w:w="2551" w:type="dxa"/>
            <w:vAlign w:val="center"/>
          </w:tcPr>
          <w:p>
            <w:pPr>
              <w:pStyle w:val="单元格样式4"/>
            </w:pPr>
          </w:p>
        </w:tc>
        <w:tc>
          <w:tcPr>
            <w:tcW w:w="2551" w:type="dxa"/>
            <w:vAlign w:val="center"/>
          </w:tcPr>
          <w:p>
            <w:pPr>
              <w:pStyle w:val="单元格样式4"/>
            </w:pPr>
            <w:r>
              <w:t xml:space="preserve">4000.00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河北无极经济开发区管理委员会本级2026年单位预算信息公开情况说明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按照《中华人民共和国预算法》、《地方预决算公开操作规程》和《关于进一步推进预算公开工作的实施意见》规定，现将河北无极经济开发区管理委员会本级2026年单位预算公开如下：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河北无极经济开发区管理委员会本级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5072.79万元，其中：一般公共预算收入855.01万元，基金预算收入0.00万元，国有资本经营预算收入0.00万元，财政专户核拨收入0.00万元，单位资金收入0.00万元，上年结转结余4217.78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河北无极经济开发区管理委员会本级年度单位预算中支出预算的总体情况。2026年支出预算5072.79万元，其中基本支出685.01万元，包括人员经费637.30万元和日常公用经费47.71万元；项目支出4387.78万元，主要为里城道乡工业园区鸿瑞大道等三条道路新建工程117.7774万元，无极经济开发区北区创业大道等路面排水改造工程100万元，无极经济开发区污水、再生水等基础设施配套工程2000万，无极经济开发区西区公共服务平台及配套设施工程2000万，开发区绩效奖金170万。；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5072.79万元，较2025年预算增加4008.91万元，其中：基本支出减少11.09万元，主要为2026年人员增加，人员经费增加6.2万元，日常公用经费减少17.29万元.项目支出增加4020.00万元，主要为主要为2026年项目增加，增加无极经济开发区污水、再生水等基础设施配套工程和无极经济开发区西区公共服务平台及配套设施工程。。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2026年，我单位机关运行经费共计安排47.71万元，主要用于日常维修、办公用房水电费、办公用房取暖费、办公用房物业管理费等日常运行支出。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公车运维费减少，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1、开发区绩效绩效目标表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13013026P00006610045Q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开发区绩效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开发区奖励绩效资金。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1.开发区绩效奖励工资。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数据入库</w:t>
            </w:r>
          </w:p>
        </w:tc>
        <w:tc>
          <w:tcPr>
            <w:tcW w:w="5386" w:type="dxa"/>
            <w:vAlign w:val="center"/>
          </w:tcPr>
          <w:p>
            <w:pPr>
              <w:pStyle w:val="单元格样式2"/>
            </w:pPr>
            <w:r>
              <w:t xml:space="preserve">数据入库</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项目实现功能</w:t>
            </w:r>
          </w:p>
        </w:tc>
        <w:tc>
          <w:tcPr>
            <w:tcW w:w="5386" w:type="dxa"/>
            <w:vAlign w:val="center"/>
          </w:tcPr>
          <w:p>
            <w:pPr>
              <w:pStyle w:val="单元格样式2"/>
            </w:pPr>
            <w:r>
              <w:t xml:space="preserve">项目实现功能</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w:t>
            </w:r>
          </w:p>
        </w:tc>
        <w:tc>
          <w:tcPr>
            <w:tcW w:w="5386" w:type="dxa"/>
            <w:vAlign w:val="center"/>
          </w:tcPr>
          <w:p>
            <w:pPr>
              <w:pStyle w:val="单元格样式2"/>
            </w:pPr>
            <w:r>
              <w:t xml:space="preserve">项目持续发挥作用</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公众满意度</w:t>
            </w:r>
          </w:p>
        </w:tc>
        <w:tc>
          <w:tcPr>
            <w:tcW w:w="5386" w:type="dxa"/>
            <w:vAlign w:val="center"/>
          </w:tcPr>
          <w:p>
            <w:pPr>
              <w:pStyle w:val="单元格样式2"/>
            </w:pPr>
            <w:r>
              <w:t xml:space="preserve">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2、里城道乡工业区鸿瑞大道等三条道路新建工程绩效目标表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13013025P00010210002M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里城道乡工业区鸿瑞大道等三条道路新建工程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117.78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117.78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里程道乡工业区鸿瑞大道等三条道路新建工程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1.里城道乡工业区鸿瑞大道等三条道路新建工程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提高效率</w:t>
            </w:r>
          </w:p>
        </w:tc>
        <w:tc>
          <w:tcPr>
            <w:tcW w:w="5386" w:type="dxa"/>
            <w:vAlign w:val="center"/>
          </w:tcPr>
          <w:p>
            <w:pPr>
              <w:pStyle w:val="单元格样式2"/>
            </w:pPr>
            <w:r>
              <w:t xml:space="preserve">提高效率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运行管理单位满意度</w:t>
            </w:r>
          </w:p>
        </w:tc>
        <w:tc>
          <w:tcPr>
            <w:tcW w:w="5386" w:type="dxa"/>
            <w:vAlign w:val="center"/>
          </w:tcPr>
          <w:p>
            <w:pPr>
              <w:pStyle w:val="单元格样式2"/>
            </w:pPr>
            <w:r>
              <w:t xml:space="preserve">运行管理单位满意度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3、无极经济开发区北区创业大道等路面排水改造工程绩效目标表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13013025P000114100028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无极经济开发区北区创业大道等路面排水改造工程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无极经济开发区北区创业大道等道路排水改造工程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1.北区创业大道等路面排水改造工程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年度任务完成率</w:t>
            </w:r>
          </w:p>
        </w:tc>
        <w:tc>
          <w:tcPr>
            <w:tcW w:w="5386" w:type="dxa"/>
            <w:vAlign w:val="center"/>
          </w:tcPr>
          <w:p>
            <w:pPr>
              <w:pStyle w:val="单元格样式2"/>
            </w:pPr>
            <w:r>
              <w:t xml:space="preserve">年度任务完成率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4、无极经济开发区污水、再生水等基础设施配套工程绩效目标表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无极经济开发区污水、再生水等基础设施配套工程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1.无极经济开发区污水。再生水配套设施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研究报告数量</w:t>
            </w:r>
          </w:p>
        </w:tc>
        <w:tc>
          <w:tcPr>
            <w:tcW w:w="5386" w:type="dxa"/>
            <w:vAlign w:val="center"/>
          </w:tcPr>
          <w:p>
            <w:pPr>
              <w:pStyle w:val="单元格样式2"/>
            </w:pPr>
            <w:r>
              <w:t xml:space="preserve">反映项目形成的研究报告数量情况。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初步验收</w:t>
            </w:r>
          </w:p>
        </w:tc>
        <w:tc>
          <w:tcPr>
            <w:tcW w:w="5386" w:type="dxa"/>
            <w:vAlign w:val="center"/>
          </w:tcPr>
          <w:p>
            <w:pPr>
              <w:pStyle w:val="单元格样式2"/>
            </w:pPr>
            <w:r>
              <w:t xml:space="preserve">初步验收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拨款执行进度(%)</w:t>
            </w:r>
          </w:p>
        </w:tc>
        <w:tc>
          <w:tcPr>
            <w:tcW w:w="5386" w:type="dxa"/>
            <w:vAlign w:val="center"/>
          </w:tcPr>
          <w:p>
            <w:pPr>
              <w:pStyle w:val="单元格样式2"/>
            </w:pPr>
            <w:r>
              <w:t xml:space="preserve">拨款执行进度(%)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项目规划准确率</w:t>
            </w:r>
          </w:p>
        </w:tc>
        <w:tc>
          <w:tcPr>
            <w:tcW w:w="5386" w:type="dxa"/>
            <w:vAlign w:val="center"/>
          </w:tcPr>
          <w:p>
            <w:pPr>
              <w:pStyle w:val="单元格样式2"/>
            </w:pPr>
            <w:r>
              <w:t xml:space="preserve">项目规划准确率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5、无极经济开发区西区公共服务平台及配套设施工程绩效目标表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13013025P00014510004T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无极经济开发区西区公共服务平台及配套设施工程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500.00</w:t>
            </w:r>
          </w:p>
        </w:tc>
        <w:tc>
          <w:tcPr>
            <w:tcW w:w="2835" w:type="dxa"/>
            <w:vAlign w:val="center"/>
          </w:tcPr>
          <w:p>
            <w:pPr>
              <w:pStyle w:val="单元格样式3"/>
            </w:pPr>
            <w:r>
              <w:t xml:space="preserve">1000.00</w:t>
            </w:r>
          </w:p>
        </w:tc>
        <w:tc>
          <w:tcPr>
            <w:tcW w:w="2551" w:type="dxa"/>
            <w:vAlign w:val="center"/>
          </w:tcPr>
          <w:p>
            <w:pPr>
              <w:pStyle w:val="单元格样式3"/>
            </w:pPr>
            <w:r>
              <w:t xml:space="preserve">1500.00</w:t>
            </w:r>
          </w:p>
        </w:tc>
        <w:tc>
          <w:tcPr>
            <w:tcW w:w="3544" w:type="dxa"/>
            <w:gridSpan w:val="2"/>
            <w:vAlign w:val="center"/>
          </w:tcPr>
          <w:p>
            <w:pPr>
              <w:pStyle w:val="单元格样式3"/>
            </w:pPr>
            <w:r>
              <w:t xml:space="preserve">2000.00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1.无极经济开发区西区公共服务平台配套设施</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保障性住房开工率（%）</w:t>
            </w:r>
          </w:p>
        </w:tc>
        <w:tc>
          <w:tcPr>
            <w:tcW w:w="5386" w:type="dxa"/>
            <w:vAlign w:val="center"/>
          </w:tcPr>
          <w:p>
            <w:pPr>
              <w:pStyle w:val="单元格样式2"/>
            </w:pPr>
            <w:r>
              <w:t xml:space="preserve">保障性住房开工率（%）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研究成果可利用性</w:t>
            </w:r>
          </w:p>
        </w:tc>
        <w:tc>
          <w:tcPr>
            <w:tcW w:w="5386" w:type="dxa"/>
            <w:vAlign w:val="center"/>
          </w:tcPr>
          <w:p>
            <w:pPr>
              <w:pStyle w:val="单元格样式2"/>
            </w:pPr>
            <w:r>
              <w:t xml:space="preserve">研究成果可利用性</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≥95是否完成</w:t>
            </w:r>
          </w:p>
        </w:tc>
        <w:tc>
          <w:tcPr>
            <w:tcW w:w="1276" w:type="dxa"/>
            <w:vAlign w:val="center"/>
          </w:tcPr>
          <w:p>
            <w:pPr>
              <w:pStyle w:val="单元格样式2"/>
            </w:pPr>
            <w:r>
              <w:t xml:space="preserve">政府批示</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河北无极经济开发区管理委员会本级上年末固定资产金额为237.74万元（详见下表）。本年度拟购置固定资产总额为0.00万元，已按要求列入政府采购预算，详见政府采购预算表。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607001河北无极经济开发区管理委员会本级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237.74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16.32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472</w:t>
            </w:r>
          </w:p>
        </w:tc>
        <w:tc>
          <w:tcPr>
            <w:tcW w:w="2835" w:type="dxa"/>
            <w:vAlign w:val="center"/>
          </w:tcPr>
          <w:p>
            <w:pPr>
              <w:pStyle w:val="单元格样式4"/>
            </w:pPr>
            <w:r>
              <w:t xml:space="preserve">221.42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2026-03-04T08:31:53Z</dcterms:created>
  <dcterms:modified xsi:type="dcterms:W3CDTF">2026-03-04T08:31:53Z</dcterms:modified>
</cp:coreProperties>
</file>