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937无极县东侯坊镇人民政府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1125.11</w:t>
            </w:r>
          </w:p>
        </w:tc>
        <w:tc>
          <w:tcPr>
            <w:tcW w:w="4535" w:type="dxa"/>
            <w:vAlign w:val="center"/>
          </w:tcPr>
          <w:p>
            <w:pPr>
              <w:pStyle w:val="13"/>
            </w:pPr>
            <w:r>
              <w:t>一、一般公共服务支出</w:t>
            </w:r>
          </w:p>
        </w:tc>
        <w:tc>
          <w:tcPr>
            <w:tcW w:w="2126" w:type="dxa"/>
            <w:vAlign w:val="center"/>
          </w:tcPr>
          <w:p>
            <w:pPr>
              <w:pStyle w:val="12"/>
            </w:pPr>
            <w:r>
              <w:t>988.31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42.80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1125.11</w:t>
            </w:r>
          </w:p>
        </w:tc>
        <w:tc>
          <w:tcPr>
            <w:tcW w:w="4535" w:type="dxa"/>
            <w:vAlign w:val="center"/>
          </w:tcPr>
          <w:p>
            <w:pPr>
              <w:pStyle w:val="15"/>
            </w:pPr>
            <w:r>
              <w:t>本年支出合计</w:t>
            </w:r>
          </w:p>
        </w:tc>
        <w:tc>
          <w:tcPr>
            <w:tcW w:w="2126" w:type="dxa"/>
            <w:vAlign w:val="center"/>
          </w:tcPr>
          <w:p>
            <w:pPr>
              <w:pStyle w:val="16"/>
            </w:pPr>
            <w:r>
              <w:t>1274.11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149.00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1274.11</w:t>
            </w:r>
          </w:p>
        </w:tc>
        <w:tc>
          <w:tcPr>
            <w:tcW w:w="4535" w:type="dxa"/>
            <w:vAlign w:val="center"/>
          </w:tcPr>
          <w:p>
            <w:pPr>
              <w:pStyle w:val="15"/>
            </w:pPr>
            <w:r>
              <w:t>支出总计</w:t>
            </w:r>
          </w:p>
        </w:tc>
        <w:tc>
          <w:tcPr>
            <w:tcW w:w="2126" w:type="dxa"/>
            <w:vAlign w:val="center"/>
          </w:tcPr>
          <w:p>
            <w:pPr>
              <w:pStyle w:val="16"/>
            </w:pPr>
            <w:r>
              <w:t>1274.11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937无极县东侯坊镇人民政府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1274.11</w:t>
            </w:r>
          </w:p>
        </w:tc>
        <w:tc>
          <w:tcPr>
            <w:tcW w:w="1134" w:type="dxa"/>
            <w:vAlign w:val="center"/>
          </w:tcPr>
          <w:p>
            <w:pPr>
              <w:pStyle w:val="16"/>
            </w:pPr>
            <w:r>
              <w:t>1125.11</w:t>
            </w:r>
          </w:p>
        </w:tc>
        <w:tc>
          <w:tcPr>
            <w:tcW w:w="1134" w:type="dxa"/>
            <w:vAlign w:val="center"/>
          </w:tcPr>
          <w:p>
            <w:pPr>
              <w:pStyle w:val="16"/>
            </w:pPr>
            <w:r>
              <w:t>1125.11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988.31</w:t>
            </w:r>
          </w:p>
        </w:tc>
        <w:tc>
          <w:tcPr>
            <w:tcW w:w="1134" w:type="dxa"/>
            <w:vAlign w:val="center"/>
          </w:tcPr>
          <w:p>
            <w:pPr>
              <w:pStyle w:val="12"/>
            </w:pPr>
            <w:r>
              <w:t>988.31</w:t>
            </w:r>
          </w:p>
        </w:tc>
        <w:tc>
          <w:tcPr>
            <w:tcW w:w="1134" w:type="dxa"/>
            <w:vAlign w:val="center"/>
          </w:tcPr>
          <w:p>
            <w:pPr>
              <w:pStyle w:val="12"/>
            </w:pPr>
            <w:r>
              <w:t>988.31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988.31</w:t>
            </w:r>
          </w:p>
        </w:tc>
        <w:tc>
          <w:tcPr>
            <w:tcW w:w="1134" w:type="dxa"/>
            <w:vAlign w:val="center"/>
          </w:tcPr>
          <w:p>
            <w:pPr>
              <w:pStyle w:val="12"/>
            </w:pPr>
            <w:r>
              <w:t>988.31</w:t>
            </w:r>
          </w:p>
        </w:tc>
        <w:tc>
          <w:tcPr>
            <w:tcW w:w="1134" w:type="dxa"/>
            <w:vAlign w:val="center"/>
          </w:tcPr>
          <w:p>
            <w:pPr>
              <w:pStyle w:val="12"/>
            </w:pPr>
            <w:r>
              <w:t>988.31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988.31</w:t>
            </w:r>
          </w:p>
        </w:tc>
        <w:tc>
          <w:tcPr>
            <w:tcW w:w="1134" w:type="dxa"/>
            <w:vAlign w:val="center"/>
          </w:tcPr>
          <w:p>
            <w:pPr>
              <w:pStyle w:val="12"/>
            </w:pPr>
            <w:r>
              <w:t>988.31</w:t>
            </w:r>
          </w:p>
        </w:tc>
        <w:tc>
          <w:tcPr>
            <w:tcW w:w="1134" w:type="dxa"/>
            <w:vAlign w:val="center"/>
          </w:tcPr>
          <w:p>
            <w:pPr>
              <w:pStyle w:val="12"/>
            </w:pPr>
            <w:r>
              <w:t>988.31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94.00</w:t>
            </w:r>
          </w:p>
        </w:tc>
        <w:tc>
          <w:tcPr>
            <w:tcW w:w="1134" w:type="dxa"/>
            <w:vAlign w:val="center"/>
          </w:tcPr>
          <w:p>
            <w:pPr>
              <w:pStyle w:val="12"/>
            </w:pPr>
            <w:r>
              <w:t>94.00</w:t>
            </w:r>
          </w:p>
        </w:tc>
        <w:tc>
          <w:tcPr>
            <w:tcW w:w="1134" w:type="dxa"/>
            <w:vAlign w:val="center"/>
          </w:tcPr>
          <w:p>
            <w:pPr>
              <w:pStyle w:val="12"/>
            </w:pPr>
            <w:r>
              <w:t>94.00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94.00</w:t>
            </w:r>
          </w:p>
        </w:tc>
        <w:tc>
          <w:tcPr>
            <w:tcW w:w="1134" w:type="dxa"/>
            <w:vAlign w:val="center"/>
          </w:tcPr>
          <w:p>
            <w:pPr>
              <w:pStyle w:val="12"/>
            </w:pPr>
            <w:r>
              <w:t>94.00</w:t>
            </w:r>
          </w:p>
        </w:tc>
        <w:tc>
          <w:tcPr>
            <w:tcW w:w="1134" w:type="dxa"/>
            <w:vAlign w:val="center"/>
          </w:tcPr>
          <w:p>
            <w:pPr>
              <w:pStyle w:val="12"/>
            </w:pPr>
            <w:r>
              <w:t>94.00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94.00</w:t>
            </w:r>
          </w:p>
        </w:tc>
        <w:tc>
          <w:tcPr>
            <w:tcW w:w="1134" w:type="dxa"/>
            <w:vAlign w:val="center"/>
          </w:tcPr>
          <w:p>
            <w:pPr>
              <w:pStyle w:val="12"/>
            </w:pPr>
            <w:r>
              <w:t>94.00</w:t>
            </w:r>
          </w:p>
        </w:tc>
        <w:tc>
          <w:tcPr>
            <w:tcW w:w="1134" w:type="dxa"/>
            <w:vAlign w:val="center"/>
          </w:tcPr>
          <w:p>
            <w:pPr>
              <w:pStyle w:val="12"/>
            </w:pPr>
            <w:r>
              <w:t>94.00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42.80</w:t>
            </w:r>
          </w:p>
        </w:tc>
        <w:tc>
          <w:tcPr>
            <w:tcW w:w="1134" w:type="dxa"/>
            <w:vAlign w:val="center"/>
          </w:tcPr>
          <w:p>
            <w:pPr>
              <w:pStyle w:val="12"/>
            </w:pPr>
            <w:r>
              <w:t>42.80</w:t>
            </w:r>
          </w:p>
        </w:tc>
        <w:tc>
          <w:tcPr>
            <w:tcW w:w="1134" w:type="dxa"/>
            <w:vAlign w:val="center"/>
          </w:tcPr>
          <w:p>
            <w:pPr>
              <w:pStyle w:val="12"/>
            </w:pPr>
            <w:r>
              <w:t>42.80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42.80</w:t>
            </w:r>
          </w:p>
        </w:tc>
        <w:tc>
          <w:tcPr>
            <w:tcW w:w="1134" w:type="dxa"/>
            <w:vAlign w:val="center"/>
          </w:tcPr>
          <w:p>
            <w:pPr>
              <w:pStyle w:val="12"/>
            </w:pPr>
            <w:r>
              <w:t>42.80</w:t>
            </w:r>
          </w:p>
        </w:tc>
        <w:tc>
          <w:tcPr>
            <w:tcW w:w="1134" w:type="dxa"/>
            <w:vAlign w:val="center"/>
          </w:tcPr>
          <w:p>
            <w:pPr>
              <w:pStyle w:val="12"/>
            </w:pPr>
            <w:r>
              <w:t>42.80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42.80</w:t>
            </w:r>
          </w:p>
        </w:tc>
        <w:tc>
          <w:tcPr>
            <w:tcW w:w="1134" w:type="dxa"/>
            <w:vAlign w:val="center"/>
          </w:tcPr>
          <w:p>
            <w:pPr>
              <w:pStyle w:val="12"/>
            </w:pPr>
            <w:r>
              <w:t>42.80</w:t>
            </w:r>
          </w:p>
        </w:tc>
        <w:tc>
          <w:tcPr>
            <w:tcW w:w="1134" w:type="dxa"/>
            <w:vAlign w:val="center"/>
          </w:tcPr>
          <w:p>
            <w:pPr>
              <w:pStyle w:val="12"/>
            </w:pPr>
            <w:r>
              <w:t>42.80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149.00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149.00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2296099</w:t>
            </w:r>
          </w:p>
        </w:tc>
        <w:tc>
          <w:tcPr>
            <w:tcW w:w="1559" w:type="dxa"/>
            <w:vAlign w:val="center"/>
          </w:tcPr>
          <w:p>
            <w:pPr>
              <w:pStyle w:val="13"/>
            </w:pPr>
            <w:r>
              <w:t>用于其他社会公益事业的彩票公益金支出</w:t>
            </w:r>
          </w:p>
        </w:tc>
        <w:tc>
          <w:tcPr>
            <w:tcW w:w="1134" w:type="dxa"/>
            <w:vAlign w:val="center"/>
          </w:tcPr>
          <w:p>
            <w:pPr>
              <w:pStyle w:val="12"/>
            </w:pPr>
            <w:r>
              <w:t>149.00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149.00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937无极县东侯坊镇人民政府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1274.11</w:t>
            </w:r>
          </w:p>
        </w:tc>
        <w:tc>
          <w:tcPr>
            <w:tcW w:w="1361" w:type="dxa"/>
            <w:vAlign w:val="center"/>
          </w:tcPr>
          <w:p>
            <w:pPr>
              <w:pStyle w:val="16"/>
            </w:pPr>
            <w:r>
              <w:t>1125.11</w:t>
            </w:r>
          </w:p>
        </w:tc>
        <w:tc>
          <w:tcPr>
            <w:tcW w:w="1361" w:type="dxa"/>
            <w:vAlign w:val="center"/>
          </w:tcPr>
          <w:p>
            <w:pPr>
              <w:pStyle w:val="16"/>
            </w:pPr>
            <w:r>
              <w:t>149.00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988.31</w:t>
            </w:r>
          </w:p>
        </w:tc>
        <w:tc>
          <w:tcPr>
            <w:tcW w:w="1361" w:type="dxa"/>
            <w:vAlign w:val="center"/>
          </w:tcPr>
          <w:p>
            <w:pPr>
              <w:pStyle w:val="12"/>
            </w:pPr>
            <w:r>
              <w:t>988.31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988.31</w:t>
            </w:r>
          </w:p>
        </w:tc>
        <w:tc>
          <w:tcPr>
            <w:tcW w:w="1361" w:type="dxa"/>
            <w:vAlign w:val="center"/>
          </w:tcPr>
          <w:p>
            <w:pPr>
              <w:pStyle w:val="12"/>
            </w:pPr>
            <w:r>
              <w:t>988.31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988.31</w:t>
            </w:r>
          </w:p>
        </w:tc>
        <w:tc>
          <w:tcPr>
            <w:tcW w:w="1361" w:type="dxa"/>
            <w:vAlign w:val="center"/>
          </w:tcPr>
          <w:p>
            <w:pPr>
              <w:pStyle w:val="12"/>
            </w:pPr>
            <w:r>
              <w:t>988.31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94.00</w:t>
            </w:r>
          </w:p>
        </w:tc>
        <w:tc>
          <w:tcPr>
            <w:tcW w:w="1361" w:type="dxa"/>
            <w:vAlign w:val="center"/>
          </w:tcPr>
          <w:p>
            <w:pPr>
              <w:pStyle w:val="12"/>
            </w:pPr>
            <w:r>
              <w:t>94.00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94.00</w:t>
            </w:r>
          </w:p>
        </w:tc>
        <w:tc>
          <w:tcPr>
            <w:tcW w:w="1361" w:type="dxa"/>
            <w:vAlign w:val="center"/>
          </w:tcPr>
          <w:p>
            <w:pPr>
              <w:pStyle w:val="12"/>
            </w:pPr>
            <w:r>
              <w:t>94.00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94.00</w:t>
            </w:r>
          </w:p>
        </w:tc>
        <w:tc>
          <w:tcPr>
            <w:tcW w:w="1361" w:type="dxa"/>
            <w:vAlign w:val="center"/>
          </w:tcPr>
          <w:p>
            <w:pPr>
              <w:pStyle w:val="12"/>
            </w:pPr>
            <w:r>
              <w:t>94.00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42.80</w:t>
            </w:r>
          </w:p>
        </w:tc>
        <w:tc>
          <w:tcPr>
            <w:tcW w:w="1361" w:type="dxa"/>
            <w:vAlign w:val="center"/>
          </w:tcPr>
          <w:p>
            <w:pPr>
              <w:pStyle w:val="12"/>
            </w:pPr>
            <w:r>
              <w:t>42.80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42.80</w:t>
            </w:r>
          </w:p>
        </w:tc>
        <w:tc>
          <w:tcPr>
            <w:tcW w:w="1361" w:type="dxa"/>
            <w:vAlign w:val="center"/>
          </w:tcPr>
          <w:p>
            <w:pPr>
              <w:pStyle w:val="12"/>
            </w:pPr>
            <w:r>
              <w:t>42.80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42.80</w:t>
            </w:r>
          </w:p>
        </w:tc>
        <w:tc>
          <w:tcPr>
            <w:tcW w:w="1361" w:type="dxa"/>
            <w:vAlign w:val="center"/>
          </w:tcPr>
          <w:p>
            <w:pPr>
              <w:pStyle w:val="12"/>
            </w:pPr>
            <w:r>
              <w:t>42.80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149.00</w:t>
            </w:r>
          </w:p>
        </w:tc>
        <w:tc>
          <w:tcPr>
            <w:tcW w:w="1361" w:type="dxa"/>
            <w:vAlign w:val="center"/>
          </w:tcPr>
          <w:p>
            <w:pPr>
              <w:pStyle w:val="12"/>
            </w:pPr>
          </w:p>
        </w:tc>
        <w:tc>
          <w:tcPr>
            <w:tcW w:w="1361" w:type="dxa"/>
            <w:vAlign w:val="center"/>
          </w:tcPr>
          <w:p>
            <w:pPr>
              <w:pStyle w:val="12"/>
            </w:pPr>
            <w:r>
              <w:t>149.00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149.00</w:t>
            </w:r>
          </w:p>
        </w:tc>
        <w:tc>
          <w:tcPr>
            <w:tcW w:w="1361" w:type="dxa"/>
            <w:vAlign w:val="center"/>
          </w:tcPr>
          <w:p>
            <w:pPr>
              <w:pStyle w:val="12"/>
            </w:pPr>
          </w:p>
        </w:tc>
        <w:tc>
          <w:tcPr>
            <w:tcW w:w="1361" w:type="dxa"/>
            <w:vAlign w:val="center"/>
          </w:tcPr>
          <w:p>
            <w:pPr>
              <w:pStyle w:val="12"/>
            </w:pPr>
            <w:r>
              <w:t>149.00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2296099</w:t>
            </w:r>
          </w:p>
        </w:tc>
        <w:tc>
          <w:tcPr>
            <w:tcW w:w="4535" w:type="dxa"/>
            <w:vAlign w:val="center"/>
          </w:tcPr>
          <w:p>
            <w:pPr>
              <w:pStyle w:val="13"/>
            </w:pPr>
            <w:r>
              <w:t>用于其他社会公益事业的彩票公益金支出</w:t>
            </w:r>
          </w:p>
        </w:tc>
        <w:tc>
          <w:tcPr>
            <w:tcW w:w="1361" w:type="dxa"/>
            <w:vAlign w:val="center"/>
          </w:tcPr>
          <w:p>
            <w:pPr>
              <w:pStyle w:val="12"/>
            </w:pPr>
            <w:r>
              <w:t>149.00</w:t>
            </w:r>
          </w:p>
        </w:tc>
        <w:tc>
          <w:tcPr>
            <w:tcW w:w="1361" w:type="dxa"/>
            <w:vAlign w:val="center"/>
          </w:tcPr>
          <w:p>
            <w:pPr>
              <w:pStyle w:val="12"/>
            </w:pPr>
          </w:p>
        </w:tc>
        <w:tc>
          <w:tcPr>
            <w:tcW w:w="1361" w:type="dxa"/>
            <w:vAlign w:val="center"/>
          </w:tcPr>
          <w:p>
            <w:pPr>
              <w:pStyle w:val="12"/>
            </w:pPr>
            <w:r>
              <w:t>149.00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937无极县东侯坊镇人民政府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1125.11</w:t>
            </w:r>
          </w:p>
        </w:tc>
        <w:tc>
          <w:tcPr>
            <w:tcW w:w="3402" w:type="dxa"/>
            <w:vAlign w:val="center"/>
          </w:tcPr>
          <w:p>
            <w:pPr>
              <w:pStyle w:val="13"/>
            </w:pPr>
            <w:r>
              <w:t>一、一般公共服务支出</w:t>
            </w:r>
          </w:p>
        </w:tc>
        <w:tc>
          <w:tcPr>
            <w:tcW w:w="1474" w:type="dxa"/>
            <w:vAlign w:val="center"/>
          </w:tcPr>
          <w:p>
            <w:pPr>
              <w:pStyle w:val="12"/>
            </w:pPr>
            <w:r>
              <w:t>988.31</w:t>
            </w:r>
          </w:p>
        </w:tc>
        <w:tc>
          <w:tcPr>
            <w:tcW w:w="1474" w:type="dxa"/>
            <w:vAlign w:val="center"/>
          </w:tcPr>
          <w:p>
            <w:pPr>
              <w:pStyle w:val="12"/>
            </w:pPr>
            <w:r>
              <w:t>988.31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94.00</w:t>
            </w:r>
          </w:p>
        </w:tc>
        <w:tc>
          <w:tcPr>
            <w:tcW w:w="1474" w:type="dxa"/>
            <w:vAlign w:val="center"/>
          </w:tcPr>
          <w:p>
            <w:pPr>
              <w:pStyle w:val="12"/>
            </w:pPr>
            <w:r>
              <w:t>94.00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42.80</w:t>
            </w:r>
          </w:p>
        </w:tc>
        <w:tc>
          <w:tcPr>
            <w:tcW w:w="1474" w:type="dxa"/>
            <w:vAlign w:val="center"/>
          </w:tcPr>
          <w:p>
            <w:pPr>
              <w:pStyle w:val="12"/>
            </w:pPr>
            <w:r>
              <w:t>42.80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149.00</w:t>
            </w:r>
          </w:p>
        </w:tc>
        <w:tc>
          <w:tcPr>
            <w:tcW w:w="1474" w:type="dxa"/>
            <w:vAlign w:val="center"/>
          </w:tcPr>
          <w:p>
            <w:pPr>
              <w:pStyle w:val="12"/>
            </w:pPr>
          </w:p>
        </w:tc>
        <w:tc>
          <w:tcPr>
            <w:tcW w:w="1474" w:type="dxa"/>
            <w:vAlign w:val="center"/>
          </w:tcPr>
          <w:p>
            <w:pPr>
              <w:pStyle w:val="12"/>
            </w:pPr>
            <w:r>
              <w:t>149.00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1125.11</w:t>
            </w:r>
          </w:p>
        </w:tc>
        <w:tc>
          <w:tcPr>
            <w:tcW w:w="3402" w:type="dxa"/>
            <w:vAlign w:val="center"/>
          </w:tcPr>
          <w:p>
            <w:pPr>
              <w:pStyle w:val="15"/>
            </w:pPr>
            <w:r>
              <w:t>本年支出合计</w:t>
            </w:r>
          </w:p>
        </w:tc>
        <w:tc>
          <w:tcPr>
            <w:tcW w:w="1474" w:type="dxa"/>
            <w:vAlign w:val="center"/>
          </w:tcPr>
          <w:p>
            <w:pPr>
              <w:pStyle w:val="16"/>
            </w:pPr>
            <w:r>
              <w:t>1274.11</w:t>
            </w:r>
          </w:p>
        </w:tc>
        <w:tc>
          <w:tcPr>
            <w:tcW w:w="1474" w:type="dxa"/>
            <w:vAlign w:val="center"/>
          </w:tcPr>
          <w:p>
            <w:pPr>
              <w:pStyle w:val="16"/>
            </w:pPr>
            <w:r>
              <w:t>1125.11</w:t>
            </w:r>
          </w:p>
        </w:tc>
        <w:tc>
          <w:tcPr>
            <w:tcW w:w="1474" w:type="dxa"/>
            <w:vAlign w:val="center"/>
          </w:tcPr>
          <w:p>
            <w:pPr>
              <w:pStyle w:val="16"/>
            </w:pPr>
            <w:r>
              <w:t>149.00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r>
              <w:t>149.00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r>
              <w:t>149.00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1274.11</w:t>
            </w:r>
          </w:p>
        </w:tc>
        <w:tc>
          <w:tcPr>
            <w:tcW w:w="3402" w:type="dxa"/>
            <w:vAlign w:val="center"/>
          </w:tcPr>
          <w:p>
            <w:pPr>
              <w:pStyle w:val="15"/>
            </w:pPr>
            <w:r>
              <w:t>支出总计</w:t>
            </w:r>
          </w:p>
        </w:tc>
        <w:tc>
          <w:tcPr>
            <w:tcW w:w="1474" w:type="dxa"/>
            <w:vAlign w:val="center"/>
          </w:tcPr>
          <w:p>
            <w:pPr>
              <w:pStyle w:val="16"/>
            </w:pPr>
            <w:r>
              <w:t>1274.11</w:t>
            </w:r>
          </w:p>
        </w:tc>
        <w:tc>
          <w:tcPr>
            <w:tcW w:w="1474" w:type="dxa"/>
            <w:vAlign w:val="center"/>
          </w:tcPr>
          <w:p>
            <w:pPr>
              <w:pStyle w:val="16"/>
            </w:pPr>
            <w:r>
              <w:t>1125.11</w:t>
            </w:r>
          </w:p>
        </w:tc>
        <w:tc>
          <w:tcPr>
            <w:tcW w:w="1474" w:type="dxa"/>
            <w:vAlign w:val="center"/>
          </w:tcPr>
          <w:p>
            <w:pPr>
              <w:pStyle w:val="16"/>
            </w:pPr>
            <w:r>
              <w:t>149.00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937无极县东侯坊镇人民政府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1125.11</w:t>
            </w:r>
          </w:p>
        </w:tc>
        <w:tc>
          <w:tcPr>
            <w:tcW w:w="2551" w:type="dxa"/>
            <w:vAlign w:val="center"/>
          </w:tcPr>
          <w:p>
            <w:pPr>
              <w:pStyle w:val="16"/>
            </w:pPr>
            <w:r>
              <w:t>1125.11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988.31</w:t>
            </w:r>
          </w:p>
        </w:tc>
        <w:tc>
          <w:tcPr>
            <w:tcW w:w="2551" w:type="dxa"/>
            <w:vAlign w:val="center"/>
          </w:tcPr>
          <w:p>
            <w:pPr>
              <w:pStyle w:val="12"/>
            </w:pPr>
            <w:r>
              <w:t>988.31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988.31</w:t>
            </w:r>
          </w:p>
        </w:tc>
        <w:tc>
          <w:tcPr>
            <w:tcW w:w="2551" w:type="dxa"/>
            <w:vAlign w:val="center"/>
          </w:tcPr>
          <w:p>
            <w:pPr>
              <w:pStyle w:val="12"/>
            </w:pPr>
            <w:r>
              <w:t>988.31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988.31</w:t>
            </w:r>
          </w:p>
        </w:tc>
        <w:tc>
          <w:tcPr>
            <w:tcW w:w="2551" w:type="dxa"/>
            <w:vAlign w:val="center"/>
          </w:tcPr>
          <w:p>
            <w:pPr>
              <w:pStyle w:val="12"/>
            </w:pPr>
            <w:r>
              <w:t>988.31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94.00</w:t>
            </w:r>
          </w:p>
        </w:tc>
        <w:tc>
          <w:tcPr>
            <w:tcW w:w="2551" w:type="dxa"/>
            <w:vAlign w:val="center"/>
          </w:tcPr>
          <w:p>
            <w:pPr>
              <w:pStyle w:val="12"/>
            </w:pPr>
            <w:r>
              <w:t>94.00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94.00</w:t>
            </w:r>
          </w:p>
        </w:tc>
        <w:tc>
          <w:tcPr>
            <w:tcW w:w="2551" w:type="dxa"/>
            <w:vAlign w:val="center"/>
          </w:tcPr>
          <w:p>
            <w:pPr>
              <w:pStyle w:val="12"/>
            </w:pPr>
            <w:r>
              <w:t>94.00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94.00</w:t>
            </w:r>
          </w:p>
        </w:tc>
        <w:tc>
          <w:tcPr>
            <w:tcW w:w="2551" w:type="dxa"/>
            <w:vAlign w:val="center"/>
          </w:tcPr>
          <w:p>
            <w:pPr>
              <w:pStyle w:val="12"/>
            </w:pPr>
            <w:r>
              <w:t>94.00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42.80</w:t>
            </w:r>
          </w:p>
        </w:tc>
        <w:tc>
          <w:tcPr>
            <w:tcW w:w="2551" w:type="dxa"/>
            <w:vAlign w:val="center"/>
          </w:tcPr>
          <w:p>
            <w:pPr>
              <w:pStyle w:val="12"/>
            </w:pPr>
            <w:r>
              <w:t>42.80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42.80</w:t>
            </w:r>
          </w:p>
        </w:tc>
        <w:tc>
          <w:tcPr>
            <w:tcW w:w="2551" w:type="dxa"/>
            <w:vAlign w:val="center"/>
          </w:tcPr>
          <w:p>
            <w:pPr>
              <w:pStyle w:val="12"/>
            </w:pPr>
            <w:r>
              <w:t>42.80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42.80</w:t>
            </w:r>
          </w:p>
        </w:tc>
        <w:tc>
          <w:tcPr>
            <w:tcW w:w="2551" w:type="dxa"/>
            <w:vAlign w:val="center"/>
          </w:tcPr>
          <w:p>
            <w:pPr>
              <w:pStyle w:val="12"/>
            </w:pPr>
            <w:r>
              <w:t>42.80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937无极县东侯坊镇人民政府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1125.11</w:t>
            </w:r>
          </w:p>
        </w:tc>
        <w:tc>
          <w:tcPr>
            <w:tcW w:w="2551" w:type="dxa"/>
            <w:vAlign w:val="center"/>
          </w:tcPr>
          <w:p>
            <w:pPr>
              <w:pStyle w:val="16"/>
            </w:pPr>
            <w:r>
              <w:t>977.70</w:t>
            </w:r>
          </w:p>
        </w:tc>
        <w:tc>
          <w:tcPr>
            <w:tcW w:w="2551" w:type="dxa"/>
            <w:vAlign w:val="center"/>
          </w:tcPr>
          <w:p>
            <w:pPr>
              <w:pStyle w:val="16"/>
            </w:pPr>
            <w:r>
              <w:t>147.41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939.10</w:t>
            </w:r>
          </w:p>
        </w:tc>
        <w:tc>
          <w:tcPr>
            <w:tcW w:w="2551" w:type="dxa"/>
            <w:vAlign w:val="center"/>
          </w:tcPr>
          <w:p>
            <w:pPr>
              <w:pStyle w:val="12"/>
            </w:pPr>
            <w:r>
              <w:t>939.10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362.00</w:t>
            </w:r>
          </w:p>
        </w:tc>
        <w:tc>
          <w:tcPr>
            <w:tcW w:w="2551" w:type="dxa"/>
            <w:vAlign w:val="center"/>
          </w:tcPr>
          <w:p>
            <w:pPr>
              <w:pStyle w:val="12"/>
            </w:pPr>
            <w:r>
              <w:t>362.00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157.30</w:t>
            </w:r>
          </w:p>
        </w:tc>
        <w:tc>
          <w:tcPr>
            <w:tcW w:w="2551" w:type="dxa"/>
            <w:vAlign w:val="center"/>
          </w:tcPr>
          <w:p>
            <w:pPr>
              <w:pStyle w:val="12"/>
            </w:pPr>
            <w:r>
              <w:t>157.30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73.50</w:t>
            </w:r>
          </w:p>
        </w:tc>
        <w:tc>
          <w:tcPr>
            <w:tcW w:w="2551" w:type="dxa"/>
            <w:vAlign w:val="center"/>
          </w:tcPr>
          <w:p>
            <w:pPr>
              <w:pStyle w:val="12"/>
            </w:pPr>
            <w:r>
              <w:t>73.50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149.00</w:t>
            </w:r>
          </w:p>
        </w:tc>
        <w:tc>
          <w:tcPr>
            <w:tcW w:w="2551" w:type="dxa"/>
            <w:vAlign w:val="center"/>
          </w:tcPr>
          <w:p>
            <w:pPr>
              <w:pStyle w:val="12"/>
            </w:pPr>
            <w:r>
              <w:t>149.00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94.00</w:t>
            </w:r>
          </w:p>
        </w:tc>
        <w:tc>
          <w:tcPr>
            <w:tcW w:w="2551" w:type="dxa"/>
            <w:vAlign w:val="center"/>
          </w:tcPr>
          <w:p>
            <w:pPr>
              <w:pStyle w:val="12"/>
            </w:pPr>
            <w:r>
              <w:t>94.00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42.80</w:t>
            </w:r>
          </w:p>
        </w:tc>
        <w:tc>
          <w:tcPr>
            <w:tcW w:w="2551" w:type="dxa"/>
            <w:vAlign w:val="center"/>
          </w:tcPr>
          <w:p>
            <w:pPr>
              <w:pStyle w:val="12"/>
            </w:pPr>
            <w:r>
              <w:t>42.80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4.50</w:t>
            </w:r>
          </w:p>
        </w:tc>
        <w:tc>
          <w:tcPr>
            <w:tcW w:w="2551" w:type="dxa"/>
            <w:vAlign w:val="center"/>
          </w:tcPr>
          <w:p>
            <w:pPr>
              <w:pStyle w:val="12"/>
            </w:pPr>
            <w:r>
              <w:t>4.50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56.00</w:t>
            </w:r>
          </w:p>
        </w:tc>
        <w:tc>
          <w:tcPr>
            <w:tcW w:w="2551" w:type="dxa"/>
            <w:vAlign w:val="center"/>
          </w:tcPr>
          <w:p>
            <w:pPr>
              <w:pStyle w:val="12"/>
            </w:pPr>
            <w:r>
              <w:t>56.00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147.41</w:t>
            </w:r>
          </w:p>
        </w:tc>
        <w:tc>
          <w:tcPr>
            <w:tcW w:w="2551" w:type="dxa"/>
            <w:vAlign w:val="center"/>
          </w:tcPr>
          <w:p>
            <w:pPr>
              <w:pStyle w:val="12"/>
            </w:pPr>
          </w:p>
        </w:tc>
        <w:tc>
          <w:tcPr>
            <w:tcW w:w="2551" w:type="dxa"/>
            <w:vAlign w:val="center"/>
          </w:tcPr>
          <w:p>
            <w:pPr>
              <w:pStyle w:val="12"/>
            </w:pPr>
            <w:r>
              <w:t>147.41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35.50</w:t>
            </w:r>
          </w:p>
        </w:tc>
        <w:tc>
          <w:tcPr>
            <w:tcW w:w="2551" w:type="dxa"/>
            <w:vAlign w:val="center"/>
          </w:tcPr>
          <w:p>
            <w:pPr>
              <w:pStyle w:val="12"/>
            </w:pPr>
          </w:p>
        </w:tc>
        <w:tc>
          <w:tcPr>
            <w:tcW w:w="2551" w:type="dxa"/>
            <w:vAlign w:val="center"/>
          </w:tcPr>
          <w:p>
            <w:pPr>
              <w:pStyle w:val="12"/>
            </w:pPr>
            <w:r>
              <w:t>35.50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15.50</w:t>
            </w:r>
          </w:p>
        </w:tc>
        <w:tc>
          <w:tcPr>
            <w:tcW w:w="2551" w:type="dxa"/>
            <w:vAlign w:val="center"/>
          </w:tcPr>
          <w:p>
            <w:pPr>
              <w:pStyle w:val="12"/>
            </w:pPr>
          </w:p>
        </w:tc>
        <w:tc>
          <w:tcPr>
            <w:tcW w:w="2551" w:type="dxa"/>
            <w:vAlign w:val="center"/>
          </w:tcPr>
          <w:p>
            <w:pPr>
              <w:pStyle w:val="12"/>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29.00</w:t>
            </w:r>
          </w:p>
        </w:tc>
        <w:tc>
          <w:tcPr>
            <w:tcW w:w="2551" w:type="dxa"/>
            <w:vAlign w:val="center"/>
          </w:tcPr>
          <w:p>
            <w:pPr>
              <w:pStyle w:val="12"/>
            </w:pPr>
          </w:p>
        </w:tc>
        <w:tc>
          <w:tcPr>
            <w:tcW w:w="2551" w:type="dxa"/>
            <w:vAlign w:val="center"/>
          </w:tcPr>
          <w:p>
            <w:pPr>
              <w:pStyle w:val="12"/>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64.50</w:t>
            </w:r>
          </w:p>
        </w:tc>
        <w:tc>
          <w:tcPr>
            <w:tcW w:w="2551" w:type="dxa"/>
            <w:vAlign w:val="center"/>
          </w:tcPr>
          <w:p>
            <w:pPr>
              <w:pStyle w:val="12"/>
            </w:pPr>
          </w:p>
        </w:tc>
        <w:tc>
          <w:tcPr>
            <w:tcW w:w="2551" w:type="dxa"/>
            <w:vAlign w:val="center"/>
          </w:tcPr>
          <w:p>
            <w:pPr>
              <w:pStyle w:val="12"/>
            </w:pPr>
            <w:r>
              <w:t>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38.60</w:t>
            </w:r>
          </w:p>
        </w:tc>
        <w:tc>
          <w:tcPr>
            <w:tcW w:w="2551" w:type="dxa"/>
            <w:vAlign w:val="center"/>
          </w:tcPr>
          <w:p>
            <w:pPr>
              <w:pStyle w:val="12"/>
            </w:pPr>
            <w:r>
              <w:t>38.60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38.60</w:t>
            </w:r>
          </w:p>
        </w:tc>
        <w:tc>
          <w:tcPr>
            <w:tcW w:w="2551" w:type="dxa"/>
            <w:vAlign w:val="center"/>
          </w:tcPr>
          <w:p>
            <w:pPr>
              <w:pStyle w:val="12"/>
            </w:pPr>
            <w:r>
              <w:t>38.60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937无极县东侯坊镇人民政府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149.00</w:t>
            </w:r>
          </w:p>
        </w:tc>
        <w:tc>
          <w:tcPr>
            <w:tcW w:w="2551" w:type="dxa"/>
            <w:vAlign w:val="center"/>
          </w:tcPr>
          <w:p>
            <w:pPr>
              <w:pStyle w:val="16"/>
            </w:pPr>
          </w:p>
        </w:tc>
        <w:tc>
          <w:tcPr>
            <w:tcW w:w="2551" w:type="dxa"/>
            <w:vAlign w:val="center"/>
          </w:tcPr>
          <w:p>
            <w:pPr>
              <w:pStyle w:val="16"/>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149.00</w:t>
            </w:r>
          </w:p>
        </w:tc>
        <w:tc>
          <w:tcPr>
            <w:tcW w:w="2551" w:type="dxa"/>
            <w:vAlign w:val="center"/>
          </w:tcPr>
          <w:p>
            <w:pPr>
              <w:pStyle w:val="12"/>
            </w:pPr>
          </w:p>
        </w:tc>
        <w:tc>
          <w:tcPr>
            <w:tcW w:w="2551" w:type="dxa"/>
            <w:vAlign w:val="center"/>
          </w:tcPr>
          <w:p>
            <w:pPr>
              <w:pStyle w:val="12"/>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149.00</w:t>
            </w:r>
          </w:p>
        </w:tc>
        <w:tc>
          <w:tcPr>
            <w:tcW w:w="2551" w:type="dxa"/>
            <w:vAlign w:val="center"/>
          </w:tcPr>
          <w:p>
            <w:pPr>
              <w:pStyle w:val="12"/>
            </w:pPr>
          </w:p>
        </w:tc>
        <w:tc>
          <w:tcPr>
            <w:tcW w:w="2551" w:type="dxa"/>
            <w:vAlign w:val="center"/>
          </w:tcPr>
          <w:p>
            <w:pPr>
              <w:pStyle w:val="12"/>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2296099</w:t>
            </w:r>
          </w:p>
        </w:tc>
        <w:tc>
          <w:tcPr>
            <w:tcW w:w="4535" w:type="dxa"/>
            <w:vAlign w:val="center"/>
          </w:tcPr>
          <w:p>
            <w:pPr>
              <w:pStyle w:val="13"/>
            </w:pPr>
            <w:r>
              <w:t>用于其他社会公益事业的彩票公益金支出</w:t>
            </w:r>
          </w:p>
        </w:tc>
        <w:tc>
          <w:tcPr>
            <w:tcW w:w="2551" w:type="dxa"/>
            <w:vAlign w:val="center"/>
          </w:tcPr>
          <w:p>
            <w:pPr>
              <w:pStyle w:val="12"/>
            </w:pPr>
            <w:r>
              <w:t>149.00</w:t>
            </w:r>
          </w:p>
        </w:tc>
        <w:tc>
          <w:tcPr>
            <w:tcW w:w="2551" w:type="dxa"/>
            <w:vAlign w:val="center"/>
          </w:tcPr>
          <w:p>
            <w:pPr>
              <w:pStyle w:val="12"/>
            </w:pPr>
          </w:p>
        </w:tc>
        <w:tc>
          <w:tcPr>
            <w:tcW w:w="2551" w:type="dxa"/>
            <w:vAlign w:val="center"/>
          </w:tcPr>
          <w:p>
            <w:pPr>
              <w:pStyle w:val="12"/>
            </w:pPr>
            <w:r>
              <w:t>149.00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937无极县东侯坊镇人民政府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937无极县东侯坊镇人民政府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2.91</w:t>
            </w:r>
          </w:p>
        </w:tc>
        <w:tc>
          <w:tcPr>
            <w:tcW w:w="2381" w:type="dxa"/>
            <w:vAlign w:val="center"/>
          </w:tcPr>
          <w:p>
            <w:pPr>
              <w:pStyle w:val="16"/>
            </w:pPr>
            <w:r>
              <w:t>2.91</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2.91</w:t>
            </w:r>
          </w:p>
        </w:tc>
        <w:tc>
          <w:tcPr>
            <w:tcW w:w="2381" w:type="dxa"/>
            <w:vAlign w:val="center"/>
          </w:tcPr>
          <w:p>
            <w:pPr>
              <w:pStyle w:val="12"/>
            </w:pPr>
            <w:r>
              <w:t>2.91</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无极县东侯坊镇人民政府2026年部门预算信息公开情况说明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无极县东侯坊镇人民政府2026年部门预算信息公开情况说明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按照《中华人民共和国预算法》、《地方预决算公开操作规程》和《关于进一步推进预算公开工作的实施意见》规定，现将无极县东侯坊镇人民政府2026年部门预算公开如下：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18"/>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18"/>
      </w:pPr>
      <w:r>
        <w:t>二是加强社会管理，营建和协社会。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构建和协社会的具体措施，并抓好组织实施。配合城建、国土资部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18"/>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18"/>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无极县东侯坊镇人民政府本级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按照预算管理有关规定，目前部门预算的编制实行综合预算管理，即全部收入和支出都反映在预算中。无极县东侯坊镇人民政府机关及所属事业单位的收支包含在部门预算中。</w:t>
      </w:r>
    </w:p>
    <w:p>
      <w:pPr>
        <w:pStyle w:val="19"/>
      </w:pPr>
      <w:r>
        <w:t>1、收入说明</w:t>
      </w:r>
    </w:p>
    <w:p>
      <w:pPr>
        <w:pStyle w:val="19"/>
      </w:pPr>
      <w:r>
        <w:t>反映本部门当年全部收入。2026年预算收入1274.11万元，其中：一般公共预算收入1125.11万元，基金预算收入0.00万元，国有资本经营预算收入0.00万元，财政专户核拨收入0.00万元，单位资金收入0.00万元，上年结转结余149.00万元。</w:t>
      </w:r>
    </w:p>
    <w:p>
      <w:pPr>
        <w:pStyle w:val="19"/>
      </w:pPr>
      <w:r>
        <w:t>2、支出说明</w:t>
      </w:r>
    </w:p>
    <w:p>
      <w:pPr>
        <w:pStyle w:val="19"/>
      </w:pPr>
      <w:r>
        <w:t>收支预算总表支出栏、基本支出表、项目支出表按经济分类和支出功能分类科目编制，反映无极县东侯坊镇人民政府年度部门预算中支出预算的总体情况。2026年支出预算1274.11万元，其中基本支出1125.11万元，包括人员经费977.70万元和日常公用经费147.41万元；项目支出149.00万元，主要为2025年中央专项彩票公益金支持地方社会公益事业发展资金项目（甄村道路硬化）；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1274.11万元，较2025年预算增加126.21万元，其中：基本支出减少20.09万元，主要为精准预算项目支出增加146.30万元，主要为今年增加2025年中央专项彩票公益金支持地方社会公益事业发展资金项目（甄村道路硬化）149万元。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2026年，我部门机关运行经费共计安排147.41万元，主要用于日常维修、办公用房水电费、办公用房取暖费、办公用房物业管理费等日常运行支出。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2.91万元，其中因公出国（境）费0.00万元；公务用车购置及运维费2.91万元（其中：公务用车购置费为0.00万元，公务用车运维费2.91万元)；公务接待费0.00万元。与2025年相比减少3.09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（一）总体绩效目标</w:t>
      </w:r>
    </w:p>
    <w:p>
      <w:pPr>
        <w:pStyle w:val="22"/>
      </w:pPr>
      <w:r>
        <w:t>2025年部门年度发展规划目标</w:t>
      </w:r>
    </w:p>
    <w:p>
      <w:pPr>
        <w:pStyle w:val="22"/>
      </w:pPr>
      <w:r>
        <w:t>认真落实国家的方针、政策，稳步推进作风建设，加强对权利的监督和制约。严格依法行政，充分发挥对社会事务、综合事务与经济事务的管理职能，加强对本镇全体民众的政策引导，制定本镇的发展规划，为全镇人民提供公共服务。主动维护社会稳定与安全，积极构建和谐社会。按照无极县委、县政府等上级机关关于乡镇各项工作安排，进一步推进新农村建设，加快农村基础设施建设，保护农业资源，进行自然生态建设。支持新型工业化发展和第三产业发展，招商引资，确保安全生产，同时做好环境污染综合防治。保障便民服务中心的正常运转，宣传并落实社会救助政策，保障义务教育、信访、安全维稳、党代会、人代会、纪检监察、党建、服务群众等各项工作正常开展。加强对财政收入管理，预算管理和财政资源配置管理，及时保障政府机关人员、村组干部补助经费的发放，按时兑付村民的地力补偿、退耕还林补助、五保、低保、民政优抚以及扶贫工作领域的各项资金。按时、按质、按量完成各项工作任务，确保东侯坊镇的社会安全与稳定。</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（二）分项绩效目标</w:t>
      </w:r>
    </w:p>
    <w:p>
      <w:pPr>
        <w:pStyle w:val="23"/>
      </w:pPr>
      <w:r>
        <w:t>东侯坊镇人民政府</w:t>
      </w:r>
    </w:p>
    <w:p>
      <w:pPr>
        <w:pStyle w:val="23"/>
      </w:pPr>
      <w:r>
        <w:t>2025年部门职责分类绩效目标情况说明</w:t>
      </w:r>
    </w:p>
    <w:p>
      <w:pPr>
        <w:pStyle w:val="23"/>
      </w:pPr>
      <w:r>
        <w:t>（一）开展党风党纪教育，加强党内监督。</w:t>
      </w:r>
    </w:p>
    <w:p>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pPr>
        <w:pStyle w:val="23"/>
      </w:pPr>
      <w:r>
        <w:t>绩效指标：廉政教育与党内监督工作完成率95%以上。</w:t>
      </w:r>
    </w:p>
    <w:p>
      <w:pPr>
        <w:pStyle w:val="23"/>
      </w:pPr>
      <w:r>
        <w:t>（二）协调机关综合事务和乡镇综合业务，强化社会管理和公共服务，完成上级交办的各项任务。</w:t>
      </w:r>
    </w:p>
    <w:p>
      <w:pPr>
        <w:pStyle w:val="23"/>
      </w:pPr>
      <w:r>
        <w:t>绩效目标：改善硬件、软件水平，加强队伍和教育建设，加快信息化建设，保障机关工作正常高效运转，确保各项业务工作谋划到位、顺利开展。</w:t>
      </w:r>
    </w:p>
    <w:p>
      <w:pPr>
        <w:pStyle w:val="23"/>
      </w:pPr>
      <w:r>
        <w:t>绩效指标：公共服务工作完成率90%以上。</w:t>
      </w:r>
    </w:p>
    <w:p>
      <w:pPr>
        <w:pStyle w:val="23"/>
      </w:pPr>
      <w:r>
        <w:t>（三）乡镇的信息化建设和维护，平稳推进信访工作和新闻宣传工作。</w:t>
      </w:r>
    </w:p>
    <w:p>
      <w:pPr>
        <w:pStyle w:val="23"/>
      </w:pPr>
      <w:r>
        <w:t>绩效目标：确保新闻宣传工作正常开展，信息系统运行正常，机关基础设施运转良好，信访工作平稳。机关文书档案印信管理和保密，机关人事、离退休人员服务、基建、后勤服务。</w:t>
      </w:r>
    </w:p>
    <w:p>
      <w:pPr>
        <w:pStyle w:val="23"/>
      </w:pPr>
      <w:r>
        <w:t>绩效指标：综合事务管理工作完成率90%以上。</w:t>
      </w:r>
    </w:p>
    <w:p>
      <w:pPr>
        <w:pStyle w:val="23"/>
      </w:pPr>
      <w:r>
        <w:t>（四）指导、协调和督导各村村委、村干部排查与化解影响社会稳定的重大不稳定隐患、群体性事件和突发事件。</w:t>
      </w:r>
    </w:p>
    <w:p>
      <w:pPr>
        <w:pStyle w:val="23"/>
      </w:pPr>
      <w:r>
        <w:t>绩效目标：预防和减少不稳定因素的发生，有效化解不稳定隐患、群体性事件和突发事件，维护乡镇的安全与稳定。</w:t>
      </w:r>
    </w:p>
    <w:p>
      <w:pPr>
        <w:pStyle w:val="23"/>
      </w:pPr>
      <w:r>
        <w:t>绩效指标：妥善处置突发事件（件）占发生突发事件（件）的比例90%以上。</w:t>
      </w:r>
    </w:p>
    <w:p>
      <w:pPr>
        <w:pStyle w:val="23"/>
      </w:pPr>
      <w:r>
        <w:t>（五）按照统筹城乡发展的要求，组织实施农村面貌改造提升行动，加快社会主义新农村建设。</w:t>
      </w:r>
    </w:p>
    <w:p>
      <w:pPr>
        <w:pStyle w:val="23"/>
      </w:pPr>
      <w:r>
        <w:t>绩效目标：通过实施农村面貌改造提升行动，加快农村基础设施建设，改善农村环境面貌，提升农民生产生活条件。</w:t>
      </w:r>
    </w:p>
    <w:p>
      <w:pPr>
        <w:pStyle w:val="23"/>
      </w:pPr>
      <w:r>
        <w:t>绩效指标：改造提升完成率90%以上。</w:t>
      </w:r>
    </w:p>
    <w:p>
      <w:pPr>
        <w:pStyle w:val="23"/>
      </w:pPr>
      <w:r>
        <w:t>（六）承担社会救助体系建设，负责全镇居民最低生活保障、五保供养、医疗救助。</w:t>
      </w:r>
    </w:p>
    <w:p>
      <w:pPr>
        <w:pStyle w:val="23"/>
      </w:pPr>
      <w:r>
        <w:t>绩效目标：完善城乡社会救助制度，实施分类救助，应保尽保,动态管理。负责符合条件的城乡居民最低生活保障工作,负责农村五保户的集中供养和分散供养工作。</w:t>
      </w:r>
    </w:p>
    <w:p>
      <w:pPr>
        <w:pStyle w:val="23"/>
      </w:pPr>
      <w:r>
        <w:t>绩效指标：社会救助覆盖率95%以上。</w:t>
      </w:r>
    </w:p>
    <w:p>
      <w:pPr>
        <w:pStyle w:val="23"/>
      </w:pPr>
      <w:r>
        <w:t>（七）负责制定污染防治管理制度并组织实施，会同有关部门监督管理饮用水水源地环境保护。</w:t>
      </w:r>
    </w:p>
    <w:p>
      <w:pPr>
        <w:pStyle w:val="23"/>
      </w:pPr>
      <w:r>
        <w:t>绩效目标：加强大气、水体、机动车污染防治，加强固体废弃物、重金属等重点污染治理工程的防治工作。重点对PM、VOC、二氧化硫等大气污染物进行综合防治，推动乡镇环境空气质量改善。加强河流湖泊水污染防治、地下水污染防治、饮用水源保护、污染水体整治、水污染源监督管理、水污染防治和水环境保护工程。</w:t>
      </w:r>
    </w:p>
    <w:p>
      <w:pPr>
        <w:pStyle w:val="23"/>
      </w:pPr>
      <w:r>
        <w:t>绩效指标：污染治理覆盖率95%以上。</w:t>
      </w:r>
    </w:p>
    <w:p>
      <w:pPr>
        <w:pStyle w:val="23"/>
      </w:pPr>
      <w:r>
        <w:t>（八）强化生态保护和监察监管，提高自然保护区建设水平，加强生物多样性保护力度，提升农村生态环境质量</w:t>
      </w:r>
    </w:p>
    <w:p>
      <w:pPr>
        <w:pStyle w:val="23"/>
      </w:pPr>
      <w:r>
        <w:t>绩效目标：加强自然生态保护，解决影响群众生活和健康较为直接的饮用水安全、生活垃圾和污水治理、畜禽养殖污染治理防治等突出环境问题，改善环境重点、敏感区域的农村人居和生态环境质量。</w:t>
      </w:r>
    </w:p>
    <w:p>
      <w:pPr>
        <w:pStyle w:val="23"/>
      </w:pPr>
      <w:r>
        <w:t>绩效指标：上级城乡环境综合治理机关和群众满意度95%以上；</w:t>
      </w:r>
    </w:p>
    <w:p>
      <w:pPr>
        <w:pStyle w:val="23"/>
      </w:pPr>
      <w:r>
        <w:t>（九）对食品制作流通各环节进行监管，及时发现和排除食品安全问题，确保大型活动期间的餐饮安全。</w:t>
      </w:r>
    </w:p>
    <w:p>
      <w:pPr>
        <w:pStyle w:val="23"/>
      </w:pPr>
      <w:r>
        <w:t>绩效目标：通过对食品各个环节的强力监管，及时发现食品监管中存在的问题，重点突出食品安全建设以及做好重大活动和暑期食品安全保障.</w:t>
      </w:r>
    </w:p>
    <w:p>
      <w:pPr>
        <w:pStyle w:val="23"/>
      </w:pPr>
      <w:r>
        <w:t>绩效指标：不定时进行执法检查，食品安全事故发生率≤5%</w:t>
      </w:r>
    </w:p>
    <w:p>
      <w:pPr>
        <w:pStyle w:val="23"/>
      </w:pPr>
      <w:r>
        <w:t>（十）按照可持续发展和建设生态农业的要求，保护农业资源，改善和保护农村环境。</w:t>
      </w:r>
    </w:p>
    <w:p>
      <w:pPr>
        <w:pStyle w:val="23"/>
      </w:pPr>
      <w:r>
        <w:t>绩效目标：组织开展农业统计，监测分析农业和农村经济运行，发布农业和农村经济信息，建设农业信息管理体系，指导农业信息服务。按照国家、省部署，组织开展职业教育和新型职业农民教育培训。</w:t>
      </w:r>
    </w:p>
    <w:p>
      <w:pPr>
        <w:pStyle w:val="23"/>
      </w:pPr>
      <w:r>
        <w:t>绩效指标：持续清理垃圾、治理污水、推进亮化工程，向社会主义新农村进一步迈进。</w:t>
      </w:r>
    </w:p>
    <w:p>
      <w:pPr>
        <w:pStyle w:val="23"/>
      </w:pPr>
      <w:r>
        <w:t>（十一）严格执行财政法与财经制度，管理乡镇财政收入和支出，编制预算，合理配置财政资源。</w:t>
      </w:r>
    </w:p>
    <w:p>
      <w:pPr>
        <w:pStyle w:val="23"/>
      </w:pPr>
      <w:r>
        <w:t>绩效目标：贯彻国家税收政策，负责制定财政和预算收入计划，管理和监督各项财政收入；管理财政票据；研究制定完善的预算政策体系，提高预算管理的科学化水平。</w:t>
      </w:r>
    </w:p>
    <w:p>
      <w:pPr>
        <w:pStyle w:val="23"/>
      </w:pPr>
      <w:r>
        <w:t>绩效指标：按时、按量、按质保证各项经费的发放，保障乡镇各项工作的正常运转。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2025年度发展规划目标保障措施</w:t>
      </w:r>
    </w:p>
    <w:p>
      <w:pPr>
        <w:pStyle w:val="24"/>
      </w:pPr>
      <w:r>
        <w:t>（一）严把财务关</w:t>
      </w:r>
    </w:p>
    <w:p>
      <w:pPr>
        <w:pStyle w:val="24"/>
      </w:pPr>
      <w:r>
        <w:t>完善制度建设。加强乡镇财政预算管理，提高预算编制的完整性、科学性和统一性。细化预算编制，规范预算执行，健全预算执行机制，强化预算约束，切实增强预算的执行力和约束力，加大”村财镇管”、乡镇和村级债务管理，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具体表现为：加强对人员经费的支出管理，足额安排人员经费预算，加强津补贴管理，严格人员经费动态管理，杜绝“吃空饷”和不符合政策规定的人员享受社会保障性补助。严格执行各项公用经费支出标准，在预算执行过程中不得随意调整预算或追加预算。</w:t>
      </w:r>
    </w:p>
    <w:p>
      <w:pPr>
        <w:pStyle w:val="24"/>
      </w:pPr>
      <w:r>
        <w:t>加强绩效运行监控。按要求开展绩效运行监控，发现问题及时采取措施，确保绩效目标如期保质实现。及时掌握项目绩效目标的完成情况、项目实施进程和资金支出进度。当绩效运行情况与预期绩效目标发生偏离时，及时采取措施予以纠正。预算执行过程中，因政策变化、突发事件等因素影响绩效目标实现，需要调整绩效目标的，要根据绩效目标管理的要求和审核流程，随预算一起调整。</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4"/>
      </w:pPr>
    </w:p>
    <w:p>
      <w:pPr>
        <w:pStyle w:val="24"/>
      </w:pPr>
      <w:r>
        <w:t>（二）加大招商引资力度，推进新型工业化。</w:t>
      </w:r>
    </w:p>
    <w:p>
      <w:pPr>
        <w:pStyle w:val="24"/>
      </w:pPr>
      <w:r>
        <w:t>实施“工业立乡”战略，继续优化投资环境，始终不渝地把发展工业作为今后我乡经济工作的重中之重，把扩大招商引资和发展民营经济作为经济工作的突破口，实现工业经济的跨越式发展。</w:t>
      </w:r>
    </w:p>
    <w:p>
      <w:pPr>
        <w:pStyle w:val="24"/>
      </w:pPr>
      <w:r>
        <w:t>一是要加大招商引资力度。牢固树立机遇、责任、大局和主体四个意识，广借外力，力求招商引资工作实现新突破。营造好凝聚人心的“人和”环境，使营里成为投资创业的热土。主要做好现有企业的经营管理，完善招商引资的软硬环境，加大招商引资工作力度，重点引进高效益、污染小的企业，增加财政税收。</w:t>
      </w:r>
    </w:p>
    <w:p>
      <w:pPr>
        <w:pStyle w:val="24"/>
      </w:pPr>
      <w:r>
        <w:t>二是要做大做强民营经济。重点扶持发展民营科技企业、外向型民营企业、吸纳下岗职工就业型的民营企业和从事农产品加工的民营企业。扶持发展一大批个体、民营经济，推动全乡第三产业的发展，繁荣我乡的经济。</w:t>
      </w:r>
    </w:p>
    <w:p>
      <w:pPr>
        <w:pStyle w:val="24"/>
      </w:pPr>
      <w:r>
        <w:t>（三）全力维护社会稳定，推进和谐社会建设。</w:t>
      </w:r>
    </w:p>
    <w:p>
      <w:pPr>
        <w:pStyle w:val="24"/>
      </w:pPr>
      <w:r>
        <w:t>全镇上下一定要牢固树立稳定压倒一切、稳定是第一责任的思想。要做好维稳工作，主要是抓好以下三个方面工作：一是要切实把信访工作作为维稳工作的一项重点来抓。加强信访和社会矛盾排查工作，扎实开展民生信访问题专项治理，积极解决人民群众最关心、最直接、最现实的利益问题，最大限度地增加和谐因素。严格落实好省征地拆迁“三条红线”的要求，严查损害群众利益的行为。建立健全和落实领导阅批群众来信制度、领导接访群众来访日制度、领导包案责任制度等，积极探索新形势下做好信访工作的新路子，把问题解决在萌芽状态。二是要加强社会治安综合治理。继续加大社会治安综合治理力度，深入开展平安建设活动，逐步建立社会治安综合治理工作中心，强化群防群治。建立健全社会治安防控体系和公共安全防控体系，坚持“严打”方针，抓住治安热点问题，适时开展专项整治活动，严厉打击各类刑事犯罪活动，坚决遏制“黄赌毒”，加强流动人口、出租屋管理工作，维护社会的公平与正义，积极创建“和谐乡村”活动，营造良好的生产生活环境。三是要抓好安全工作。建立全乡统一的应急指挥工作机制，增强应对处置突发事件的能力。积极抓好地质灾害防治，对存在较大安全隐患的农户实行移居。全乡干部群众都要树立安全责任意识，做好维护人民群众生命财产安全工作，要强化安全生产责任意识，正确处理好安全与发展、安全与效益的关系，要采取有效措施，定期对我乡范围内的生产企业进行安全生产检查，确保不出安全事故，实现安全生产与经济社会同步协调发展。</w:t>
      </w:r>
    </w:p>
    <w:p>
      <w:pPr>
        <w:pStyle w:val="24"/>
      </w:pPr>
      <w:r>
        <w:t>（四）认真解决“三农”问题，扎实推进新农村建设。</w:t>
      </w:r>
    </w:p>
    <w:p>
      <w:pPr>
        <w:pStyle w:val="24"/>
      </w:pPr>
      <w:r>
        <w:t>一是要巩固提高农业农村经济。坚持“多予少取放活”方针，重在“多予”，加大对农业农村发展的扶持力度，进一步加强“三农”工作，要大胆引进资金和技术，增加对农业的资金投入和技术投入，促进科技兴农。加快农业产业化、农村城镇化步伐，积极推进新农村建设。</w:t>
      </w:r>
    </w:p>
    <w:p>
      <w:pPr>
        <w:pStyle w:val="24"/>
      </w:pPr>
      <w:r>
        <w:t>二是要优化农业产业结构。要以市场为导向，因地制宜，以发展为城镇服务的高效农业为主。发展以生产、生活、生态一体的农产品，提高农产品的质量，加速传统型农业向效益型农业的转变要采取有效措施，加快农业结构调整，发展壮大特色支柱产业，促进农民持续增收。要积极鼓励和引导广大农民群众立足当地实际，充分挖掘农业内部增收潜力，积极发展品质优良、特色明显、附加值高的优势农产品和特色支柱产业，形成“一村一品”。</w:t>
      </w:r>
    </w:p>
    <w:p>
      <w:pPr>
        <w:pStyle w:val="24"/>
      </w:pPr>
      <w:r>
        <w:t>发展和壮大农业龙头企业。支持现有农业龙头企业做大做强，积极推进龙头企业带动农户，农产品生产加工销售有机结合的农业产业化经营。鼓励和扶持水果专业合作社、协会等各种农民合作经济组织。继续推广农业标准化栽培和管理。努力培育农产品销售大户，组建农副产品流通服务队，搞活农产品流通，建立农副产品批发市场。完善科技推广、信息服务体系和农产品质量安全体系，要大力推广龙头企业、合作经济组织与农户有机结合的组织形式，让广大农民群众从产业化经营中得到更多的实惠。</w:t>
      </w:r>
    </w:p>
    <w:p>
      <w:pPr>
        <w:pStyle w:val="24"/>
      </w:pPr>
      <w:r>
        <w:t xml:space="preserve">三是发展农村社会事业。坚持以规划为龙头，统筹推进农村公共基础设施建设和农田水利设施建设。按照“生产发展、生活宽裕、乡风文明、村容整洁、管理民主”的社会主义新农村建设要求，协调推进农村经济建设、政治建设、文化建设、社会建设和党的建设。加快社会主义新农村建设步伐，因地制宜，强化规划，稳步推进。继续完善农村道路、饮水、电网、通信等基础设施，大力推进农村改水、改厕、改路、改房、改灶工作，抓好农田水利基本建设。继续增加农村教育、文化、卫生等方面的投入，妥善处理农村垃圾，大力发展农村沼气，推进“洁净家园”建设。强化涉农收费和农资价格监管，健全对被征地农民补偿机制和安置机置。加强各类职业技能培训，抓好农村劳动力对外输出，推进农村富余劳动力转移就业，提高农民工资性收入。优化基层民主法治环境，倡导农村文明法治新风尚。        </w:t>
      </w:r>
    </w:p>
    <w:p>
      <w:pPr>
        <w:pStyle w:val="24"/>
      </w:pPr>
      <w:r>
        <w:t>（五）加强党委、政府自身建设，提高党组织的战斗力和政府的行政管理能力。</w:t>
      </w:r>
    </w:p>
    <w:p>
      <w:pPr>
        <w:pStyle w:val="24"/>
      </w:pPr>
      <w:r>
        <w:t>1、要加强领导班子和干部队伍建设，形成坚强领导核心。首先要提高素质，改进作风。要通过抓学习培训，抓制度建设，抓作风建设，抓民主集中制执行等提高班子素质的有效措施，努力把乡党政班子建设成为朝气蓬勃、务实创新、勤政清廉、团结协调的领导集体，为推进社会主义新农村建设提供坚强的组织保证。再次，要牢记宗旨，树立亲民形象。要坚持立党为公、执政为民，牢记“两个务必”。要坚持实事求是，树立正确的政绩观。要大力弘扬求真务实精神，大兴求真务实之风，坚持按规律办事，不搞“数字游戏”，不树“虚假政绩”，不造“形象工程”。要加强反腐保廉工作，干净干事。要深入推进党风廉政建设和反腐败工作，建立健全教育、惩处、监督并重的惩治和预防腐败体系，落实好党风廉政建设责任制，不断提高拒腐防变能力。要加强党内监督，依纪依法严惩违法违纪案件，切实纠正损害群众利益的不正之风。</w:t>
      </w:r>
    </w:p>
    <w:p>
      <w:pPr>
        <w:pStyle w:val="24"/>
      </w:pPr>
      <w:r>
        <w:t>2、要切实加强农村党组织和党员队伍建设，扎实推进社会主义新农村建设。加强农村党的建设，一是培养好“领头雁”。要把有理想、有能力、有冲劲、有公心的人才培养成为农村的“领头雁”，并注重引导群众在村级换届时将带头致富能力强、带领群众致富能力强的“双强型”干部选到村主任岗位上来，以团结带领党员群众积极投身到社会主义新农村建设高潮中去。二是补充“新鲜血液”。要注重培养发展退伍军人、经济能人、种养能人入党，改善党员队伍结构，增添党的活力。三是继续组织好“明确努力方向，投身新农村建设”的主题实践活动。要积极扶持建立农业产业化龙头企业，组建各类经济合作组织和协会，实现“生产发展、生活富裕”的目标。</w:t>
      </w:r>
    </w:p>
    <w:p>
      <w:pPr>
        <w:pStyle w:val="24"/>
        <w:sectPr>
          <w:pgSz w:w="16840" w:h="11900" w:orient="landscape"/>
          <w:pgMar w:top="1361" w:right="1020" w:bottom="1361" w:left="1020" w:header="720" w:footer="720" w:gutter="0"/>
          <w:cols w:space="720" w:num="1"/>
        </w:sectPr>
      </w:pPr>
      <w:r>
        <w:t>3、要转变政府职能，按照“廉洁、勤政、务实、高效”的要求，建立和完善精简高效、运行协调、行为规范的行政管理体系，切实把政府职能转到经济调节、市场监管、社会管理和公共服务上来，构建亲民、便民、利民“服务型”政府。加强干部队伍建设，提高干部素质和服务水平，使全镇干部聚精会神搞建设，一心一意谋发展，不断开创工作新局面。</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1、2025年中央专项彩票公益金支持地方社会公益事业发展资金项目绩效目标表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13013025P00007010015U</w:t>
            </w:r>
          </w:p>
        </w:tc>
        <w:tc>
          <w:tcPr>
            <w:tcW w:w="2835" w:type="dxa"/>
            <w:vAlign w:val="center"/>
          </w:tcPr>
          <w:p>
            <w:pPr>
              <w:pStyle w:val="11"/>
            </w:pPr>
            <w:r>
              <w:t>项目名称</w:t>
            </w:r>
          </w:p>
        </w:tc>
        <w:tc>
          <w:tcPr>
            <w:tcW w:w="6095" w:type="dxa"/>
            <w:gridSpan w:val="3"/>
            <w:vAlign w:val="center"/>
          </w:tcPr>
          <w:p>
            <w:pPr>
              <w:pStyle w:val="13"/>
            </w:pPr>
            <w:r>
              <w:t>2025年中央专项彩票公益金支持地方社会公益事业发展资金项目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149.00</w:t>
            </w:r>
          </w:p>
        </w:tc>
        <w:tc>
          <w:tcPr>
            <w:tcW w:w="2835" w:type="dxa"/>
            <w:vAlign w:val="center"/>
          </w:tcPr>
          <w:p>
            <w:pPr>
              <w:pStyle w:val="11"/>
            </w:pPr>
            <w:r>
              <w:t>其中：财政    资金</w:t>
            </w:r>
          </w:p>
        </w:tc>
        <w:tc>
          <w:tcPr>
            <w:tcW w:w="2551" w:type="dxa"/>
            <w:vAlign w:val="center"/>
          </w:tcPr>
          <w:p>
            <w:pPr>
              <w:pStyle w:val="13"/>
            </w:pPr>
            <w:r>
              <w:t>149.00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提升政府社会公益事业供给能力，改善社会公益事业落后情况</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37.25</w:t>
            </w:r>
          </w:p>
        </w:tc>
        <w:tc>
          <w:tcPr>
            <w:tcW w:w="2835" w:type="dxa"/>
            <w:vAlign w:val="center"/>
          </w:tcPr>
          <w:p>
            <w:pPr>
              <w:pStyle w:val="14"/>
            </w:pPr>
            <w:r>
              <w:t>74.50</w:t>
            </w:r>
          </w:p>
        </w:tc>
        <w:tc>
          <w:tcPr>
            <w:tcW w:w="2551" w:type="dxa"/>
            <w:vAlign w:val="center"/>
          </w:tcPr>
          <w:p>
            <w:pPr>
              <w:pStyle w:val="14"/>
            </w:pPr>
            <w:r>
              <w:t>111.75</w:t>
            </w:r>
          </w:p>
        </w:tc>
        <w:tc>
          <w:tcPr>
            <w:tcW w:w="3544" w:type="dxa"/>
            <w:gridSpan w:val="2"/>
            <w:vAlign w:val="center"/>
          </w:tcPr>
          <w:p>
            <w:pPr>
              <w:pStyle w:val="14"/>
            </w:pPr>
            <w:r>
              <w:t>149.00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1.提升政府社会公益事业供给能力，改善社会公益事业落后情况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支持其他社会公益项目</w:t>
            </w:r>
          </w:p>
        </w:tc>
        <w:tc>
          <w:tcPr>
            <w:tcW w:w="5386" w:type="dxa"/>
            <w:vAlign w:val="center"/>
          </w:tcPr>
          <w:p>
            <w:pPr>
              <w:pStyle w:val="13"/>
            </w:pPr>
            <w:r>
              <w:t>项目实施直接受益人数</w:t>
            </w:r>
          </w:p>
        </w:tc>
        <w:tc>
          <w:tcPr>
            <w:tcW w:w="2268" w:type="dxa"/>
            <w:vAlign w:val="center"/>
          </w:tcPr>
          <w:p>
            <w:pPr>
              <w:pStyle w:val="13"/>
            </w:pPr>
            <w:r>
              <w:t>≥3000人</w:t>
            </w:r>
          </w:p>
        </w:tc>
        <w:tc>
          <w:tcPr>
            <w:tcW w:w="1276" w:type="dxa"/>
            <w:vAlign w:val="center"/>
          </w:tcPr>
          <w:p>
            <w:pPr>
              <w:pStyle w:val="13"/>
            </w:pPr>
            <w:r>
              <w:t>根据测算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支持其他社会公益项目</w:t>
            </w:r>
          </w:p>
        </w:tc>
        <w:tc>
          <w:tcPr>
            <w:tcW w:w="5386" w:type="dxa"/>
            <w:vAlign w:val="center"/>
          </w:tcPr>
          <w:p>
            <w:pPr>
              <w:pStyle w:val="13"/>
            </w:pPr>
            <w:r>
              <w:t>增加公益性项目面积</w:t>
            </w:r>
          </w:p>
        </w:tc>
        <w:tc>
          <w:tcPr>
            <w:tcW w:w="2268" w:type="dxa"/>
            <w:vAlign w:val="center"/>
          </w:tcPr>
          <w:p>
            <w:pPr>
              <w:pStyle w:val="13"/>
            </w:pPr>
            <w:r>
              <w:t>≥12900平方米</w:t>
            </w:r>
          </w:p>
        </w:tc>
        <w:tc>
          <w:tcPr>
            <w:tcW w:w="1276" w:type="dxa"/>
            <w:vAlign w:val="center"/>
          </w:tcPr>
          <w:p>
            <w:pPr>
              <w:pStyle w:val="13"/>
            </w:pPr>
            <w:r>
              <w:t>根据测算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项目验收合格率</w:t>
            </w:r>
          </w:p>
        </w:tc>
        <w:tc>
          <w:tcPr>
            <w:tcW w:w="5386" w:type="dxa"/>
            <w:vAlign w:val="center"/>
          </w:tcPr>
          <w:p>
            <w:pPr>
              <w:pStyle w:val="13"/>
            </w:pPr>
            <w:r>
              <w:t>项目验收合格率</w:t>
            </w:r>
          </w:p>
        </w:tc>
        <w:tc>
          <w:tcPr>
            <w:tcW w:w="2268" w:type="dxa"/>
            <w:vAlign w:val="center"/>
          </w:tcPr>
          <w:p>
            <w:pPr>
              <w:pStyle w:val="13"/>
            </w:pPr>
            <w:r>
              <w:t>100%</w:t>
            </w:r>
          </w:p>
        </w:tc>
        <w:tc>
          <w:tcPr>
            <w:tcW w:w="1276" w:type="dxa"/>
            <w:vAlign w:val="center"/>
          </w:tcPr>
          <w:p>
            <w:pPr>
              <w:pStyle w:val="13"/>
            </w:pPr>
            <w:r>
              <w:t>根据验收情况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工作任务及时完成率</w:t>
            </w:r>
          </w:p>
        </w:tc>
        <w:tc>
          <w:tcPr>
            <w:tcW w:w="5386" w:type="dxa"/>
            <w:vAlign w:val="center"/>
          </w:tcPr>
          <w:p>
            <w:pPr>
              <w:pStyle w:val="13"/>
            </w:pPr>
            <w:r>
              <w:t>工作任务及时完成率</w:t>
            </w:r>
          </w:p>
        </w:tc>
        <w:tc>
          <w:tcPr>
            <w:tcW w:w="2268" w:type="dxa"/>
            <w:vAlign w:val="center"/>
          </w:tcPr>
          <w:p>
            <w:pPr>
              <w:pStyle w:val="13"/>
            </w:pPr>
            <w:r>
              <w:t>≥90%</w:t>
            </w:r>
          </w:p>
        </w:tc>
        <w:tc>
          <w:tcPr>
            <w:tcW w:w="1276" w:type="dxa"/>
            <w:vAlign w:val="center"/>
          </w:tcPr>
          <w:p>
            <w:pPr>
              <w:pStyle w:val="13"/>
            </w:pPr>
            <w:r>
              <w:t>根据完工情况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超概算比例</w:t>
            </w:r>
          </w:p>
        </w:tc>
        <w:tc>
          <w:tcPr>
            <w:tcW w:w="5386" w:type="dxa"/>
            <w:vAlign w:val="center"/>
          </w:tcPr>
          <w:p>
            <w:pPr>
              <w:pStyle w:val="13"/>
            </w:pPr>
            <w:r>
              <w:t>超概算金额占概算的比例</w:t>
            </w:r>
          </w:p>
        </w:tc>
        <w:tc>
          <w:tcPr>
            <w:tcW w:w="2268" w:type="dxa"/>
            <w:vAlign w:val="center"/>
          </w:tcPr>
          <w:p>
            <w:pPr>
              <w:pStyle w:val="13"/>
            </w:pPr>
            <w:r>
              <w:t>≤95%</w:t>
            </w:r>
          </w:p>
        </w:tc>
        <w:tc>
          <w:tcPr>
            <w:tcW w:w="1276" w:type="dxa"/>
            <w:vAlign w:val="center"/>
          </w:tcPr>
          <w:p>
            <w:pPr>
              <w:pStyle w:val="13"/>
            </w:pPr>
            <w:r>
              <w:t>根据实际情况</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有效弥补当地社会公益事业欠账</w:t>
            </w:r>
          </w:p>
        </w:tc>
        <w:tc>
          <w:tcPr>
            <w:tcW w:w="5386" w:type="dxa"/>
            <w:vAlign w:val="center"/>
          </w:tcPr>
          <w:p>
            <w:pPr>
              <w:pStyle w:val="13"/>
            </w:pPr>
            <w:r>
              <w:t>有效弥补当地社会公益事业欠账</w:t>
            </w:r>
          </w:p>
        </w:tc>
        <w:tc>
          <w:tcPr>
            <w:tcW w:w="2268" w:type="dxa"/>
            <w:vAlign w:val="center"/>
          </w:tcPr>
          <w:p>
            <w:pPr>
              <w:pStyle w:val="13"/>
            </w:pPr>
            <w:r>
              <w:t>效果显著</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社会公益机构的服务能力和水平</w:t>
            </w:r>
          </w:p>
        </w:tc>
        <w:tc>
          <w:tcPr>
            <w:tcW w:w="5386" w:type="dxa"/>
            <w:vAlign w:val="center"/>
          </w:tcPr>
          <w:p>
            <w:pPr>
              <w:pStyle w:val="13"/>
            </w:pPr>
            <w:r>
              <w:t>社会公益机构的服务能力和水平</w:t>
            </w:r>
          </w:p>
        </w:tc>
        <w:tc>
          <w:tcPr>
            <w:tcW w:w="2268" w:type="dxa"/>
            <w:vAlign w:val="center"/>
          </w:tcPr>
          <w:p>
            <w:pPr>
              <w:pStyle w:val="13"/>
            </w:pPr>
            <w:r>
              <w:t>持续提高</w:t>
            </w:r>
          </w:p>
        </w:tc>
        <w:tc>
          <w:tcPr>
            <w:tcW w:w="1276" w:type="dxa"/>
            <w:vAlign w:val="center"/>
          </w:tcPr>
          <w:p>
            <w:pPr>
              <w:pStyle w:val="13"/>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受益人群满意度</w:t>
            </w:r>
          </w:p>
        </w:tc>
        <w:tc>
          <w:tcPr>
            <w:tcW w:w="5386" w:type="dxa"/>
            <w:vAlign w:val="center"/>
          </w:tcPr>
          <w:p>
            <w:pPr>
              <w:pStyle w:val="13"/>
            </w:pPr>
            <w:r>
              <w:t>受益人群满意度</w:t>
            </w:r>
          </w:p>
        </w:tc>
        <w:tc>
          <w:tcPr>
            <w:tcW w:w="2268" w:type="dxa"/>
            <w:vAlign w:val="center"/>
          </w:tcPr>
          <w:p>
            <w:pPr>
              <w:pStyle w:val="13"/>
            </w:pPr>
            <w:r>
              <w:t>≥85%</w:t>
            </w:r>
          </w:p>
        </w:tc>
        <w:tc>
          <w:tcPr>
            <w:tcW w:w="1276" w:type="dxa"/>
            <w:vAlign w:val="center"/>
          </w:tcPr>
          <w:p>
            <w:pPr>
              <w:pStyle w:val="13"/>
            </w:pPr>
            <w:r>
              <w:t>走访调查</w:t>
            </w:r>
          </w:p>
        </w:tc>
      </w:tr>
    </w:tbl>
    <w:p>
      <w:pPr>
        <w:sectPr>
          <w:type w:val="continuous"/>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937无极县东侯坊镇人民政府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149.00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149.00</w:t>
            </w:r>
          </w:p>
        </w:tc>
        <w:tc>
          <w:tcPr>
            <w:tcW w:w="964" w:type="dxa"/>
            <w:vAlign w:val="center"/>
          </w:tcPr>
          <w:p>
            <w:pPr>
              <w:pStyle w:val="16"/>
            </w:pPr>
          </w:p>
        </w:tc>
        <w:tc>
          <w:tcPr>
            <w:tcW w:w="964" w:type="dxa"/>
            <w:vAlign w:val="center"/>
          </w:tcPr>
          <w:p>
            <w:pPr>
              <w:pStyle w:val="16"/>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无极县东侯坊镇人民政府本级小计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149.00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149.00</w:t>
            </w:r>
          </w:p>
        </w:tc>
        <w:tc>
          <w:tcPr>
            <w:tcW w:w="964" w:type="dxa"/>
            <w:vAlign w:val="center"/>
          </w:tcPr>
          <w:p>
            <w:pPr>
              <w:pStyle w:val="16"/>
            </w:pPr>
          </w:p>
        </w:tc>
        <w:tc>
          <w:tcPr>
            <w:tcW w:w="964" w:type="dxa"/>
            <w:vAlign w:val="center"/>
          </w:tcPr>
          <w:p>
            <w:pPr>
              <w:pStyle w:val="16"/>
            </w:pPr>
            <w:r>
              <w:t>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2025年中央专项彩票公益金支持地方社会公益事业发展资金项目</w:t>
            </w:r>
          </w:p>
        </w:tc>
        <w:tc>
          <w:tcPr>
            <w:tcW w:w="964" w:type="dxa"/>
            <w:vAlign w:val="center"/>
          </w:tcPr>
          <w:p>
            <w:pPr>
              <w:pStyle w:val="12"/>
            </w:pPr>
            <w:r>
              <w:t>149.00</w:t>
            </w:r>
          </w:p>
        </w:tc>
        <w:tc>
          <w:tcPr>
            <w:tcW w:w="1134" w:type="dxa"/>
            <w:vAlign w:val="center"/>
          </w:tcPr>
          <w:p>
            <w:pPr>
              <w:pStyle w:val="13"/>
            </w:pPr>
            <w:r>
              <w:t>公路工程施工</w:t>
            </w:r>
          </w:p>
        </w:tc>
        <w:tc>
          <w:tcPr>
            <w:tcW w:w="1134" w:type="dxa"/>
            <w:vAlign w:val="center"/>
          </w:tcPr>
          <w:p>
            <w:pPr>
              <w:pStyle w:val="13"/>
            </w:pPr>
            <w:r>
              <w:t>B02020000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149.00</w:t>
            </w:r>
          </w:p>
        </w:tc>
        <w:tc>
          <w:tcPr>
            <w:tcW w:w="964" w:type="dxa"/>
            <w:vAlign w:val="center"/>
          </w:tcPr>
          <w:p>
            <w:pPr>
              <w:pStyle w:val="12"/>
            </w:pPr>
            <w:r>
              <w:t>149.00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149.00</w:t>
            </w:r>
          </w:p>
        </w:tc>
        <w:tc>
          <w:tcPr>
            <w:tcW w:w="964" w:type="dxa"/>
            <w:vAlign w:val="center"/>
          </w:tcPr>
          <w:p>
            <w:pPr>
              <w:pStyle w:val="12"/>
            </w:pPr>
          </w:p>
        </w:tc>
        <w:tc>
          <w:tcPr>
            <w:tcW w:w="964" w:type="dxa"/>
            <w:vAlign w:val="center"/>
          </w:tcPr>
          <w:p>
            <w:pPr>
              <w:pStyle w:val="12"/>
            </w:pPr>
            <w:r>
              <w:t>149.00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无极县东侯坊镇人民政府（含所属单位）上年末固定资产金额为233.42万元（详见下表）。本年度拟购置固定资产总额为0.00万元，已按要求列入政府采购预算，详见政府采购预算表。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937无极县东侯坊镇人民政府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233.42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4000</w:t>
            </w:r>
          </w:p>
        </w:tc>
        <w:tc>
          <w:tcPr>
            <w:tcW w:w="2835" w:type="dxa"/>
            <w:vAlign w:val="center"/>
          </w:tcPr>
          <w:p>
            <w:pPr>
              <w:pStyle w:val="12"/>
            </w:pPr>
            <w:r>
              <w:t>205.42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3000</w:t>
            </w:r>
          </w:p>
        </w:tc>
        <w:tc>
          <w:tcPr>
            <w:tcW w:w="2835" w:type="dxa"/>
            <w:vAlign w:val="center"/>
          </w:tcPr>
          <w:p>
            <w:pPr>
              <w:pStyle w:val="12"/>
            </w:pPr>
            <w:r>
              <w:t>154.06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864754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34</Pages>
  <TotalTime>0</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2026-04-23T10:35:00Z</dcterms:created>
  <dc:creator>lenovo</dc:creator>
  <cp:lastModifiedBy>lenovo</cp:lastModifiedBy>
  <dcterms:modified xsi:type="dcterms:W3CDTF">2026-04-23T02:35:36Z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2F06D3EB230A480695A4E1AF0FEFF6F5</vt:lpwstr>
  </property>
</Properties>
</file>