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941无极县城区居民服务中心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358.51</w:t>
            </w:r>
          </w:p>
        </w:tc>
        <w:tc>
          <w:tcPr>
            <w:tcW w:w="4535" w:type="dxa"/>
            <w:vAlign w:val="center"/>
          </w:tcPr>
          <w:p>
            <w:pPr>
              <w:pStyle w:val="13"/>
            </w:pPr>
            <w:r>
              <w:t>一、一般公共服务支出</w:t>
            </w:r>
          </w:p>
        </w:tc>
        <w:tc>
          <w:tcPr>
            <w:tcW w:w="2126" w:type="dxa"/>
            <w:vAlign w:val="center"/>
          </w:tcPr>
          <w:p>
            <w:pPr>
              <w:pStyle w:val="12"/>
            </w:pPr>
            <w:r>
              <w:t>302.01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358.51</w:t>
            </w:r>
          </w:p>
        </w:tc>
        <w:tc>
          <w:tcPr>
            <w:tcW w:w="4535" w:type="dxa"/>
            <w:vAlign w:val="center"/>
          </w:tcPr>
          <w:p>
            <w:pPr>
              <w:pStyle w:val="15"/>
            </w:pPr>
            <w:r>
              <w:t>本年支出合计</w:t>
            </w:r>
          </w:p>
        </w:tc>
        <w:tc>
          <w:tcPr>
            <w:tcW w:w="2126" w:type="dxa"/>
            <w:vAlign w:val="center"/>
          </w:tcPr>
          <w:p>
            <w:pPr>
              <w:pStyle w:val="16"/>
            </w:pPr>
            <w:r>
              <w:t>358.51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358.51</w:t>
            </w:r>
          </w:p>
        </w:tc>
        <w:tc>
          <w:tcPr>
            <w:tcW w:w="4535" w:type="dxa"/>
            <w:vAlign w:val="center"/>
          </w:tcPr>
          <w:p>
            <w:pPr>
              <w:pStyle w:val="15"/>
            </w:pPr>
            <w:r>
              <w:t>支出总计</w:t>
            </w:r>
          </w:p>
        </w:tc>
        <w:tc>
          <w:tcPr>
            <w:tcW w:w="2126" w:type="dxa"/>
            <w:vAlign w:val="center"/>
          </w:tcPr>
          <w:p>
            <w:pPr>
              <w:pStyle w:val="16"/>
            </w:pPr>
            <w:r>
              <w:t>358.51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358.51</w:t>
            </w:r>
          </w:p>
        </w:tc>
        <w:tc>
          <w:tcPr>
            <w:tcW w:w="1134" w:type="dxa"/>
            <w:vAlign w:val="center"/>
          </w:tcPr>
          <w:p>
            <w:pPr>
              <w:pStyle w:val="16"/>
            </w:pPr>
            <w:r>
              <w:t>358.51</w:t>
            </w:r>
          </w:p>
        </w:tc>
        <w:tc>
          <w:tcPr>
            <w:tcW w:w="1134" w:type="dxa"/>
            <w:vAlign w:val="center"/>
          </w:tcPr>
          <w:p>
            <w:pPr>
              <w:pStyle w:val="16"/>
            </w:pPr>
            <w:r>
              <w:t>358.51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r>
              <w:t>302.01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358.51</w:t>
            </w:r>
          </w:p>
        </w:tc>
        <w:tc>
          <w:tcPr>
            <w:tcW w:w="1361" w:type="dxa"/>
            <w:vAlign w:val="center"/>
          </w:tcPr>
          <w:p>
            <w:pPr>
              <w:pStyle w:val="16"/>
            </w:pPr>
            <w:r>
              <w:t>358.51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302.01</w:t>
            </w:r>
          </w:p>
        </w:tc>
        <w:tc>
          <w:tcPr>
            <w:tcW w:w="1361" w:type="dxa"/>
            <w:vAlign w:val="center"/>
          </w:tcPr>
          <w:p>
            <w:pPr>
              <w:pStyle w:val="12"/>
            </w:pPr>
            <w:r>
              <w:t>302.01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302.01</w:t>
            </w:r>
          </w:p>
        </w:tc>
        <w:tc>
          <w:tcPr>
            <w:tcW w:w="1361" w:type="dxa"/>
            <w:vAlign w:val="center"/>
          </w:tcPr>
          <w:p>
            <w:pPr>
              <w:pStyle w:val="12"/>
            </w:pPr>
            <w:r>
              <w:t>302.01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302.01</w:t>
            </w:r>
          </w:p>
        </w:tc>
        <w:tc>
          <w:tcPr>
            <w:tcW w:w="1361" w:type="dxa"/>
            <w:vAlign w:val="center"/>
          </w:tcPr>
          <w:p>
            <w:pPr>
              <w:pStyle w:val="12"/>
            </w:pPr>
            <w:r>
              <w:t>302.01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358.51</w:t>
            </w:r>
          </w:p>
        </w:tc>
        <w:tc>
          <w:tcPr>
            <w:tcW w:w="3402" w:type="dxa"/>
            <w:vAlign w:val="center"/>
          </w:tcPr>
          <w:p>
            <w:pPr>
              <w:pStyle w:val="13"/>
            </w:pPr>
            <w:r>
              <w:t>一、一般公共服务支出</w:t>
            </w:r>
          </w:p>
        </w:tc>
        <w:tc>
          <w:tcPr>
            <w:tcW w:w="1474" w:type="dxa"/>
            <w:vAlign w:val="center"/>
          </w:tcPr>
          <w:p>
            <w:pPr>
              <w:pStyle w:val="12"/>
            </w:pPr>
            <w:r>
              <w:t>302.01</w:t>
            </w:r>
          </w:p>
        </w:tc>
        <w:tc>
          <w:tcPr>
            <w:tcW w:w="1474" w:type="dxa"/>
            <w:vAlign w:val="center"/>
          </w:tcPr>
          <w:p>
            <w:pPr>
              <w:pStyle w:val="12"/>
            </w:pPr>
            <w:r>
              <w:t>302.01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16.50</w:t>
            </w:r>
          </w:p>
        </w:tc>
        <w:tc>
          <w:tcPr>
            <w:tcW w:w="1474" w:type="dxa"/>
            <w:vAlign w:val="center"/>
          </w:tcPr>
          <w:p>
            <w:pPr>
              <w:pStyle w:val="12"/>
            </w:pPr>
            <w:r>
              <w:t>16.50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358.51</w:t>
            </w:r>
          </w:p>
        </w:tc>
        <w:tc>
          <w:tcPr>
            <w:tcW w:w="3402" w:type="dxa"/>
            <w:vAlign w:val="center"/>
          </w:tcPr>
          <w:p>
            <w:pPr>
              <w:pStyle w:val="15"/>
            </w:pPr>
            <w:r>
              <w:t>本年支出合计</w:t>
            </w:r>
          </w:p>
        </w:tc>
        <w:tc>
          <w:tcPr>
            <w:tcW w:w="1474" w:type="dxa"/>
            <w:vAlign w:val="center"/>
          </w:tcPr>
          <w:p>
            <w:pPr>
              <w:pStyle w:val="16"/>
            </w:pPr>
            <w:r>
              <w:t>358.51</w:t>
            </w:r>
          </w:p>
        </w:tc>
        <w:tc>
          <w:tcPr>
            <w:tcW w:w="1474" w:type="dxa"/>
            <w:vAlign w:val="center"/>
          </w:tcPr>
          <w:p>
            <w:pPr>
              <w:pStyle w:val="16"/>
            </w:pPr>
            <w:r>
              <w:t>358.51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358.51</w:t>
            </w:r>
          </w:p>
        </w:tc>
        <w:tc>
          <w:tcPr>
            <w:tcW w:w="3402" w:type="dxa"/>
            <w:vAlign w:val="center"/>
          </w:tcPr>
          <w:p>
            <w:pPr>
              <w:pStyle w:val="15"/>
            </w:pPr>
            <w:r>
              <w:t>支出总计</w:t>
            </w:r>
          </w:p>
        </w:tc>
        <w:tc>
          <w:tcPr>
            <w:tcW w:w="1474" w:type="dxa"/>
            <w:vAlign w:val="center"/>
          </w:tcPr>
          <w:p>
            <w:pPr>
              <w:pStyle w:val="16"/>
            </w:pPr>
            <w:r>
              <w:t>358.51</w:t>
            </w:r>
          </w:p>
        </w:tc>
        <w:tc>
          <w:tcPr>
            <w:tcW w:w="1474" w:type="dxa"/>
            <w:vAlign w:val="center"/>
          </w:tcPr>
          <w:p>
            <w:pPr>
              <w:pStyle w:val="16"/>
            </w:pPr>
            <w:r>
              <w:t>358.51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358.51</w:t>
            </w:r>
          </w:p>
        </w:tc>
        <w:tc>
          <w:tcPr>
            <w:tcW w:w="2551" w:type="dxa"/>
            <w:vAlign w:val="center"/>
          </w:tcPr>
          <w:p>
            <w:pPr>
              <w:pStyle w:val="16"/>
            </w:pPr>
            <w:r>
              <w:t>358.51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302.01</w:t>
            </w:r>
          </w:p>
        </w:tc>
        <w:tc>
          <w:tcPr>
            <w:tcW w:w="2551" w:type="dxa"/>
            <w:vAlign w:val="center"/>
          </w:tcPr>
          <w:p>
            <w:pPr>
              <w:pStyle w:val="12"/>
            </w:pPr>
            <w:r>
              <w:t>302.01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302.01</w:t>
            </w:r>
          </w:p>
        </w:tc>
        <w:tc>
          <w:tcPr>
            <w:tcW w:w="2551" w:type="dxa"/>
            <w:vAlign w:val="center"/>
          </w:tcPr>
          <w:p>
            <w:pPr>
              <w:pStyle w:val="12"/>
            </w:pPr>
            <w:r>
              <w:t>302.01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302.01</w:t>
            </w:r>
          </w:p>
        </w:tc>
        <w:tc>
          <w:tcPr>
            <w:tcW w:w="2551" w:type="dxa"/>
            <w:vAlign w:val="center"/>
          </w:tcPr>
          <w:p>
            <w:pPr>
              <w:pStyle w:val="12"/>
            </w:pPr>
            <w:r>
              <w:t>302.01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358.51</w:t>
            </w:r>
          </w:p>
        </w:tc>
        <w:tc>
          <w:tcPr>
            <w:tcW w:w="2551" w:type="dxa"/>
            <w:vAlign w:val="center"/>
          </w:tcPr>
          <w:p>
            <w:pPr>
              <w:pStyle w:val="16"/>
            </w:pPr>
            <w:r>
              <w:t>334.40</w:t>
            </w:r>
          </w:p>
        </w:tc>
        <w:tc>
          <w:tcPr>
            <w:tcW w:w="2551" w:type="dxa"/>
            <w:vAlign w:val="center"/>
          </w:tcPr>
          <w:p>
            <w:pPr>
              <w:pStyle w:val="16"/>
            </w:pPr>
            <w:r>
              <w:t>24.11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326.40</w:t>
            </w:r>
          </w:p>
        </w:tc>
        <w:tc>
          <w:tcPr>
            <w:tcW w:w="2551" w:type="dxa"/>
            <w:vAlign w:val="center"/>
          </w:tcPr>
          <w:p>
            <w:pPr>
              <w:pStyle w:val="12"/>
            </w:pPr>
            <w:r>
              <w:t>326.40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13.80</w:t>
            </w:r>
          </w:p>
        </w:tc>
        <w:tc>
          <w:tcPr>
            <w:tcW w:w="2551" w:type="dxa"/>
            <w:vAlign w:val="center"/>
          </w:tcPr>
          <w:p>
            <w:pPr>
              <w:pStyle w:val="12"/>
            </w:pPr>
            <w:r>
              <w:t>13.80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81.00</w:t>
            </w:r>
          </w:p>
        </w:tc>
        <w:tc>
          <w:tcPr>
            <w:tcW w:w="2551" w:type="dxa"/>
            <w:vAlign w:val="center"/>
          </w:tcPr>
          <w:p>
            <w:pPr>
              <w:pStyle w:val="12"/>
            </w:pPr>
            <w:r>
              <w:t>81.00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3.10</w:t>
            </w:r>
          </w:p>
        </w:tc>
        <w:tc>
          <w:tcPr>
            <w:tcW w:w="2551" w:type="dxa"/>
            <w:vAlign w:val="center"/>
          </w:tcPr>
          <w:p>
            <w:pPr>
              <w:pStyle w:val="12"/>
            </w:pPr>
            <w:r>
              <w:t>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24.11</w:t>
            </w:r>
          </w:p>
        </w:tc>
        <w:tc>
          <w:tcPr>
            <w:tcW w:w="2551" w:type="dxa"/>
            <w:vAlign w:val="center"/>
          </w:tcPr>
          <w:p>
            <w:pPr>
              <w:pStyle w:val="12"/>
            </w:pPr>
          </w:p>
        </w:tc>
        <w:tc>
          <w:tcPr>
            <w:tcW w:w="2551" w:type="dxa"/>
            <w:vAlign w:val="center"/>
          </w:tcPr>
          <w:p>
            <w:pPr>
              <w:pStyle w:val="12"/>
            </w:pPr>
            <w:r>
              <w:t>24.11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按照《中华人民共和国预算法》、《地方预决算公开操作规程》和《关于进一步推进预算公开工作的实施意见》规定，现将无极县城区居民服务中心2026年部门预算公开如下：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无极县城区居民服务中心本级</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按照预算管理有关规定，目前部门预算的编制实行综合预算管理，即全部收入和支出都反映在预算中。无极县城区居民服务中心机关及所属事业单位的收支包含在部门预算中。</w:t>
      </w:r>
    </w:p>
    <w:p>
      <w:pPr>
        <w:pStyle w:val="19"/>
      </w:pPr>
      <w:r>
        <w:t>1、收入说明</w:t>
      </w:r>
    </w:p>
    <w:p>
      <w:pPr>
        <w:pStyle w:val="19"/>
      </w:pPr>
      <w:r>
        <w:t>反映本部门当年全部收入。2026年预算收入358.51万元，其中：一般公共预算收入358.51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城区居民服务中心年度部门预算中支出预算的总体情况。2026年支出预算358.51万元，其中基本支出358.51万元，包括人员经费334.40万元和日常公用经费24.11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358.51万元，较2025年预算减少548.89万元，其中：基本支出减少548.89万元，主要为2026年不再做社区工作者津补贴。项目支出增加0.00万元，主要为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2026年，我部门机关运行经费共计安排24.11万元，主要用于日常维修、办公用房水电费、办公用房取暖费、办公用房物业管理费等日常运行支出。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精简预算节俭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无极县城区居民服务中心主要职责：负责城区居民基本信息等数据整理分析，组织开展城区便民利民服务，为城区困难群众提供基本社会服务等工作。</w:t>
      </w:r>
    </w:p>
    <w:p>
      <w:pPr>
        <w:pStyle w:val="22"/>
      </w:pPr>
      <w:r>
        <w:t>2025年，无极县城区居民服务中心工作将继续以习近平新时代中国特色社会主义思想为指导，深入学习贯彻党二十大会议精神，全面贯彻落实中央和省市县有关社区工作发展会议精神，按照县委统一部署，聚焦无极社区高质量发展，围绕民生改善实事和社会治理难事，协调推进思想文化领域法治建设，协调党的意识形态工作，并完成县委县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规范活动程序，提高工作质量。</w:t>
      </w:r>
    </w:p>
    <w:p>
      <w:pPr>
        <w:pStyle w:val="23"/>
      </w:pPr>
      <w:r>
        <w:t>绩效目标：落实上级各项要求，保障社区各项工作顺利进行。</w:t>
      </w:r>
    </w:p>
    <w:p>
      <w:pPr>
        <w:pStyle w:val="23"/>
      </w:pPr>
      <w:r>
        <w:t>绩效指标：做好社区党群服务中心提升改造、创建社区党建品牌、信访维稳、巩固绿色社区创建成果、重点点位小区周边环境治理、创建卫生城市、社区基层建设、无人管理小区日常维护、垃圾分类等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941无极县城区居民服务中心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无极县城区居民服务中心（含所属单位）上年末固定资产金额为147.73万元（详见下表）。本年度拟购置固定资产总额为0.00万元，已按要求列入政府采购预算，详见政府采购预算表。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941无极县城区居民服务中心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939</w:t>
            </w:r>
          </w:p>
        </w:tc>
        <w:tc>
          <w:tcPr>
            <w:tcW w:w="2835" w:type="dxa"/>
            <w:vAlign w:val="center"/>
          </w:tcPr>
          <w:p>
            <w:pPr>
              <w:pStyle w:val="12"/>
            </w:pPr>
            <w:r>
              <w:t>140.65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1276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2026-04-23T10:47:00Z</dcterms:created>
  <dc:creator>lenovo</dc:creator>
  <cp:lastModifiedBy>lenovo</cp:lastModifiedBy>
  <dcterms:modified xsi:type="dcterms:W3CDTF">2026-04-23T02:47:52Z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D3CCE2A9AE1E48F6A80CDAD0D85F19C7</vt:lpwstr>
  </property>
</Properties>
</file>