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936无极县郭庄镇人民政府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1498.71</w:t>
            </w:r>
          </w:p>
        </w:tc>
        <w:tc>
          <w:tcPr>
            <w:tcW w:w="4535" w:type="dxa"/>
            <w:vAlign w:val="center"/>
          </w:tcPr>
          <w:p>
            <w:pPr>
              <w:pStyle w:val="13"/>
            </w:pPr>
            <w:r>
              <w:t>一、一般公共服务支出</w:t>
            </w:r>
          </w:p>
        </w:tc>
        <w:tc>
          <w:tcPr>
            <w:tcW w:w="2126" w:type="dxa"/>
            <w:vAlign w:val="center"/>
          </w:tcPr>
          <w:p>
            <w:pPr>
              <w:pStyle w:val="12"/>
            </w:pPr>
            <w:r>
              <w:t>1360.71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1498.71</w:t>
            </w:r>
          </w:p>
        </w:tc>
        <w:tc>
          <w:tcPr>
            <w:tcW w:w="4535" w:type="dxa"/>
            <w:vAlign w:val="center"/>
          </w:tcPr>
          <w:p>
            <w:pPr>
              <w:pStyle w:val="15"/>
            </w:pPr>
            <w:r>
              <w:t>本年支出合计</w:t>
            </w:r>
          </w:p>
        </w:tc>
        <w:tc>
          <w:tcPr>
            <w:tcW w:w="2126" w:type="dxa"/>
            <w:vAlign w:val="center"/>
          </w:tcPr>
          <w:p>
            <w:pPr>
              <w:pStyle w:val="16"/>
            </w:pPr>
            <w:r>
              <w:t>1501.26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2.55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1501.26</w:t>
            </w:r>
          </w:p>
        </w:tc>
        <w:tc>
          <w:tcPr>
            <w:tcW w:w="4535" w:type="dxa"/>
            <w:vAlign w:val="center"/>
          </w:tcPr>
          <w:p>
            <w:pPr>
              <w:pStyle w:val="15"/>
            </w:pPr>
            <w:r>
              <w:t>支出总计</w:t>
            </w:r>
          </w:p>
        </w:tc>
        <w:tc>
          <w:tcPr>
            <w:tcW w:w="2126" w:type="dxa"/>
            <w:vAlign w:val="center"/>
          </w:tcPr>
          <w:p>
            <w:pPr>
              <w:pStyle w:val="16"/>
            </w:pPr>
            <w:r>
              <w:t>1501.26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1501.26</w:t>
            </w:r>
          </w:p>
        </w:tc>
        <w:tc>
          <w:tcPr>
            <w:tcW w:w="1134" w:type="dxa"/>
            <w:vAlign w:val="center"/>
          </w:tcPr>
          <w:p>
            <w:pPr>
              <w:pStyle w:val="16"/>
            </w:pPr>
            <w:r>
              <w:t>1498.71</w:t>
            </w:r>
          </w:p>
        </w:tc>
        <w:tc>
          <w:tcPr>
            <w:tcW w:w="1134" w:type="dxa"/>
            <w:vAlign w:val="center"/>
          </w:tcPr>
          <w:p>
            <w:pPr>
              <w:pStyle w:val="16"/>
            </w:pPr>
            <w:r>
              <w:t>1498.71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r>
              <w:t>1360.71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1501.26</w:t>
            </w:r>
          </w:p>
        </w:tc>
        <w:tc>
          <w:tcPr>
            <w:tcW w:w="1361" w:type="dxa"/>
            <w:vAlign w:val="center"/>
          </w:tcPr>
          <w:p>
            <w:pPr>
              <w:pStyle w:val="16"/>
            </w:pPr>
            <w:r>
              <w:t>1498.71</w:t>
            </w:r>
          </w:p>
        </w:tc>
        <w:tc>
          <w:tcPr>
            <w:tcW w:w="1361" w:type="dxa"/>
            <w:vAlign w:val="center"/>
          </w:tcPr>
          <w:p>
            <w:pPr>
              <w:pStyle w:val="16"/>
            </w:pPr>
            <w:r>
              <w:t>2.55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1360.71</w:t>
            </w:r>
          </w:p>
        </w:tc>
        <w:tc>
          <w:tcPr>
            <w:tcW w:w="1361" w:type="dxa"/>
            <w:vAlign w:val="center"/>
          </w:tcPr>
          <w:p>
            <w:pPr>
              <w:pStyle w:val="12"/>
            </w:pPr>
            <w:r>
              <w:t>1360.71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1360.71</w:t>
            </w:r>
          </w:p>
        </w:tc>
        <w:tc>
          <w:tcPr>
            <w:tcW w:w="1361" w:type="dxa"/>
            <w:vAlign w:val="center"/>
          </w:tcPr>
          <w:p>
            <w:pPr>
              <w:pStyle w:val="12"/>
            </w:pPr>
            <w:r>
              <w:t>1360.71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1360.71</w:t>
            </w:r>
          </w:p>
        </w:tc>
        <w:tc>
          <w:tcPr>
            <w:tcW w:w="1361" w:type="dxa"/>
            <w:vAlign w:val="center"/>
          </w:tcPr>
          <w:p>
            <w:pPr>
              <w:pStyle w:val="12"/>
            </w:pPr>
            <w:r>
              <w:t>1360.71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98.00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98.00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1498.71</w:t>
            </w:r>
          </w:p>
        </w:tc>
        <w:tc>
          <w:tcPr>
            <w:tcW w:w="3402" w:type="dxa"/>
            <w:vAlign w:val="center"/>
          </w:tcPr>
          <w:p>
            <w:pPr>
              <w:pStyle w:val="13"/>
            </w:pPr>
            <w:r>
              <w:t>一、一般公共服务支出</w:t>
            </w:r>
          </w:p>
        </w:tc>
        <w:tc>
          <w:tcPr>
            <w:tcW w:w="1474" w:type="dxa"/>
            <w:vAlign w:val="center"/>
          </w:tcPr>
          <w:p>
            <w:pPr>
              <w:pStyle w:val="12"/>
            </w:pPr>
            <w:r>
              <w:t>1360.71</w:t>
            </w:r>
          </w:p>
        </w:tc>
        <w:tc>
          <w:tcPr>
            <w:tcW w:w="1474" w:type="dxa"/>
            <w:vAlign w:val="center"/>
          </w:tcPr>
          <w:p>
            <w:pPr>
              <w:pStyle w:val="12"/>
            </w:pPr>
            <w:r>
              <w:t>1360.71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98.00</w:t>
            </w:r>
          </w:p>
        </w:tc>
        <w:tc>
          <w:tcPr>
            <w:tcW w:w="1474" w:type="dxa"/>
            <w:vAlign w:val="center"/>
          </w:tcPr>
          <w:p>
            <w:pPr>
              <w:pStyle w:val="12"/>
            </w:pPr>
            <w:r>
              <w:t>98.00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2.55</w:t>
            </w:r>
          </w:p>
        </w:tc>
        <w:tc>
          <w:tcPr>
            <w:tcW w:w="1474" w:type="dxa"/>
            <w:vAlign w:val="center"/>
          </w:tcPr>
          <w:p>
            <w:pPr>
              <w:pStyle w:val="12"/>
            </w:pPr>
            <w:r>
              <w:t>2.55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1498.71</w:t>
            </w:r>
          </w:p>
        </w:tc>
        <w:tc>
          <w:tcPr>
            <w:tcW w:w="3402" w:type="dxa"/>
            <w:vAlign w:val="center"/>
          </w:tcPr>
          <w:p>
            <w:pPr>
              <w:pStyle w:val="15"/>
            </w:pPr>
            <w:r>
              <w:t>本年支出合计</w:t>
            </w:r>
          </w:p>
        </w:tc>
        <w:tc>
          <w:tcPr>
            <w:tcW w:w="1474" w:type="dxa"/>
            <w:vAlign w:val="center"/>
          </w:tcPr>
          <w:p>
            <w:pPr>
              <w:pStyle w:val="16"/>
            </w:pPr>
            <w:r>
              <w:t>1501.26</w:t>
            </w:r>
          </w:p>
        </w:tc>
        <w:tc>
          <w:tcPr>
            <w:tcW w:w="1474" w:type="dxa"/>
            <w:vAlign w:val="center"/>
          </w:tcPr>
          <w:p>
            <w:pPr>
              <w:pStyle w:val="16"/>
            </w:pPr>
            <w:r>
              <w:t>1501.26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2.55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2.55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1501.26</w:t>
            </w:r>
          </w:p>
        </w:tc>
        <w:tc>
          <w:tcPr>
            <w:tcW w:w="3402" w:type="dxa"/>
            <w:vAlign w:val="center"/>
          </w:tcPr>
          <w:p>
            <w:pPr>
              <w:pStyle w:val="15"/>
            </w:pPr>
            <w:r>
              <w:t>支出总计</w:t>
            </w:r>
          </w:p>
        </w:tc>
        <w:tc>
          <w:tcPr>
            <w:tcW w:w="1474" w:type="dxa"/>
            <w:vAlign w:val="center"/>
          </w:tcPr>
          <w:p>
            <w:pPr>
              <w:pStyle w:val="16"/>
            </w:pPr>
            <w:r>
              <w:t>1501.26</w:t>
            </w:r>
          </w:p>
        </w:tc>
        <w:tc>
          <w:tcPr>
            <w:tcW w:w="1474" w:type="dxa"/>
            <w:vAlign w:val="center"/>
          </w:tcPr>
          <w:p>
            <w:pPr>
              <w:pStyle w:val="16"/>
            </w:pPr>
            <w:r>
              <w:t>1501.26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1501.26</w:t>
            </w:r>
          </w:p>
        </w:tc>
        <w:tc>
          <w:tcPr>
            <w:tcW w:w="2551" w:type="dxa"/>
            <w:vAlign w:val="center"/>
          </w:tcPr>
          <w:p>
            <w:pPr>
              <w:pStyle w:val="16"/>
            </w:pPr>
            <w:r>
              <w:t>1498.71</w:t>
            </w:r>
          </w:p>
        </w:tc>
        <w:tc>
          <w:tcPr>
            <w:tcW w:w="2551" w:type="dxa"/>
            <w:vAlign w:val="center"/>
          </w:tcPr>
          <w:p>
            <w:pPr>
              <w:pStyle w:val="16"/>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1360.71</w:t>
            </w:r>
          </w:p>
        </w:tc>
        <w:tc>
          <w:tcPr>
            <w:tcW w:w="2551" w:type="dxa"/>
            <w:vAlign w:val="center"/>
          </w:tcPr>
          <w:p>
            <w:pPr>
              <w:pStyle w:val="12"/>
            </w:pPr>
            <w:r>
              <w:t>1360.71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1360.71</w:t>
            </w:r>
          </w:p>
        </w:tc>
        <w:tc>
          <w:tcPr>
            <w:tcW w:w="2551" w:type="dxa"/>
            <w:vAlign w:val="center"/>
          </w:tcPr>
          <w:p>
            <w:pPr>
              <w:pStyle w:val="12"/>
            </w:pPr>
            <w:r>
              <w:t>1360.71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1360.71</w:t>
            </w:r>
          </w:p>
        </w:tc>
        <w:tc>
          <w:tcPr>
            <w:tcW w:w="2551" w:type="dxa"/>
            <w:vAlign w:val="center"/>
          </w:tcPr>
          <w:p>
            <w:pPr>
              <w:pStyle w:val="12"/>
            </w:pPr>
            <w:r>
              <w:t>1360.71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1498.71</w:t>
            </w:r>
          </w:p>
        </w:tc>
        <w:tc>
          <w:tcPr>
            <w:tcW w:w="2551" w:type="dxa"/>
            <w:vAlign w:val="center"/>
          </w:tcPr>
          <w:p>
            <w:pPr>
              <w:pStyle w:val="16"/>
            </w:pPr>
            <w:r>
              <w:t>947.50</w:t>
            </w:r>
          </w:p>
        </w:tc>
        <w:tc>
          <w:tcPr>
            <w:tcW w:w="2551" w:type="dxa"/>
            <w:vAlign w:val="center"/>
          </w:tcPr>
          <w:p>
            <w:pPr>
              <w:pStyle w:val="16"/>
            </w:pPr>
            <w:r>
              <w:t>551.21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908.80</w:t>
            </w:r>
          </w:p>
        </w:tc>
        <w:tc>
          <w:tcPr>
            <w:tcW w:w="2551" w:type="dxa"/>
            <w:vAlign w:val="center"/>
          </w:tcPr>
          <w:p>
            <w:pPr>
              <w:pStyle w:val="12"/>
            </w:pPr>
            <w:r>
              <w:t>908.80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370.00</w:t>
            </w:r>
          </w:p>
        </w:tc>
        <w:tc>
          <w:tcPr>
            <w:tcW w:w="2551" w:type="dxa"/>
            <w:vAlign w:val="center"/>
          </w:tcPr>
          <w:p>
            <w:pPr>
              <w:pStyle w:val="12"/>
            </w:pPr>
            <w:r>
              <w:t>370.00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158.10</w:t>
            </w:r>
          </w:p>
        </w:tc>
        <w:tc>
          <w:tcPr>
            <w:tcW w:w="2551" w:type="dxa"/>
            <w:vAlign w:val="center"/>
          </w:tcPr>
          <w:p>
            <w:pPr>
              <w:pStyle w:val="12"/>
            </w:pPr>
            <w:r>
              <w:t>158.10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74.50</w:t>
            </w:r>
          </w:p>
        </w:tc>
        <w:tc>
          <w:tcPr>
            <w:tcW w:w="2551" w:type="dxa"/>
            <w:vAlign w:val="center"/>
          </w:tcPr>
          <w:p>
            <w:pPr>
              <w:pStyle w:val="12"/>
            </w:pPr>
            <w:r>
              <w:t>74.50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154.00</w:t>
            </w:r>
          </w:p>
        </w:tc>
        <w:tc>
          <w:tcPr>
            <w:tcW w:w="2551" w:type="dxa"/>
            <w:vAlign w:val="center"/>
          </w:tcPr>
          <w:p>
            <w:pPr>
              <w:pStyle w:val="12"/>
            </w:pPr>
            <w:r>
              <w:t>154.00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4.70</w:t>
            </w:r>
          </w:p>
        </w:tc>
        <w:tc>
          <w:tcPr>
            <w:tcW w:w="2551" w:type="dxa"/>
            <w:vAlign w:val="center"/>
          </w:tcPr>
          <w:p>
            <w:pPr>
              <w:pStyle w:val="12"/>
            </w:pPr>
            <w:r>
              <w:t>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551.21</w:t>
            </w:r>
          </w:p>
        </w:tc>
        <w:tc>
          <w:tcPr>
            <w:tcW w:w="2551" w:type="dxa"/>
            <w:vAlign w:val="center"/>
          </w:tcPr>
          <w:p>
            <w:pPr>
              <w:pStyle w:val="12"/>
            </w:pPr>
          </w:p>
        </w:tc>
        <w:tc>
          <w:tcPr>
            <w:tcW w:w="2551" w:type="dxa"/>
            <w:vAlign w:val="center"/>
          </w:tcPr>
          <w:p>
            <w:pPr>
              <w:pStyle w:val="12"/>
            </w:pPr>
            <w:r>
              <w:t>551.21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32.80</w:t>
            </w:r>
          </w:p>
        </w:tc>
        <w:tc>
          <w:tcPr>
            <w:tcW w:w="2551" w:type="dxa"/>
            <w:vAlign w:val="center"/>
          </w:tcPr>
          <w:p>
            <w:pPr>
              <w:pStyle w:val="12"/>
            </w:pPr>
          </w:p>
        </w:tc>
        <w:tc>
          <w:tcPr>
            <w:tcW w:w="2551" w:type="dxa"/>
            <w:vAlign w:val="center"/>
          </w:tcPr>
          <w:p>
            <w:pPr>
              <w:pStyle w:val="12"/>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463.00</w:t>
            </w:r>
          </w:p>
        </w:tc>
        <w:tc>
          <w:tcPr>
            <w:tcW w:w="2551" w:type="dxa"/>
            <w:vAlign w:val="center"/>
          </w:tcPr>
          <w:p>
            <w:pPr>
              <w:pStyle w:val="12"/>
            </w:pPr>
          </w:p>
        </w:tc>
        <w:tc>
          <w:tcPr>
            <w:tcW w:w="2551" w:type="dxa"/>
            <w:vAlign w:val="center"/>
          </w:tcPr>
          <w:p>
            <w:pPr>
              <w:pStyle w:val="12"/>
            </w:pPr>
            <w:r>
              <w:t>463.00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38.70</w:t>
            </w:r>
          </w:p>
        </w:tc>
        <w:tc>
          <w:tcPr>
            <w:tcW w:w="2551" w:type="dxa"/>
            <w:vAlign w:val="center"/>
          </w:tcPr>
          <w:p>
            <w:pPr>
              <w:pStyle w:val="12"/>
            </w:pPr>
            <w:r>
              <w:t>38.70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38.70</w:t>
            </w:r>
          </w:p>
        </w:tc>
        <w:tc>
          <w:tcPr>
            <w:tcW w:w="2551" w:type="dxa"/>
            <w:vAlign w:val="center"/>
          </w:tcPr>
          <w:p>
            <w:pPr>
              <w:pStyle w:val="12"/>
            </w:pPr>
            <w:r>
              <w:t>38.70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无极县郭庄镇人民政府2026年部门预算信息公开情况说明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无极县郭庄镇人民政府2026年部门预算信息公开情况说明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按照《中华人民共和国预算法》、《地方预决算公开操作规程》和《关于进一步推进预算公开工作的实施意见》规定，现将无极县郭庄镇人民政府2026年部门预算公开如下：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宣传、贯彻、执行党的路线方针政策和国家的法律、法规,执行本级人民代表大会的决议和上级国家行政机关的决定和命令,其主要职能为:</w:t>
      </w:r>
    </w:p>
    <w:p>
      <w:pPr>
        <w:pStyle w:val="18"/>
      </w:pPr>
      <w:r>
        <w:t>促进经济发展</w:t>
      </w:r>
    </w:p>
    <w:p>
      <w:pPr>
        <w:pStyle w:val="18"/>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8"/>
      </w:pPr>
      <w:r>
        <w:t>加强社会管理</w:t>
      </w:r>
    </w:p>
    <w:p>
      <w:pPr>
        <w:pStyle w:val="18"/>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8"/>
      </w:pPr>
      <w:r>
        <w:t>3.提供公共服务</w:t>
      </w:r>
    </w:p>
    <w:p>
      <w:pPr>
        <w:pStyle w:val="18"/>
      </w:pPr>
      <w:r>
        <w:t>主要包括:（1）组织乡村公共基础设施建设。（2）配合教育、科技、文体、卫健等部门搞好九年义务教育,普及推广科学技术,丰富农村文化生活,开展全民健身运动,推行  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18"/>
      </w:pPr>
      <w:r>
        <w:t>4.维护农村稳定</w:t>
      </w:r>
    </w:p>
    <w:p>
      <w:pPr>
        <w:pStyle w:val="18"/>
      </w:pPr>
      <w:r>
        <w:t>主要包括:（1）做好社会治安综合洽理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按照预算管理有关规定，目前部门预算的编制实行综合预算管理，即全部收入和支出都反映在预算中。无极县郭庄镇人民政府机关及所属事业单位的收支包含在部门预算中。</w:t>
      </w:r>
    </w:p>
    <w:p>
      <w:pPr>
        <w:pStyle w:val="19"/>
      </w:pPr>
      <w:r>
        <w:t>1、收入说明</w:t>
      </w:r>
    </w:p>
    <w:p>
      <w:pPr>
        <w:pStyle w:val="19"/>
      </w:pPr>
      <w:r>
        <w:t>反映本部门当年全部收入。2026年预算收入1501.26万元，其中：一般公共预算收入1498.71万元，基金预算收入0.00万元，国有资本经营预算收入0.00万元，财政专户核拨收入0.00万元，单位资金收入0.00万元，上年结转结余2.55万元。</w:t>
      </w:r>
    </w:p>
    <w:p>
      <w:pPr>
        <w:pStyle w:val="19"/>
      </w:pPr>
      <w:r>
        <w:t>2、支出说明</w:t>
      </w:r>
    </w:p>
    <w:p>
      <w:pPr>
        <w:pStyle w:val="19"/>
      </w:pPr>
      <w:r>
        <w:t>收支预算总表支出栏、基本支出表、项目支出表按经济分类和支出功能分类科目编制，反映无极县郭庄镇人民政府年度部门预算中支出预算的总体情况。2026年支出预算1501.26万元，其中基本支出1498.71万元，包括人员经费947.50万元和日常公用经费551.21万元；项目支出2.55万元，主要为上年结转项目支出收入；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2026年预算收支安排1501.26万元，较2025年预算增加276.36万元，其中：基本支出增加388.81万元，主要为基本开支增加项目支出减少112.45万元，主要为项目减少。预计下年使用的单位资金结余增加0.00万元。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2026年，我部门机关运行经费共计安排551.21万元，主要用于日常维修、办公用房水电费、办公用房取暖费、办公用房物业管理费等日常运行支出。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财政拨款“三公经费”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1．进一步转变政府职能</w:t>
      </w:r>
    </w:p>
    <w:p>
      <w:pPr>
        <w:pStyle w:val="22"/>
      </w:pPr>
      <w:r>
        <w:t>依法全面履行政府职能。注重强化社会管理职能和公共服务职能。充分发挥市场配置资源的决定性作用，同时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基础。</w:t>
      </w:r>
    </w:p>
    <w:p>
      <w:pPr>
        <w:pStyle w:val="22"/>
      </w:pPr>
      <w:r>
        <w:t>完善乡镇政府管理体制。进一步完善政府管理体制，合理划分和依法规范行政机关的职能、权限，加强乡镇政府在社会管理和公共服务方面的属地化管理职责，积极推进乡镇改革。</w:t>
      </w:r>
    </w:p>
    <w:p>
      <w:pPr>
        <w:pStyle w:val="22"/>
      </w:pPr>
      <w:r>
        <w:t>2、努力提高行政效率</w:t>
      </w:r>
    </w:p>
    <w:p>
      <w:pPr>
        <w:pStyle w:val="22"/>
      </w:pPr>
      <w:r>
        <w:t>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w:t>
      </w:r>
    </w:p>
    <w:p>
      <w:pPr>
        <w:pStyle w:val="22"/>
      </w:pPr>
      <w:r>
        <w:t>3、全面推进依法行政</w:t>
      </w:r>
    </w:p>
    <w:p>
      <w:pPr>
        <w:pStyle w:val="22"/>
      </w:pPr>
      <w:r>
        <w:t>加强依法行政制度建设。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w:t>
      </w:r>
    </w:p>
    <w:p>
      <w:pPr>
        <w:pStyle w:val="22"/>
      </w:pPr>
      <w:r>
        <w:t>深入推进政府信息公开。按照“以公开为原则、不公开为例外”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经济管理</w:t>
      </w:r>
    </w:p>
    <w:p>
      <w:pPr>
        <w:pStyle w:val="23"/>
      </w:pPr>
      <w:r>
        <w:t>绩效目标：搞好产业规划，组织做好招商引资工作，做好引进项目的跟踪服务后续工作，引导农村经济发展，配合民政、商务和供销社、农口等部门做好技术推广和服务工作。</w:t>
      </w:r>
    </w:p>
    <w:p>
      <w:pPr>
        <w:pStyle w:val="23"/>
      </w:pPr>
      <w:r>
        <w:t>绩效指标：同比增长率。</w:t>
      </w:r>
    </w:p>
    <w:p>
      <w:pPr>
        <w:pStyle w:val="23"/>
      </w:pPr>
      <w:r>
        <w:t>社会管理</w:t>
      </w:r>
    </w:p>
    <w:p>
      <w:pPr>
        <w:pStyle w:val="23"/>
      </w:pPr>
      <w:r>
        <w:t>绩效目标：基础工作做实，完成相关部门各项工作，促进经济社会又好又快发展，维护社会和谐稳定。</w:t>
      </w:r>
    </w:p>
    <w:p>
      <w:pPr>
        <w:pStyle w:val="23"/>
      </w:pPr>
      <w:r>
        <w:t>绩效指标：各项事务完成率，村民满意度。</w:t>
      </w:r>
    </w:p>
    <w:p>
      <w:pPr>
        <w:pStyle w:val="23"/>
      </w:pPr>
      <w:r>
        <w:t>公共服务</w:t>
      </w:r>
    </w:p>
    <w:p>
      <w:pPr>
        <w:pStyle w:val="23"/>
      </w:pPr>
      <w:r>
        <w:t>绩效目标：满足农民对公共服务的实际需求。</w:t>
      </w:r>
    </w:p>
    <w:p>
      <w:pPr>
        <w:pStyle w:val="23"/>
      </w:pPr>
      <w:r>
        <w:t>绩效指标：村民满意度。</w:t>
      </w:r>
    </w:p>
    <w:p>
      <w:pPr>
        <w:pStyle w:val="23"/>
      </w:pPr>
      <w:r>
        <w:t>维护稳定</w:t>
      </w:r>
    </w:p>
    <w:p>
      <w:pPr>
        <w:pStyle w:val="23"/>
      </w:pPr>
      <w:r>
        <w:t>绩效目标：提高治安防范整体水平；预防和减少重大矛盾纠纷和群体性事件的发生，提高农民法律意识和法律素养。</w:t>
      </w:r>
    </w:p>
    <w:p>
      <w:pPr>
        <w:pStyle w:val="23"/>
      </w:pPr>
      <w:r>
        <w:t>绩效指标：安全隐患排查率、普法率等。</w:t>
      </w:r>
    </w:p>
    <w:p>
      <w:pPr>
        <w:pStyle w:val="23"/>
      </w:pPr>
      <w:r>
        <w:t>扶贫开发项目管理</w:t>
      </w:r>
    </w:p>
    <w:p>
      <w:pPr>
        <w:pStyle w:val="23"/>
      </w:pPr>
      <w:r>
        <w:t>绩效目标：按照精准扶贫、精准脱贫、严防返贫要求，大力实施扶贫工程和产业化扶贫项目，提高资金使用效益，保证扶贫帮困效果，确保脱贫群众稳定增收。</w:t>
      </w:r>
    </w:p>
    <w:p>
      <w:pPr>
        <w:pStyle w:val="23"/>
      </w:pPr>
      <w:r>
        <w:t>绩效指标：工作完成率。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加强制度建设。建立健全机关预算绩效管理制度，为全年预算绩效目标的实现奠定制度基础。</w:t>
      </w:r>
    </w:p>
    <w:p>
      <w:pPr>
        <w:pStyle w:val="24"/>
      </w:pPr>
      <w:r>
        <w:t>规范财务管理。进一步完善财务管理制度，通过科学编制预算、优化支出结构、加快政府采购、加速项目建设、及时拨付资金，确保经费支出进度达到规定标准。</w:t>
      </w:r>
    </w:p>
    <w:p>
      <w:pPr>
        <w:pStyle w:val="24"/>
      </w:pPr>
      <w:r>
        <w:t>加强内部监督。加强内部监督制度建设，对绩效运行、重大支出事项、资产处置及其他重要经济业务事项决策和执行进行监督，定期开展财务内部审计，确保财政资金使用安全合规。</w:t>
      </w:r>
    </w:p>
    <w:p>
      <w:pPr>
        <w:pStyle w:val="24"/>
      </w:pPr>
      <w:r>
        <w:t>加强绩效监控。积极开展绩效运行监控，发现问题及时采取措施，确保绩效目标如期保质实现。</w:t>
      </w:r>
    </w:p>
    <w:p>
      <w:pPr>
        <w:pStyle w:val="24"/>
      </w:pP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1、北汪村道路硬化工程绩效目标表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13013025P00006210007B</w:t>
            </w:r>
          </w:p>
        </w:tc>
        <w:tc>
          <w:tcPr>
            <w:tcW w:w="2835" w:type="dxa"/>
            <w:vAlign w:val="center"/>
          </w:tcPr>
          <w:p>
            <w:pPr>
              <w:pStyle w:val="11"/>
            </w:pPr>
            <w:r>
              <w:t>项目名称</w:t>
            </w:r>
          </w:p>
        </w:tc>
        <w:tc>
          <w:tcPr>
            <w:tcW w:w="6095" w:type="dxa"/>
            <w:gridSpan w:val="3"/>
            <w:vAlign w:val="center"/>
          </w:tcPr>
          <w:p>
            <w:pPr>
              <w:pStyle w:val="13"/>
            </w:pPr>
            <w:r>
              <w:t>北汪村道路硬化工程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w:t>
            </w:r>
          </w:p>
        </w:tc>
        <w:tc>
          <w:tcPr>
            <w:tcW w:w="2835" w:type="dxa"/>
            <w:vAlign w:val="center"/>
          </w:tcPr>
          <w:p>
            <w:pPr>
              <w:pStyle w:val="11"/>
            </w:pPr>
            <w:r>
              <w:t>其中：财政    资金</w:t>
            </w:r>
          </w:p>
        </w:tc>
        <w:tc>
          <w:tcPr>
            <w:tcW w:w="2551" w:type="dxa"/>
            <w:vAlign w:val="center"/>
          </w:tcPr>
          <w:p>
            <w:pPr>
              <w:pStyle w:val="13"/>
            </w:pPr>
            <w:r>
              <w:t>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用于北汪村道路硬化工程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1.2025年北汪村道路硬化工程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936无极县郭庄镇人民政府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无极县郭庄镇人民政府（含所属单位）上年末固定资产金额为3749292.40万元（详见下表）。本年度拟购置固定资产总额为0.00万元，已按要求列入政府采购预算，详见政府采购预算表。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936无极县郭庄镇人民政府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3749292.40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20160</w:t>
            </w:r>
          </w:p>
        </w:tc>
        <w:tc>
          <w:tcPr>
            <w:tcW w:w="2835" w:type="dxa"/>
            <w:vAlign w:val="center"/>
          </w:tcPr>
          <w:p>
            <w:pPr>
              <w:pStyle w:val="12"/>
            </w:pPr>
            <w:r>
              <w:t>3134200.00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615092.40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2613C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2026-04-23T09:42:00Z</dcterms:created>
  <dc:creator>lenovo</dc:creator>
  <cp:lastModifiedBy>lenovo</cp:lastModifiedBy>
  <dcterms:modified xsi:type="dcterms:W3CDTF">2026-04-23T01:43:02Z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C3DEDD101F39482BA9DE930BCA026D64</vt:lpwstr>
  </property>
</Properties>
</file>