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sz w:val="36"/>
          <w:szCs w:val="36"/>
        </w:rPr>
      </w:pPr>
      <w:r>
        <w:rPr>
          <w:rFonts w:hint="eastAsia"/>
          <w:sz w:val="36"/>
          <w:szCs w:val="36"/>
        </w:rPr>
        <w:t>无极县水利局法治政府建设基本情况</w:t>
      </w:r>
    </w:p>
    <w:p>
      <w:pPr>
        <w:pStyle w:val="4"/>
        <w:spacing w:before="0" w:beforeAutospacing="0" w:after="0" w:afterAutospacing="0" w:line="600" w:lineRule="atLeast"/>
        <w:ind w:firstLine="640"/>
        <w:jc w:val="both"/>
        <w:rPr>
          <w:rFonts w:ascii="微软雅黑" w:hAnsi="微软雅黑" w:eastAsia="微软雅黑"/>
          <w:color w:val="000000"/>
          <w:sz w:val="30"/>
          <w:szCs w:val="30"/>
        </w:rPr>
      </w:pPr>
      <w:r>
        <w:rPr>
          <w:rFonts w:hint="eastAsia" w:ascii="仿宋_GB2312" w:hAnsi="微软雅黑" w:eastAsia="仿宋_GB2312"/>
          <w:color w:val="000000"/>
          <w:sz w:val="30"/>
          <w:szCs w:val="30"/>
        </w:rPr>
        <w:t>2025年，县水利局在县委、县政府的领导下，坚持以习近平法治思想为指导，认真落实关于法治政府建设工作决策部署，坚持民生为上、治水为要，坚持依法行政，以“节水优先、空间均衡、系统治理、两手发力”的治水思路，着力提升依法治水管水能力，深入推进“放管服”改革，持续优化营商环境，大力开展水法律法规宣传教育，不断提升干部职工的法律观念意识和法治素养，努力维护良好的水事秩序，水利法治政府建设各项工作扎实推进，现将一年来的法治建</w:t>
      </w:r>
      <w:bookmarkStart w:id="0" w:name="_GoBack"/>
      <w:bookmarkEnd w:id="0"/>
      <w:r>
        <w:rPr>
          <w:rFonts w:hint="eastAsia" w:ascii="仿宋_GB2312" w:hAnsi="微软雅黑" w:eastAsia="仿宋_GB2312"/>
          <w:color w:val="000000"/>
          <w:sz w:val="30"/>
          <w:szCs w:val="30"/>
        </w:rPr>
        <w:t>设工作汇报如下：</w:t>
      </w:r>
    </w:p>
    <w:p>
      <w:pPr>
        <w:pStyle w:val="4"/>
        <w:spacing w:before="0" w:beforeAutospacing="0" w:after="0" w:afterAutospacing="0" w:line="570" w:lineRule="atLeast"/>
        <w:ind w:firstLine="640"/>
        <w:jc w:val="both"/>
        <w:rPr>
          <w:rFonts w:ascii="微软雅黑" w:hAnsi="微软雅黑" w:eastAsia="微软雅黑"/>
          <w:color w:val="000000"/>
          <w:sz w:val="30"/>
          <w:szCs w:val="30"/>
        </w:rPr>
      </w:pPr>
      <w:r>
        <w:rPr>
          <w:rFonts w:hint="eastAsia" w:ascii="黑体" w:hAnsi="黑体" w:eastAsia="黑体" w:cs="Times New Roman"/>
          <w:color w:val="000000"/>
          <w:sz w:val="30"/>
          <w:szCs w:val="30"/>
        </w:rPr>
        <w:t>一、</w:t>
      </w:r>
      <w:r>
        <w:rPr>
          <w:rFonts w:hint="eastAsia" w:ascii="方正黑体_GBK" w:hAnsi="Times New Roman" w:eastAsia="方正黑体_GBK" w:cs="Times New Roman"/>
          <w:color w:val="0C0C0C"/>
          <w:sz w:val="30"/>
          <w:szCs w:val="30"/>
        </w:rPr>
        <w:t>党政主</w:t>
      </w:r>
      <w:r>
        <w:rPr>
          <w:rFonts w:hint="eastAsia" w:ascii="黑体" w:hAnsi="黑体" w:eastAsia="黑体" w:cs="Times New Roman"/>
          <w:color w:val="0C0C0C"/>
          <w:sz w:val="30"/>
          <w:szCs w:val="30"/>
        </w:rPr>
        <w:t>要负责人履行推进法治建设第一责任人职责情况</w:t>
      </w:r>
    </w:p>
    <w:p>
      <w:pPr>
        <w:pStyle w:val="4"/>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（一）强化组织领导，压实法治建设第一责任人职责。</w:t>
      </w:r>
      <w:r>
        <w:rPr>
          <w:rFonts w:hint="eastAsia" w:ascii="仿宋_GB2312" w:hAnsi="微软雅黑" w:eastAsia="仿宋_GB2312"/>
          <w:color w:val="000000"/>
          <w:sz w:val="30"/>
          <w:szCs w:val="30"/>
        </w:rPr>
        <w:t>全面贯彻执行党内法规和国家法律法规，严格落实从严治党主体责任和法治建设第一责任人职责，坚持重视法治素养和法治能力的用人导向,使其作为考察使用干部的重要依据，督促领导班子其他成员依法依规办事，不触碰道德底线，不逾越法律红线，切实把法纪标准变为行动自觉。</w:t>
      </w:r>
    </w:p>
    <w:p>
      <w:pPr>
        <w:pStyle w:val="4"/>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（二）严格落实普法领导责任制。</w:t>
      </w:r>
      <w:r>
        <w:rPr>
          <w:rFonts w:hint="eastAsia" w:ascii="仿宋_GB2312" w:hAnsi="微软雅黑" w:eastAsia="仿宋_GB2312"/>
          <w:color w:val="000000"/>
          <w:sz w:val="30"/>
          <w:szCs w:val="30"/>
        </w:rPr>
        <w:t xml:space="preserve"> 结合工作实际，制定局党组理论学习中心组和党员干部学法计划，坚持领导干部带头学，组织党员集体学，局党组理论学习中心组对《宪法》《水法》《河北省河湖管理和治理条例》等法律法规进行学习研讨，带头参与普法宣传活动，严格落实“谁执法谁普法”责任制，做尊法、学法、守法、用法、普法的模范带头人。</w:t>
      </w:r>
    </w:p>
    <w:p>
      <w:pPr>
        <w:pStyle w:val="4"/>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（三）充分发挥领导核心作用。</w:t>
      </w:r>
      <w:r>
        <w:rPr>
          <w:rFonts w:hint="eastAsia" w:ascii="仿宋_GB2312" w:hAnsi="微软雅黑" w:eastAsia="仿宋_GB2312"/>
          <w:color w:val="000000"/>
          <w:sz w:val="30"/>
          <w:szCs w:val="30"/>
        </w:rPr>
        <w:t>认真履行“一岗双责”，</w:t>
      </w:r>
      <w:r>
        <w:rPr>
          <w:rFonts w:hint="eastAsia" w:ascii="仿宋_GB2312" w:hAnsi="微软雅黑" w:eastAsia="仿宋_GB2312"/>
          <w:color w:val="040404"/>
          <w:sz w:val="30"/>
          <w:szCs w:val="30"/>
          <w:shd w:val="clear" w:color="auto" w:fill="FFFFFF"/>
        </w:rPr>
        <w:t>完善水利领域法治建设领导机构，</w:t>
      </w:r>
      <w:r>
        <w:rPr>
          <w:rFonts w:hint="eastAsia" w:ascii="仿宋_GB2312" w:hAnsi="微软雅黑" w:eastAsia="仿宋_GB2312"/>
          <w:color w:val="000000"/>
          <w:sz w:val="30"/>
          <w:szCs w:val="30"/>
        </w:rPr>
        <w:t>对法治政府建设工作亲自部署、重大问题亲自过问、重点环节亲自协调、重要任务亲自督办，重视水行政执法、普法宣传等工作，</w:t>
      </w:r>
      <w:r>
        <w:rPr>
          <w:rFonts w:hint="eastAsia" w:ascii="仿宋_GB2312" w:hAnsi="微软雅黑" w:eastAsia="仿宋_GB2312"/>
          <w:color w:val="040404"/>
          <w:sz w:val="30"/>
          <w:szCs w:val="30"/>
          <w:shd w:val="clear" w:color="auto" w:fill="FFFFFF"/>
        </w:rPr>
        <w:t>定期听取和研究法治政府建设工作，切实加强对依法治水管水工作的领导。</w:t>
      </w:r>
    </w:p>
    <w:p>
      <w:pPr>
        <w:pStyle w:val="4"/>
        <w:spacing w:before="0" w:beforeAutospacing="0" w:after="0" w:afterAutospacing="0" w:line="570" w:lineRule="atLeast"/>
        <w:ind w:firstLine="640"/>
        <w:rPr>
          <w:rFonts w:ascii="微软雅黑" w:hAnsi="微软雅黑" w:eastAsia="微软雅黑"/>
          <w:color w:val="000000"/>
          <w:sz w:val="30"/>
          <w:szCs w:val="30"/>
        </w:rPr>
      </w:pPr>
      <w:r>
        <w:rPr>
          <w:rFonts w:hint="eastAsia" w:ascii="方正黑体_GBK" w:hAnsi="Times New Roman" w:eastAsia="方正黑体_GBK" w:cs="Times New Roman"/>
          <w:color w:val="000000"/>
          <w:sz w:val="30"/>
          <w:szCs w:val="30"/>
        </w:rPr>
        <w:t>二、</w:t>
      </w:r>
      <w:r>
        <w:rPr>
          <w:rFonts w:hint="eastAsia" w:ascii="黑体" w:hAnsi="黑体" w:eastAsia="黑体" w:cs="Times New Roman"/>
          <w:color w:val="000000"/>
          <w:sz w:val="30"/>
          <w:szCs w:val="30"/>
        </w:rPr>
        <w:t>推进法治政府建设的主要举措和成效</w:t>
      </w:r>
    </w:p>
    <w:p>
      <w:pPr>
        <w:pStyle w:val="4"/>
        <w:spacing w:before="0" w:beforeAutospacing="0" w:after="0" w:afterAutospacing="0" w:line="600" w:lineRule="atLeast"/>
        <w:ind w:firstLine="643"/>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（一）习近平法治思想学习宣传走深走实。</w:t>
      </w:r>
      <w:r>
        <w:rPr>
          <w:rFonts w:hint="eastAsia" w:ascii="仿宋_GB2312" w:hAnsi="微软雅黑" w:eastAsia="仿宋_GB2312"/>
          <w:color w:val="000000"/>
          <w:sz w:val="30"/>
          <w:szCs w:val="30"/>
        </w:rPr>
        <w:t>为深入贯彻落实习近平法治思想，增强全体干部职工法治观念，提升法治思维能力。</w:t>
      </w:r>
      <w:r>
        <w:rPr>
          <w:rStyle w:val="7"/>
          <w:rFonts w:hint="eastAsia" w:ascii="仿宋_GB2312" w:hAnsi="微软雅黑" w:eastAsia="仿宋_GB2312"/>
          <w:color w:val="000000"/>
          <w:sz w:val="30"/>
          <w:szCs w:val="30"/>
        </w:rPr>
        <w:t>一是</w:t>
      </w:r>
      <w:r>
        <w:rPr>
          <w:rFonts w:hint="eastAsia" w:ascii="仿宋_GB2312" w:hAnsi="微软雅黑" w:eastAsia="仿宋_GB2312"/>
          <w:color w:val="000000"/>
          <w:sz w:val="30"/>
          <w:szCs w:val="30"/>
        </w:rPr>
        <w:t>开展了多种形式学习深化活动，并将宪法等内容纳入党组理论学习中心组和年度政治理论学习教育计划，同时纳入年度普法工作要点。</w:t>
      </w:r>
      <w:r>
        <w:rPr>
          <w:rStyle w:val="7"/>
          <w:rFonts w:hint="eastAsia" w:ascii="仿宋_GB2312" w:hAnsi="微软雅黑" w:eastAsia="仿宋_GB2312"/>
          <w:color w:val="000000"/>
          <w:sz w:val="30"/>
          <w:szCs w:val="30"/>
        </w:rPr>
        <w:t>二是</w:t>
      </w:r>
      <w:r>
        <w:rPr>
          <w:rFonts w:hint="eastAsia" w:ascii="仿宋_GB2312" w:hAnsi="微软雅黑" w:eastAsia="仿宋_GB2312"/>
          <w:color w:val="000000"/>
          <w:sz w:val="30"/>
          <w:szCs w:val="30"/>
        </w:rPr>
        <w:t>通过党组理论中心组会前学法、专题培训讲座学习、交流研讨和法治大讲堂等形式，确保习近平法治思想学习贯彻及时落实到平时工作中，组织开展了“十一个坚持”、“四个意识”、“四个自信”、“两个维护”等专题培训，切实把学习宣传贯彻习近平法治思想转化为厉行法治建设的强大动力。</w:t>
      </w:r>
    </w:p>
    <w:p>
      <w:pPr>
        <w:pStyle w:val="4"/>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（二）提升普法宣传工作力度，严格落实普法责任制。一是</w:t>
      </w:r>
      <w:r>
        <w:rPr>
          <w:rFonts w:hint="eastAsia" w:ascii="仿宋_GB2312" w:hAnsi="微软雅黑" w:eastAsia="仿宋_GB2312"/>
          <w:color w:val="000000"/>
          <w:sz w:val="30"/>
          <w:szCs w:val="30"/>
        </w:rPr>
        <w:t>以习近平法治思想为指导，在重要节点、重要纪念日开展普法宣传活动，扩大普法宣传受众面，促进普法教育入脑入心。</w:t>
      </w:r>
      <w:r>
        <w:rPr>
          <w:rStyle w:val="7"/>
          <w:rFonts w:hint="eastAsia" w:ascii="仿宋_GB2312" w:hAnsi="微软雅黑" w:eastAsia="仿宋_GB2312"/>
          <w:color w:val="000000"/>
          <w:sz w:val="30"/>
          <w:szCs w:val="30"/>
        </w:rPr>
        <w:t>二是</w:t>
      </w:r>
      <w:r>
        <w:rPr>
          <w:rFonts w:hint="eastAsia" w:ascii="仿宋_GB2312" w:hAnsi="微软雅黑" w:eastAsia="仿宋_GB2312"/>
          <w:color w:val="000000"/>
          <w:sz w:val="30"/>
          <w:szCs w:val="30"/>
        </w:rPr>
        <w:t>结合主题党日、普法志愿服务等活动，组织党员干部开展普法宣传，开展“宪法日、宪法宣传周暨山省法治宣传教育月”“民法典”、“水日水周”、“4.15全民国家安全教育日”等活动，强化涉水法律法规学宣贯。利用法治宣传阵地、新媒体、宪法宣誓、“宪法十进”、网络答题等形式开展普法宣传，今年累计悬挂横幅22条， 张贴宣传画200余张，散发宣传材料2000余份， 建设法治宣传阵地1处。通过采取多种形式的宣传，人们依法治水、管水、节约用水的自觉性不断提高，水法律意识和观念进一步增强，为全县水利工作和依法行政创造了良好的社会环境。</w:t>
      </w:r>
    </w:p>
    <w:p>
      <w:pPr>
        <w:pStyle w:val="4"/>
        <w:spacing w:before="0" w:beforeAutospacing="0" w:after="0" w:afterAutospacing="0" w:line="600" w:lineRule="atLeast"/>
        <w:ind w:firstLine="640"/>
        <w:rPr>
          <w:rFonts w:ascii="微软雅黑" w:hAnsi="微软雅黑" w:eastAsia="微软雅黑"/>
          <w:color w:val="000000"/>
          <w:sz w:val="30"/>
          <w:szCs w:val="30"/>
        </w:rPr>
      </w:pPr>
      <w:r>
        <w:rPr>
          <w:rFonts w:hint="eastAsia" w:ascii="仿宋_GB2312" w:hAnsi="微软雅黑" w:eastAsia="仿宋_GB2312"/>
          <w:color w:val="000000"/>
          <w:sz w:val="30"/>
          <w:szCs w:val="30"/>
        </w:rPr>
        <w:t> </w:t>
      </w:r>
      <w:r>
        <w:rPr>
          <w:rStyle w:val="7"/>
          <w:rFonts w:hint="eastAsia" w:ascii="仿宋_GB2312" w:hAnsi="微软雅黑" w:eastAsia="仿宋_GB2312"/>
          <w:color w:val="000000"/>
          <w:sz w:val="30"/>
          <w:szCs w:val="30"/>
        </w:rPr>
        <w:t>（三）严格落实法律顾问制度和行政执法“三项制度”。一是</w:t>
      </w:r>
      <w:r>
        <w:rPr>
          <w:rFonts w:hint="eastAsia" w:ascii="仿宋_GB2312" w:hAnsi="微软雅黑" w:eastAsia="仿宋_GB2312"/>
          <w:color w:val="000000"/>
          <w:sz w:val="30"/>
          <w:szCs w:val="30"/>
        </w:rPr>
        <w:t xml:space="preserve"> 聘任内部法律顾问1名，在重大决策、依法行政工作中发挥法律顾问作用，对水行政执法、历史遗留问题和重要决策及时向法律顾问咨询法制审核建议，确保执法过程和重大决策的合法性合规性。</w:t>
      </w:r>
      <w:r>
        <w:rPr>
          <w:rStyle w:val="7"/>
          <w:rFonts w:hint="eastAsia" w:ascii="仿宋_GB2312" w:hAnsi="微软雅黑" w:eastAsia="仿宋_GB2312"/>
          <w:color w:val="000000"/>
          <w:sz w:val="30"/>
          <w:szCs w:val="30"/>
        </w:rPr>
        <w:t>二是</w:t>
      </w:r>
      <w:r>
        <w:rPr>
          <w:rFonts w:hint="eastAsia" w:ascii="仿宋_GB2312" w:hAnsi="微软雅黑" w:eastAsia="仿宋_GB2312"/>
          <w:color w:val="000000"/>
          <w:sz w:val="30"/>
          <w:szCs w:val="30"/>
        </w:rPr>
        <w:t>重大决策事项、重大执法决定党组会专题研究讨论，定期召开党组会议研究解决法治政府建设和行政执法等相关事项。履行规范性文件的合法性审查制度，依法决策机制不断健全完善，坚持把健全依法、科学决策机制,作为提高依法行政水平的重要途径。依法履行政务公开制度，对年度重点工作任务、普法工作计划、责任清单等应公开事项依法及时公开。</w:t>
      </w:r>
      <w:r>
        <w:rPr>
          <w:rStyle w:val="7"/>
          <w:rFonts w:hint="eastAsia" w:ascii="仿宋_GB2312" w:hAnsi="微软雅黑" w:eastAsia="仿宋_GB2312"/>
          <w:color w:val="000000"/>
          <w:sz w:val="30"/>
          <w:szCs w:val="30"/>
        </w:rPr>
        <w:t>三是</w:t>
      </w:r>
      <w:r>
        <w:rPr>
          <w:rFonts w:hint="eastAsia" w:ascii="仿宋_GB2312" w:hAnsi="微软雅黑" w:eastAsia="仿宋_GB2312"/>
          <w:color w:val="000000"/>
          <w:sz w:val="30"/>
          <w:szCs w:val="30"/>
        </w:rPr>
        <w:t>严格执行执法全过记录制度程，音像资料记录完整、执法文件档案规范入档，可追溯。</w:t>
      </w:r>
    </w:p>
    <w:p>
      <w:pPr>
        <w:pStyle w:val="4"/>
        <w:spacing w:before="0" w:beforeAutospacing="0" w:after="0" w:afterAutospacing="0" w:line="600" w:lineRule="atLeast"/>
        <w:ind w:firstLine="640"/>
        <w:jc w:val="both"/>
        <w:rPr>
          <w:rFonts w:ascii="微软雅黑" w:hAnsi="微软雅黑" w:eastAsia="微软雅黑"/>
          <w:color w:val="000000"/>
          <w:sz w:val="30"/>
          <w:szCs w:val="30"/>
        </w:rPr>
      </w:pPr>
      <w:r>
        <w:rPr>
          <w:rFonts w:hint="eastAsia" w:ascii="仿宋_GB2312" w:hAnsi="微软雅黑" w:eastAsia="仿宋_GB2312"/>
          <w:color w:val="000000"/>
          <w:sz w:val="30"/>
          <w:szCs w:val="30"/>
        </w:rPr>
        <w:t> </w:t>
      </w:r>
      <w:r>
        <w:rPr>
          <w:rStyle w:val="7"/>
          <w:rFonts w:hint="eastAsia" w:ascii="仿宋_GB2312" w:hAnsi="微软雅黑" w:eastAsia="仿宋_GB2312"/>
          <w:color w:val="000000"/>
          <w:sz w:val="30"/>
          <w:szCs w:val="30"/>
        </w:rPr>
        <w:t>（四）强化水行政执法体系建设。一是</w:t>
      </w:r>
      <w:r>
        <w:rPr>
          <w:rFonts w:hint="eastAsia" w:ascii="仿宋_GB2312" w:hAnsi="微软雅黑" w:eastAsia="仿宋_GB2312"/>
          <w:color w:val="000000"/>
          <w:sz w:val="30"/>
          <w:szCs w:val="30"/>
        </w:rPr>
        <w:t>加强执法队伍建设。组织开展执法证件培训考试、换证、注销工作，不断优化执法人员力量和提高执法能力水平； 组织开展“水利法治大讲堂”等，切实提高了党员干部法治思维和法律意识。</w:t>
      </w:r>
      <w:r>
        <w:rPr>
          <w:rStyle w:val="7"/>
          <w:rFonts w:hint="eastAsia" w:ascii="仿宋_GB2312" w:hAnsi="微软雅黑" w:eastAsia="仿宋_GB2312"/>
          <w:color w:val="000000"/>
          <w:sz w:val="30"/>
          <w:szCs w:val="30"/>
        </w:rPr>
        <w:t>二是</w:t>
      </w:r>
      <w:r>
        <w:rPr>
          <w:rFonts w:hint="eastAsia" w:ascii="仿宋_GB2312" w:hAnsi="微软雅黑" w:eastAsia="仿宋_GB2312"/>
          <w:color w:val="000000"/>
          <w:sz w:val="30"/>
          <w:szCs w:val="30"/>
        </w:rPr>
        <w:t xml:space="preserve">开展行政执法领域突出问题专项整治和行政执法领域企业合法合规经营指导等专项工作。积极探索行政指导工作的新途径、新方法，创新工作思维，采取政策指引、意见建议、提示提醒、劝导警示等灵活多变的方式开展行政指导工作。2024年截止12月份，河湖执法巡查329余次，出动执法人员762余人次，巡查河道长度约12000公里，设置各类警示标语、宣传条幅、围档围栏500余处。 </w:t>
      </w:r>
    </w:p>
    <w:p>
      <w:pPr>
        <w:pStyle w:val="4"/>
        <w:spacing w:before="0" w:beforeAutospacing="0" w:after="0" w:afterAutospacing="0" w:line="570" w:lineRule="atLeast"/>
        <w:ind w:firstLine="640"/>
        <w:jc w:val="both"/>
        <w:rPr>
          <w:rFonts w:ascii="微软雅黑" w:hAnsi="微软雅黑" w:eastAsia="微软雅黑"/>
          <w:color w:val="000000"/>
          <w:sz w:val="30"/>
          <w:szCs w:val="30"/>
        </w:rPr>
      </w:pPr>
      <w:r>
        <w:rPr>
          <w:rFonts w:hint="eastAsia" w:ascii="黑体" w:hAnsi="黑体" w:eastAsia="黑体" w:cs="Times New Roman"/>
          <w:color w:val="000000"/>
          <w:sz w:val="30"/>
          <w:szCs w:val="30"/>
        </w:rPr>
        <w:t>三、推进法治政府建设存在的不足和原因</w:t>
      </w:r>
    </w:p>
    <w:p>
      <w:pPr>
        <w:pStyle w:val="4"/>
        <w:spacing w:before="0" w:beforeAutospacing="0" w:after="0" w:afterAutospacing="0" w:line="600" w:lineRule="atLeast"/>
        <w:ind w:firstLine="640"/>
        <w:jc w:val="both"/>
        <w:rPr>
          <w:rFonts w:ascii="微软雅黑" w:hAnsi="微软雅黑" w:eastAsia="微软雅黑"/>
          <w:color w:val="000000"/>
          <w:sz w:val="30"/>
          <w:szCs w:val="30"/>
        </w:rPr>
      </w:pPr>
      <w:r>
        <w:rPr>
          <w:rFonts w:hint="eastAsia" w:ascii="仿宋_GB2312" w:hAnsi="微软雅黑" w:eastAsia="仿宋_GB2312"/>
          <w:color w:val="000000"/>
          <w:sz w:val="30"/>
          <w:szCs w:val="30"/>
        </w:rPr>
        <w:t>2024年，在法治建设中积极发挥党政主要负责人率先垂范作用，落实学法用法述法制度，开展多种形式学法活动，不断提高水利干部依法履职、依法行政能力素质和水平，坚持谋划工作运用法治思维，严格执行重大行政决策各项制度，压实法治建设责任、履职尽责，取得了一定成效，但对标习近平法治思想和中央、省、市委法治工作要求,还有一定差距：</w:t>
      </w:r>
      <w:r>
        <w:rPr>
          <w:rStyle w:val="7"/>
          <w:rFonts w:hint="eastAsia" w:ascii="仿宋_GB2312" w:hAnsi="微软雅黑" w:eastAsia="仿宋_GB2312"/>
          <w:color w:val="040404"/>
          <w:sz w:val="30"/>
          <w:szCs w:val="30"/>
          <w:shd w:val="clear" w:color="auto" w:fill="FFFFFF"/>
        </w:rPr>
        <w:t>一是</w:t>
      </w:r>
      <w:r>
        <w:rPr>
          <w:rFonts w:hint="eastAsia" w:ascii="仿宋_GB2312" w:hAnsi="微软雅黑" w:eastAsia="仿宋_GB2312"/>
          <w:color w:val="040404"/>
          <w:sz w:val="30"/>
          <w:szCs w:val="30"/>
          <w:shd w:val="clear" w:color="auto" w:fill="FFFFFF"/>
        </w:rPr>
        <w:t>理论学习广度深度有待提升。平时注重业务相关的水利法治理论学习多，通用法治理论学习相对少。</w:t>
      </w:r>
      <w:r>
        <w:rPr>
          <w:rStyle w:val="7"/>
          <w:rFonts w:hint="eastAsia" w:ascii="仿宋_GB2312" w:hAnsi="微软雅黑" w:eastAsia="仿宋_GB2312"/>
          <w:color w:val="040404"/>
          <w:sz w:val="30"/>
          <w:szCs w:val="30"/>
          <w:shd w:val="clear" w:color="auto" w:fill="FFFFFF"/>
        </w:rPr>
        <w:t>二是</w:t>
      </w:r>
      <w:r>
        <w:rPr>
          <w:rFonts w:hint="eastAsia" w:ascii="仿宋_GB2312" w:hAnsi="微软雅黑" w:eastAsia="仿宋_GB2312"/>
          <w:color w:val="040404"/>
          <w:sz w:val="30"/>
          <w:szCs w:val="30"/>
          <w:shd w:val="clear" w:color="auto" w:fill="FFFFFF"/>
        </w:rPr>
        <w:t>执法人员能力水平待提升。无专职执法人员，专业水平和履职能力有待提高，</w:t>
      </w:r>
      <w:r>
        <w:rPr>
          <w:rFonts w:hint="eastAsia" w:ascii="仿宋_GB2312" w:hAnsi="微软雅黑" w:eastAsia="仿宋_GB2312"/>
          <w:color w:val="000000"/>
          <w:sz w:val="30"/>
          <w:szCs w:val="30"/>
        </w:rPr>
        <w:t>监管事项日益增多和监管力量不相匹配等问题，执法装备配备不完备，执法培训制度化、系统化不强，业务监管方式落后、监管措施科技含量不高，法治体系建设有待进一步完善。</w:t>
      </w:r>
      <w:r>
        <w:rPr>
          <w:rStyle w:val="7"/>
          <w:rFonts w:hint="eastAsia" w:ascii="仿宋_GB2312" w:hAnsi="微软雅黑" w:eastAsia="仿宋_GB2312"/>
          <w:color w:val="040404"/>
          <w:sz w:val="30"/>
          <w:szCs w:val="30"/>
          <w:shd w:val="clear" w:color="auto" w:fill="FFFFFF"/>
        </w:rPr>
        <w:t>三是</w:t>
      </w:r>
      <w:r>
        <w:rPr>
          <w:rFonts w:hint="eastAsia" w:ascii="仿宋_GB2312" w:hAnsi="微软雅黑" w:eastAsia="仿宋_GB2312"/>
          <w:color w:val="040404"/>
          <w:sz w:val="30"/>
          <w:szCs w:val="30"/>
          <w:shd w:val="clear" w:color="auto" w:fill="FFFFFF"/>
        </w:rPr>
        <w:t>法治政府建设工作缺乏亮点。只按部就班完成上级法治政府建设工作部署要求，在方式方法上需进一步丰富优化，创新性有待提升。</w:t>
      </w:r>
    </w:p>
    <w:p>
      <w:pPr>
        <w:pStyle w:val="4"/>
        <w:shd w:val="clear" w:color="auto" w:fill="FFFFFF"/>
        <w:spacing w:before="0" w:beforeAutospacing="0" w:after="0" w:afterAutospacing="0" w:line="570" w:lineRule="atLeast"/>
        <w:ind w:firstLine="640"/>
        <w:jc w:val="both"/>
        <w:rPr>
          <w:rFonts w:ascii="微软雅黑" w:hAnsi="微软雅黑" w:eastAsia="微软雅黑"/>
          <w:color w:val="000000"/>
          <w:sz w:val="30"/>
          <w:szCs w:val="30"/>
        </w:rPr>
      </w:pPr>
      <w:r>
        <w:rPr>
          <w:rFonts w:hint="eastAsia" w:ascii="黑体" w:hAnsi="黑体" w:eastAsia="黑体" w:cs="Times New Roman"/>
          <w:color w:val="000000"/>
          <w:sz w:val="30"/>
          <w:szCs w:val="30"/>
        </w:rPr>
        <w:t>四、</w:t>
      </w:r>
      <w:r>
        <w:rPr>
          <w:rFonts w:ascii="Times New Roman" w:hAnsi="Times New Roman" w:eastAsia="微软雅黑" w:cs="Times New Roman"/>
          <w:color w:val="000000"/>
          <w:sz w:val="30"/>
          <w:szCs w:val="30"/>
        </w:rPr>
        <w:t>202</w:t>
      </w:r>
      <w:r>
        <w:rPr>
          <w:rFonts w:ascii="Times New Roman" w:hAnsi="Times New Roman" w:eastAsia="黑体" w:cs="Times New Roman"/>
          <w:color w:val="000000"/>
          <w:sz w:val="30"/>
          <w:szCs w:val="30"/>
        </w:rPr>
        <w:t>5</w:t>
      </w:r>
      <w:r>
        <w:rPr>
          <w:rFonts w:hint="eastAsia" w:ascii="黑体" w:hAnsi="黑体" w:eastAsia="黑体" w:cs="Times New Roman"/>
          <w:color w:val="000000"/>
          <w:sz w:val="30"/>
          <w:szCs w:val="30"/>
        </w:rPr>
        <w:t>年推进法治政府建设的主要计划安排</w:t>
      </w:r>
    </w:p>
    <w:p>
      <w:pPr>
        <w:pStyle w:val="4"/>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（一）继续</w:t>
      </w:r>
      <w:r>
        <w:rPr>
          <w:rStyle w:val="7"/>
          <w:rFonts w:hint="eastAsia" w:ascii="仿宋_GB2312" w:hAnsi="微软雅黑" w:eastAsia="仿宋_GB2312"/>
          <w:color w:val="000000"/>
          <w:sz w:val="30"/>
          <w:szCs w:val="30"/>
          <w:shd w:val="clear" w:color="auto" w:fill="FFFFFF"/>
        </w:rPr>
        <w:t>深入开展法治政府建设工作。</w:t>
      </w:r>
      <w:r>
        <w:rPr>
          <w:rFonts w:hint="eastAsia" w:ascii="仿宋_GB2312" w:hAnsi="微软雅黑" w:eastAsia="仿宋_GB2312"/>
          <w:color w:val="000000"/>
          <w:sz w:val="30"/>
          <w:szCs w:val="30"/>
          <w:shd w:val="clear" w:color="auto" w:fill="FFFFFF"/>
        </w:rPr>
        <w:t>坚持</w:t>
      </w:r>
      <w:r>
        <w:rPr>
          <w:rFonts w:hint="eastAsia" w:ascii="仿宋_GB2312" w:hAnsi="微软雅黑" w:eastAsia="仿宋_GB2312"/>
          <w:color w:val="000000"/>
          <w:sz w:val="30"/>
          <w:szCs w:val="30"/>
        </w:rPr>
        <w:t>把深入学习宣传贯彻习近平法治思想作为重要政治任务，局党组带头加强宣传教育，引领全体水利干部职工深入学习领会习近平法治思想的丰富内涵、精神实质和实践要求，进一步全面深化改革推进中国式现代化，以法治思维和法治方式推动水利治理能力和水平不断提升。</w:t>
      </w:r>
    </w:p>
    <w:p>
      <w:pPr>
        <w:pStyle w:val="4"/>
        <w:shd w:val="clear" w:color="auto" w:fill="FFFFFF"/>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shd w:val="clear" w:color="auto" w:fill="FFFFFF"/>
        </w:rPr>
        <w:t>（二）优化工作方法，依法全面履职，继续推进水利依法行政。</w:t>
      </w:r>
      <w:r>
        <w:rPr>
          <w:rFonts w:hint="eastAsia" w:ascii="仿宋_GB2312" w:hAnsi="微软雅黑" w:eastAsia="仿宋_GB2312"/>
          <w:color w:val="000000"/>
          <w:sz w:val="30"/>
          <w:szCs w:val="30"/>
          <w:shd w:val="clear" w:color="auto" w:fill="FFFFFF"/>
        </w:rPr>
        <w:t>落实好优化营商环境相关要求，全面推进</w:t>
      </w:r>
      <w:r>
        <w:rPr>
          <w:rFonts w:hint="eastAsia" w:ascii="仿宋_GB2312" w:hAnsi="微软雅黑" w:eastAsia="仿宋_GB2312"/>
          <w:color w:val="000000"/>
          <w:sz w:val="30"/>
          <w:szCs w:val="30"/>
          <w:shd w:val="clear" w:color="auto" w:fill="FFFFFF"/>
          <w:lang w:eastAsia="zh-CN"/>
        </w:rPr>
        <w:t>“双随机、一公开”</w:t>
      </w:r>
      <w:r>
        <w:rPr>
          <w:rFonts w:hint="eastAsia" w:ascii="仿宋_GB2312" w:hAnsi="微软雅黑" w:eastAsia="仿宋_GB2312"/>
          <w:color w:val="000000"/>
          <w:sz w:val="30"/>
          <w:szCs w:val="30"/>
          <w:shd w:val="clear" w:color="auto" w:fill="FFFFFF"/>
        </w:rPr>
        <w:t>，推动事中事后监管责任落实。切实履行推进法治建设第一责任人职责，严格落实重大行政决策程序，做到重大行政决策履行法定程序全覆盖，确保合法有效，不断提高依法行政的能力。</w:t>
      </w:r>
    </w:p>
    <w:p>
      <w:pPr>
        <w:pStyle w:val="4"/>
        <w:shd w:val="clear" w:color="auto" w:fill="FFFFFF"/>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shd w:val="clear" w:color="auto" w:fill="FFFFFF"/>
        </w:rPr>
        <w:t>（三）不断健全依法行政制度体系和水法规制度体系。</w:t>
      </w:r>
      <w:r>
        <w:rPr>
          <w:rFonts w:hint="eastAsia" w:ascii="仿宋_GB2312" w:hAnsi="微软雅黑" w:eastAsia="仿宋_GB2312"/>
          <w:color w:val="000000"/>
          <w:sz w:val="30"/>
          <w:szCs w:val="30"/>
        </w:rPr>
        <w:t>不断健全完善水行政法规体制机制，</w:t>
      </w:r>
      <w:r>
        <w:rPr>
          <w:rFonts w:hint="eastAsia" w:ascii="仿宋_GB2312" w:hAnsi="微软雅黑" w:eastAsia="仿宋_GB2312"/>
          <w:color w:val="000000"/>
          <w:sz w:val="30"/>
          <w:szCs w:val="30"/>
          <w:shd w:val="clear" w:color="auto" w:fill="FFFFFF"/>
        </w:rPr>
        <w:t>加强规范性文件制定、修改、清理工作，强化水行政执法工作规范化建设，健全执法制度，强化执法监督，提高执法质量，加大水法律法规学习宣传贯彻落实力度，不断增强水利系统依法行政能力，持续稳步推进法治政府建设工作。</w:t>
      </w:r>
    </w:p>
    <w:p>
      <w:pPr>
        <w:pStyle w:val="4"/>
        <w:shd w:val="clear" w:color="auto" w:fill="FFFFFF"/>
        <w:spacing w:before="0" w:beforeAutospacing="0" w:after="0" w:afterAutospacing="0" w:line="600" w:lineRule="atLeast"/>
        <w:ind w:firstLine="643"/>
        <w:jc w:val="both"/>
        <w:rPr>
          <w:rFonts w:ascii="微软雅黑" w:hAnsi="微软雅黑" w:eastAsia="微软雅黑"/>
          <w:color w:val="000000"/>
          <w:sz w:val="30"/>
          <w:szCs w:val="30"/>
        </w:rPr>
      </w:pPr>
      <w:r>
        <w:rPr>
          <w:rStyle w:val="7"/>
          <w:rFonts w:hint="eastAsia" w:ascii="仿宋_GB2312" w:hAnsi="微软雅黑" w:eastAsia="仿宋_GB2312"/>
          <w:color w:val="000000"/>
          <w:sz w:val="30"/>
          <w:szCs w:val="30"/>
        </w:rPr>
        <w:t>（四）持续加强水行政执法，</w:t>
      </w:r>
      <w:r>
        <w:rPr>
          <w:rStyle w:val="7"/>
          <w:rFonts w:hint="eastAsia" w:ascii="仿宋_GB2312" w:hAnsi="微软雅黑" w:eastAsia="仿宋_GB2312"/>
          <w:color w:val="000000"/>
          <w:sz w:val="30"/>
          <w:szCs w:val="30"/>
          <w:shd w:val="clear" w:color="auto" w:fill="FFFFFF"/>
        </w:rPr>
        <w:t>积极开展水利普法宣传</w:t>
      </w:r>
      <w:r>
        <w:rPr>
          <w:rStyle w:val="7"/>
          <w:rFonts w:hint="eastAsia" w:ascii="仿宋_GB2312" w:hAnsi="微软雅黑" w:eastAsia="仿宋_GB2312"/>
          <w:color w:val="000000"/>
          <w:sz w:val="30"/>
          <w:szCs w:val="30"/>
        </w:rPr>
        <w:t>。</w:t>
      </w:r>
      <w:r>
        <w:rPr>
          <w:rFonts w:hint="eastAsia" w:ascii="仿宋_GB2312" w:hAnsi="微软雅黑" w:eastAsia="仿宋_GB2312"/>
          <w:color w:val="000000"/>
          <w:sz w:val="30"/>
          <w:szCs w:val="30"/>
        </w:rPr>
        <w:t>加强水利行业监管与行政综合执法衔接、水行政执法与刑事司法衔接、与检察公益诉讼协作，强化联合执法。加强执法人员教育培训，提高执法人员素质和能力。</w:t>
      </w:r>
      <w:r>
        <w:rPr>
          <w:rFonts w:hint="eastAsia" w:ascii="仿宋_GB2312" w:hAnsi="微软雅黑" w:eastAsia="仿宋_GB2312"/>
          <w:color w:val="000000"/>
          <w:sz w:val="30"/>
          <w:szCs w:val="30"/>
          <w:shd w:val="clear" w:color="auto" w:fill="FFFFFF"/>
        </w:rPr>
        <w:t>加强日常普法的同时，利用“水日水周”及水法律法规颁布纪念日等重要时间节点集中开展普法宣传。通过中心组学习、座谈交流、举办培训班等方式，加大领导干部法治培训力度，完善领导班子学法制度，持续提升全县水利系统领导干部法治思维和依法行政能力。</w:t>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1869D8"/>
    <w:rsid w:val="002353E8"/>
    <w:rsid w:val="00323B43"/>
    <w:rsid w:val="003A265F"/>
    <w:rsid w:val="003D37D8"/>
    <w:rsid w:val="00426133"/>
    <w:rsid w:val="004358AB"/>
    <w:rsid w:val="00673DDD"/>
    <w:rsid w:val="00761B61"/>
    <w:rsid w:val="00854D52"/>
    <w:rsid w:val="008A1A92"/>
    <w:rsid w:val="008B7726"/>
    <w:rsid w:val="00972E42"/>
    <w:rsid w:val="009B1FFC"/>
    <w:rsid w:val="00CB1818"/>
    <w:rsid w:val="00D31D50"/>
    <w:rsid w:val="00FC3904"/>
    <w:rsid w:val="0E030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jc w:val="center"/>
    </w:pPr>
    <w:rPr>
      <w:sz w:val="18"/>
      <w:szCs w:val="18"/>
    </w:rPr>
  </w:style>
  <w:style w:type="paragraph" w:styleId="4">
    <w:name w:val="Normal (Web)"/>
    <w:basedOn w:val="1"/>
    <w:semiHidden/>
    <w:unhideWhenUsed/>
    <w:uiPriority w:val="99"/>
    <w:pPr>
      <w:adjustRightInd/>
      <w:snapToGrid/>
      <w:spacing w:before="100" w:beforeAutospacing="1" w:after="100" w:afterAutospacing="1"/>
    </w:pPr>
    <w:rPr>
      <w:rFonts w:ascii="宋体" w:hAnsi="宋体" w:eastAsia="宋体" w:cs="宋体"/>
      <w:sz w:val="24"/>
      <w:szCs w:val="24"/>
    </w:rPr>
  </w:style>
  <w:style w:type="character" w:styleId="7">
    <w:name w:val="Strong"/>
    <w:basedOn w:val="6"/>
    <w:qFormat/>
    <w:uiPriority w:val="22"/>
    <w:rPr>
      <w:b/>
      <w:bCs/>
    </w:rPr>
  </w:style>
  <w:style w:type="character" w:customStyle="1" w:styleId="8">
    <w:name w:val="页眉 Char"/>
    <w:basedOn w:val="6"/>
    <w:link w:val="3"/>
    <w:semiHidden/>
    <w:uiPriority w:val="99"/>
    <w:rPr>
      <w:rFonts w:ascii="Tahoma" w:hAnsi="Tahoma"/>
      <w:sz w:val="18"/>
      <w:szCs w:val="18"/>
    </w:rPr>
  </w:style>
  <w:style w:type="character" w:customStyle="1" w:styleId="9">
    <w:name w:val="页脚 Char"/>
    <w:basedOn w:val="6"/>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443</Words>
  <Characters>2526</Characters>
  <Lines>21</Lines>
  <Paragraphs>5</Paragraphs>
  <TotalTime>17</TotalTime>
  <ScaleCrop>false</ScaleCrop>
  <LinksUpToDate>false</LinksUpToDate>
  <CharactersWithSpaces>2964</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2026-10-15T02:50:45Z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A7F89317904A41B8A24D6662EBB54465</vt:lpwstr>
  </property>
</Properties>
</file>