
<file path=[Content_Types].xml><?xml version="1.0" encoding="utf-8"?>
<Types xmlns="http://schemas.openxmlformats.org/package/2006/content-types">
  <Default Extension="xml" ContentType="application/xml"/>
  <Default Extension="xlsx" ContentType="application/vnd.openxmlformats-officedocument.spreadsheetml.sheet"/>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charts/chart1.xml" ContentType="application/vnd.openxmlformats-officedocument.drawingml.chart+xml"/>
  <Override PartName="/word/charts/chart2.xml" ContentType="application/vnd.openxmlformats-officedocument.drawingml.chart+xml"/>
  <Override PartName="/word/charts/chart3.xml" ContentType="application/vnd.openxmlformats-officedocument.drawingml.chart+xml"/>
  <Override PartName="/word/charts/chart4.xml" ContentType="application/vnd.openxmlformats-officedocument.drawingml.chart+xml"/>
  <Override PartName="/word/charts/chart5.xml" ContentType="application/vnd.openxmlformats-officedocument.drawingml.chart+xml"/>
  <Override PartName="/word/charts/colors1.xml" ContentType="application/vnd.ms-office.chartcolorstyle+xml"/>
  <Override PartName="/word/charts/colors2.xml" ContentType="application/vnd.ms-office.chartcolorstyle+xml"/>
  <Override PartName="/word/charts/colors3.xml" ContentType="application/vnd.ms-office.chartcolorstyle+xml"/>
  <Override PartName="/word/charts/colors4.xml" ContentType="application/vnd.ms-office.chartcolorstyle+xml"/>
  <Override PartName="/word/charts/colors5.xml" ContentType="application/vnd.ms-office.chartcolorstyle+xml"/>
  <Override PartName="/word/charts/style1.xml" ContentType="application/vnd.ms-office.chartstyle+xml"/>
  <Override PartName="/word/charts/style2.xml" ContentType="application/vnd.ms-office.chartstyle+xml"/>
  <Override PartName="/word/charts/style3.xml" ContentType="application/vnd.ms-office.chartstyle+xml"/>
  <Override PartName="/word/charts/style4.xml" ContentType="application/vnd.ms-office.chartstyle+xml"/>
  <Override PartName="/word/charts/style5.xml" ContentType="application/vnd.ms-office.chartstyle+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10.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7.odttf" ContentType="application/vnd.openxmlformats-officedocument.obfuscatedFont"/>
  <Override PartName="/word/fonts/font8.odttf" ContentType="application/vnd.openxmlformats-officedocument.obfuscatedFont"/>
  <Override PartName="/word/fonts/font9.odttf" ContentType="application/vnd.openxmlformats-officedocument.obfuscatedFont"/>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jc w:val="center"/>
        <w:rPr>
          <w:rFonts w:hint="eastAsia" w:ascii="楷体_GB2312" w:hAnsi="楷体_GB2312" w:eastAsia="楷体_GB2312" w:cs="楷体_GB2312"/>
          <w:b/>
          <w:bCs/>
          <w:color w:val="0D0D0D" w:themeColor="text1" w:themeTint="F2"/>
          <w:kern w:val="2"/>
          <w:sz w:val="48"/>
          <w:szCs w:val="56"/>
          <w14:textFill>
            <w14:solidFill>
              <w14:schemeClr w14:val="tx1">
                <w14:lumMod w14:val="95000"/>
                <w14:lumOff w14:val="5000"/>
              </w14:schemeClr>
            </w14:solidFill>
          </w14:textFill>
        </w:rPr>
      </w:pPr>
      <w:r>
        <w:rPr>
          <w:rFonts w:hint="eastAsia"/>
        </w:rPr>
        <w:drawing>
          <wp:anchor distT="0" distB="0" distL="114300" distR="114300" simplePos="0" relativeHeight="251661312" behindDoc="1" locked="0" layoutInCell="1" allowOverlap="1">
            <wp:simplePos x="0" y="0"/>
            <wp:positionH relativeFrom="column">
              <wp:posOffset>-887730</wp:posOffset>
            </wp:positionH>
            <wp:positionV relativeFrom="page">
              <wp:posOffset>-201295</wp:posOffset>
            </wp:positionV>
            <wp:extent cx="7569835" cy="10692130"/>
            <wp:effectExtent l="0" t="0" r="12065" b="13970"/>
            <wp:wrapNone/>
            <wp:docPr id="4" name="图片 4" descr="H:\稻壳儿相关资料\封面-非模\01.jpg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4" descr="H:\稻壳儿相关资料\封面-非模\01.jpg01"/>
                    <pic:cNvPicPr>
                      <a:picLocks noChangeAspect="1"/>
                    </pic:cNvPicPr>
                  </pic:nvPicPr>
                  <pic:blipFill>
                    <a:blip r:embed="rId13"/>
                    <a:srcRect/>
                    <a:stretch>
                      <a:fillRect/>
                    </a:stretch>
                  </pic:blipFill>
                  <pic:spPr>
                    <a:xfrm>
                      <a:off x="0" y="0"/>
                      <a:ext cx="7569835" cy="10692130"/>
                    </a:xfrm>
                    <a:prstGeom prst="rect">
                      <a:avLst/>
                    </a:prstGeom>
                  </pic:spPr>
                </pic:pic>
              </a:graphicData>
            </a:graphic>
          </wp:anchor>
        </w:drawing>
      </w:r>
      <w:r>
        <mc:AlternateContent>
          <mc:Choice Requires="wps">
            <w:drawing>
              <wp:anchor distT="0" distB="0" distL="114300" distR="114300" simplePos="0" relativeHeight="251659264" behindDoc="0" locked="0" layoutInCell="1" allowOverlap="1">
                <wp:simplePos x="0" y="0"/>
                <wp:positionH relativeFrom="column">
                  <wp:posOffset>-472440</wp:posOffset>
                </wp:positionH>
                <wp:positionV relativeFrom="paragraph">
                  <wp:posOffset>-17145</wp:posOffset>
                </wp:positionV>
                <wp:extent cx="6431280" cy="2862580"/>
                <wp:effectExtent l="0" t="0" r="0" b="0"/>
                <wp:wrapNone/>
                <wp:docPr id="1" name="文本框 1" descr="7b0a2020202022776f7264617274223a20227b5c2269645c223a32353030323136362c5c227469645c223a5c225c227d220a7d0a"/>
                <wp:cNvGraphicFramePr/>
                <a:graphic xmlns:a="http://schemas.openxmlformats.org/drawingml/2006/main">
                  <a:graphicData uri="http://schemas.microsoft.com/office/word/2010/wordprocessingShape">
                    <wps:wsp>
                      <wps:cNvSpPr txBox="1"/>
                      <wps:spPr>
                        <a:xfrm>
                          <a:off x="0" y="0"/>
                          <a:ext cx="6431280" cy="2862580"/>
                        </a:xfrm>
                        <a:prstGeom prst="rect">
                          <a:avLst/>
                        </a:prstGeom>
                        <a:noFill/>
                        <a:ln>
                          <a:noFill/>
                        </a:ln>
                        <a:effectLst/>
                      </wps:spPr>
                      <wps:txbx>
                        <w:txbxContent>
                          <w:p>
                            <w:pPr>
                              <w:pStyle w:val="10"/>
                              <w:spacing w:before="0" w:beforeAutospacing="0" w:after="0" w:afterAutospacing="0" w:line="1400" w:lineRule="exact"/>
                              <w:ind w:left="0" w:right="0"/>
                              <w:jc w:val="left"/>
                              <w:rPr>
                                <w:rFonts w:hint="eastAsia" w:ascii="微软雅黑" w:hAnsi="微软雅黑" w:eastAsia="微软雅黑" w:cs="微软雅黑"/>
                                <w:b/>
                                <w:color w:val="FFFFFF" w:themeColor="background1"/>
                                <w:kern w:val="2"/>
                                <w:sz w:val="96"/>
                                <w:szCs w:val="96"/>
                                <w:lang w:bidi="ar-SA"/>
                                <w14:textFill>
                                  <w14:solidFill>
                                    <w14:schemeClr w14:val="bg1"/>
                                  </w14:solidFill>
                                </w14:textFill>
                              </w:rPr>
                            </w:pPr>
                            <w:r>
                              <w:rPr>
                                <w:rFonts w:hint="eastAsia" w:ascii="微软雅黑" w:hAnsi="微软雅黑" w:eastAsia="微软雅黑" w:cs="微软雅黑"/>
                                <w:b/>
                                <w:color w:val="FFFFFF" w:themeColor="background1"/>
                                <w:kern w:val="2"/>
                                <w:sz w:val="96"/>
                                <w:szCs w:val="96"/>
                                <w:lang w:bidi="ar-SA"/>
                                <w14:textFill>
                                  <w14:solidFill>
                                    <w14:schemeClr w14:val="bg1"/>
                                  </w14:solidFill>
                                </w14:textFill>
                              </w:rPr>
                              <w:t>202</w:t>
                            </w:r>
                            <w:r>
                              <w:rPr>
                                <w:rFonts w:hint="eastAsia" w:ascii="微软雅黑" w:hAnsi="微软雅黑" w:eastAsia="微软雅黑" w:cs="微软雅黑"/>
                                <w:b/>
                                <w:color w:val="FFFFFF" w:themeColor="background1"/>
                                <w:kern w:val="2"/>
                                <w:sz w:val="96"/>
                                <w:szCs w:val="96"/>
                                <w:lang w:val="en-US" w:eastAsia="zh-CN" w:bidi="ar-SA"/>
                                <w14:textFill>
                                  <w14:solidFill>
                                    <w14:schemeClr w14:val="bg1"/>
                                  </w14:solidFill>
                                </w14:textFill>
                              </w:rPr>
                              <w:t>5</w:t>
                            </w:r>
                            <w:r>
                              <w:rPr>
                                <w:rFonts w:hint="eastAsia" w:ascii="微软雅黑" w:hAnsi="微软雅黑" w:eastAsia="微软雅黑" w:cs="微软雅黑"/>
                                <w:b/>
                                <w:color w:val="FFFFFF" w:themeColor="background1"/>
                                <w:kern w:val="2"/>
                                <w:sz w:val="96"/>
                                <w:szCs w:val="96"/>
                                <w:lang w:bidi="ar-SA"/>
                                <w14:textFill>
                                  <w14:solidFill>
                                    <w14:schemeClr w14:val="bg1"/>
                                  </w14:solidFill>
                                </w14:textFill>
                              </w:rPr>
                              <w:t>年度</w:t>
                            </w:r>
                          </w:p>
                          <w:p>
                            <w:pPr>
                              <w:pStyle w:val="10"/>
                              <w:spacing w:before="0" w:beforeAutospacing="0" w:after="0" w:afterAutospacing="0" w:line="1400" w:lineRule="exact"/>
                              <w:ind w:left="0" w:right="0"/>
                              <w:jc w:val="left"/>
                              <w:rPr>
                                <w:rFonts w:hint="eastAsia" w:ascii="微软雅黑" w:hAnsi="微软雅黑" w:eastAsia="微软雅黑" w:cs="微软雅黑"/>
                                <w:b/>
                                <w:color w:val="FFFFFF" w:themeColor="background1"/>
                                <w:kern w:val="2"/>
                                <w:sz w:val="96"/>
                                <w:szCs w:val="96"/>
                                <w:lang w:bidi="ar-SA"/>
                                <w14:textFill>
                                  <w14:solidFill>
                                    <w14:schemeClr w14:val="bg1"/>
                                  </w14:solidFill>
                                </w14:textFill>
                              </w:rPr>
                            </w:pPr>
                            <w:r>
                              <w:rPr>
                                <w:rFonts w:hint="eastAsia" w:ascii="微软雅黑" w:hAnsi="微软雅黑" w:eastAsia="微软雅黑" w:cs="微软雅黑"/>
                                <w:b/>
                                <w:color w:val="FFFFFF" w:themeColor="background1"/>
                                <w:kern w:val="2"/>
                                <w:sz w:val="96"/>
                                <w:szCs w:val="96"/>
                                <w:lang w:bidi="ar-SA"/>
                                <w14:textFill>
                                  <w14:solidFill>
                                    <w14:schemeClr w14:val="bg1"/>
                                  </w14:solidFill>
                                </w14:textFill>
                              </w:rPr>
                              <w:t>部门决算公开文本</w:t>
                            </w:r>
                          </w:p>
                        </w:txbxContent>
                      </wps:txbx>
                      <wps:bodyPr upright="1"/>
                    </wps:wsp>
                  </a:graphicData>
                </a:graphic>
              </wp:anchor>
            </w:drawing>
          </mc:Choice>
          <mc:Fallback>
            <w:pict>
              <v:shape id="_x0000_s1026" o:spid="_x0000_s1026" o:spt="202" alt="7b0a2020202022776f7264617274223a20227b5c2269645c223a32353030323136362c5c227469645c223a5c225c227d220a7d0a" type="#_x0000_t202" style="position:absolute;left:0pt;margin-left:-37.2pt;margin-top:-1.35pt;height:225.4pt;width:506.4pt;z-index:251659264;mso-width-relative:page;mso-height-relative:page;" filled="f" stroked="f" coordsize="21600,21600" o:gfxdata="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">
                <v:fill on="f" focussize="0,0"/>
                <v:stroke on="f"/>
                <v:imagedata o:title=""/>
                <o:lock v:ext="edit" aspectratio="f"/>
                <v:textbox>
                  <w:txbxContent>
                    <w:p>
                      <w:pPr>
                        <w:pStyle w:val="10"/>
                        <w:spacing w:before="0" w:beforeAutospacing="0" w:after="0" w:afterAutospacing="0" w:line="1400" w:lineRule="exact"/>
                        <w:ind w:left="0" w:right="0"/>
                        <w:jc w:val="left"/>
                        <w:rPr>
                          <w:rFonts w:hint="eastAsia" w:ascii="微软雅黑" w:hAnsi="微软雅黑" w:eastAsia="微软雅黑" w:cs="微软雅黑"/>
                          <w:b/>
                          <w:color w:val="FFFFFF" w:themeColor="background1"/>
                          <w:kern w:val="2"/>
                          <w:sz w:val="96"/>
                          <w:szCs w:val="96"/>
                          <w:lang w:bidi="ar-SA"/>
                          <w14:textFill>
                            <w14:solidFill>
                              <w14:schemeClr w14:val="bg1"/>
                            </w14:solidFill>
                          </w14:textFill>
                        </w:rPr>
                      </w:pPr>
                      <w:r>
                        <w:rPr>
                          <w:rFonts w:hint="eastAsia" w:ascii="微软雅黑" w:hAnsi="微软雅黑" w:eastAsia="微软雅黑" w:cs="微软雅黑"/>
                          <w:b/>
                          <w:color w:val="FFFFFF" w:themeColor="background1"/>
                          <w:kern w:val="2"/>
                          <w:sz w:val="96"/>
                          <w:szCs w:val="96"/>
                          <w:lang w:bidi="ar-SA"/>
                          <w14:textFill>
                            <w14:solidFill>
                              <w14:schemeClr w14:val="bg1"/>
                            </w14:solidFill>
                          </w14:textFill>
                        </w:rPr>
                        <w:t>202</w:t>
                      </w:r>
                      <w:r>
                        <w:rPr>
                          <w:rFonts w:hint="eastAsia" w:ascii="微软雅黑" w:hAnsi="微软雅黑" w:eastAsia="微软雅黑" w:cs="微软雅黑"/>
                          <w:b/>
                          <w:color w:val="FFFFFF" w:themeColor="background1"/>
                          <w:kern w:val="2"/>
                          <w:sz w:val="96"/>
                          <w:szCs w:val="96"/>
                          <w:lang w:val="en-US" w:eastAsia="zh-CN" w:bidi="ar-SA"/>
                          <w14:textFill>
                            <w14:solidFill>
                              <w14:schemeClr w14:val="bg1"/>
                            </w14:solidFill>
                          </w14:textFill>
                        </w:rPr>
                        <w:t>5</w:t>
                      </w:r>
                      <w:r>
                        <w:rPr>
                          <w:rFonts w:hint="eastAsia" w:ascii="微软雅黑" w:hAnsi="微软雅黑" w:eastAsia="微软雅黑" w:cs="微软雅黑"/>
                          <w:b/>
                          <w:color w:val="FFFFFF" w:themeColor="background1"/>
                          <w:kern w:val="2"/>
                          <w:sz w:val="96"/>
                          <w:szCs w:val="96"/>
                          <w:lang w:bidi="ar-SA"/>
                          <w14:textFill>
                            <w14:solidFill>
                              <w14:schemeClr w14:val="bg1"/>
                            </w14:solidFill>
                          </w14:textFill>
                        </w:rPr>
                        <w:t>年度</w:t>
                      </w:r>
                    </w:p>
                    <w:p>
                      <w:pPr>
                        <w:pStyle w:val="10"/>
                        <w:spacing w:before="0" w:beforeAutospacing="0" w:after="0" w:afterAutospacing="0" w:line="1400" w:lineRule="exact"/>
                        <w:ind w:left="0" w:right="0"/>
                        <w:jc w:val="left"/>
                        <w:rPr>
                          <w:rFonts w:hint="eastAsia" w:ascii="微软雅黑" w:hAnsi="微软雅黑" w:eastAsia="微软雅黑" w:cs="微软雅黑"/>
                          <w:b/>
                          <w:color w:val="FFFFFF" w:themeColor="background1"/>
                          <w:kern w:val="2"/>
                          <w:sz w:val="96"/>
                          <w:szCs w:val="96"/>
                          <w:lang w:bidi="ar-SA"/>
                          <w14:textFill>
                            <w14:solidFill>
                              <w14:schemeClr w14:val="bg1"/>
                            </w14:solidFill>
                          </w14:textFill>
                        </w:rPr>
                      </w:pPr>
                      <w:r>
                        <w:rPr>
                          <w:rFonts w:hint="eastAsia" w:ascii="微软雅黑" w:hAnsi="微软雅黑" w:eastAsia="微软雅黑" w:cs="微软雅黑"/>
                          <w:b/>
                          <w:color w:val="FFFFFF" w:themeColor="background1"/>
                          <w:kern w:val="2"/>
                          <w:sz w:val="96"/>
                          <w:szCs w:val="96"/>
                          <w:lang w:bidi="ar-SA"/>
                          <w14:textFill>
                            <w14:solidFill>
                              <w14:schemeClr w14:val="bg1"/>
                            </w14:solidFill>
                          </w14:textFill>
                        </w:rPr>
                        <w:t>部门决算公开文本</w:t>
                      </w:r>
                    </w:p>
                  </w:txbxContent>
                </v:textbox>
              </v:shape>
            </w:pict>
          </mc:Fallback>
        </mc:AlternateContent>
      </w:r>
    </w:p>
    <w:p>
      <w:pPr>
        <w:spacing w:line="600" w:lineRule="auto"/>
        <w:jc w:val="both"/>
        <w:rPr>
          <w:rFonts w:hint="eastAsia" w:ascii="楷体_GB2312" w:hAnsi="楷体_GB2312" w:eastAsia="楷体_GB2312" w:cs="楷体_GB2312"/>
          <w:color w:val="000000"/>
          <w:sz w:val="40"/>
          <w:szCs w:val="40"/>
        </w:rPr>
      </w:pPr>
    </w:p>
    <w:p>
      <w:pPr>
        <w:spacing w:line="600" w:lineRule="auto"/>
        <w:jc w:val="both"/>
        <w:rPr>
          <w:rFonts w:hint="eastAsia" w:ascii="楷体_GB2312" w:hAnsi="楷体_GB2312" w:eastAsia="楷体_GB2312" w:cs="楷体_GB2312"/>
          <w:color w:val="000000"/>
          <w:sz w:val="40"/>
          <w:szCs w:val="40"/>
        </w:rPr>
      </w:pPr>
    </w:p>
    <w:p>
      <w:pPr>
        <w:spacing w:line="600" w:lineRule="auto"/>
        <w:jc w:val="both"/>
        <w:rPr>
          <w:rFonts w:hint="eastAsia" w:ascii="楷体_GB2312" w:hAnsi="楷体_GB2312" w:eastAsia="楷体_GB2312" w:cs="楷体_GB2312"/>
          <w:color w:val="000000"/>
          <w:sz w:val="40"/>
          <w:szCs w:val="40"/>
        </w:rPr>
      </w:pPr>
    </w:p>
    <w:p>
      <w:pPr>
        <w:spacing w:line="600" w:lineRule="auto"/>
        <w:jc w:val="both"/>
        <w:rPr>
          <w:rFonts w:hint="eastAsia" w:ascii="楷体_GB2312" w:hAnsi="楷体_GB2312" w:eastAsia="楷体_GB2312" w:cs="楷体_GB2312"/>
          <w:color w:val="000000"/>
          <w:sz w:val="40"/>
          <w:szCs w:val="40"/>
        </w:rPr>
      </w:pPr>
    </w:p>
    <w:p>
      <w:pPr>
        <w:spacing w:line="600" w:lineRule="auto"/>
        <w:jc w:val="both"/>
        <w:rPr>
          <w:rFonts w:hint="eastAsia" w:ascii="楷体_GB2312" w:hAnsi="楷体_GB2312" w:eastAsia="楷体_GB2312" w:cs="楷体_GB2312"/>
          <w:color w:val="000000"/>
          <w:sz w:val="40"/>
          <w:szCs w:val="40"/>
        </w:rPr>
      </w:pPr>
    </w:p>
    <w:p>
      <w:pPr>
        <w:spacing w:line="600" w:lineRule="auto"/>
        <w:jc w:val="both"/>
        <w:rPr>
          <w:rFonts w:hint="eastAsia" w:ascii="楷体_GB2312" w:hAnsi="楷体_GB2312" w:eastAsia="楷体_GB2312" w:cs="楷体_GB2312"/>
          <w:color w:val="000000"/>
          <w:sz w:val="40"/>
          <w:szCs w:val="40"/>
        </w:rPr>
      </w:pPr>
    </w:p>
    <w:p>
      <w:pPr>
        <w:spacing w:line="600" w:lineRule="auto"/>
        <w:jc w:val="both"/>
        <w:rPr>
          <w:rFonts w:hint="eastAsia" w:ascii="楷体_GB2312" w:hAnsi="楷体_GB2312" w:eastAsia="楷体_GB2312" w:cs="楷体_GB2312"/>
          <w:color w:val="000000"/>
          <w:sz w:val="40"/>
          <w:szCs w:val="40"/>
        </w:rPr>
      </w:pPr>
    </w:p>
    <w:p>
      <w:pPr>
        <w:jc w:val="center"/>
        <w:rPr>
          <w:rFonts w:hint="eastAsia" w:ascii="楷体_GB2312" w:hAnsi="楷体_GB2312" w:eastAsia="楷体_GB2312" w:cs="楷体_GB2312"/>
          <w:b/>
          <w:bCs/>
          <w:color w:val="0D0D0D" w:themeColor="text1" w:themeTint="F2"/>
          <w:kern w:val="2"/>
          <w:sz w:val="48"/>
          <w:szCs w:val="56"/>
          <w14:textFill>
            <w14:solidFill>
              <w14:schemeClr w14:val="tx1">
                <w14:lumMod w14:val="95000"/>
                <w14:lumOff w14:val="5000"/>
              </w14:schemeClr>
            </w14:solidFill>
          </w14:textFill>
        </w:rPr>
      </w:pPr>
    </w:p>
    <w:p>
      <w:pPr>
        <w:jc w:val="center"/>
        <w:rPr>
          <w:rFonts w:hint="eastAsia" w:ascii="楷体_GB2312" w:hAnsi="楷体_GB2312" w:eastAsia="楷体_GB2312" w:cs="楷体_GB2312"/>
          <w:b/>
          <w:bCs/>
          <w:color w:val="0D0D0D" w:themeColor="text1" w:themeTint="F2"/>
          <w:kern w:val="2"/>
          <w:sz w:val="48"/>
          <w:szCs w:val="56"/>
          <w14:textFill>
            <w14:solidFill>
              <w14:schemeClr w14:val="tx1">
                <w14:lumMod w14:val="95000"/>
                <w14:lumOff w14:val="5000"/>
              </w14:schemeClr>
            </w14:solidFill>
          </w14:textFill>
        </w:rPr>
      </w:pPr>
    </w:p>
    <w:p>
      <w:pPr>
        <w:jc w:val="center"/>
        <w:rPr>
          <w:rFonts w:hint="eastAsia" w:ascii="楷体_GB2312" w:hAnsi="楷体_GB2312" w:eastAsia="楷体_GB2312" w:cs="楷体_GB2312"/>
          <w:b/>
          <w:bCs/>
          <w:color w:val="0D0D0D" w:themeColor="text1" w:themeTint="F2"/>
          <w:kern w:val="2"/>
          <w:sz w:val="48"/>
          <w:szCs w:val="56"/>
          <w14:textFill>
            <w14:solidFill>
              <w14:schemeClr w14:val="tx1">
                <w14:lumMod w14:val="95000"/>
                <w14:lumOff w14:val="5000"/>
              </w14:schemeClr>
            </w14:solidFill>
          </w14:textFill>
        </w:rPr>
      </w:pPr>
    </w:p>
    <w:p>
      <w:pPr>
        <w:jc w:val="center"/>
        <w:rPr>
          <w:rFonts w:hint="eastAsia" w:ascii="楷体_GB2312" w:hAnsi="楷体_GB2312" w:eastAsia="楷体_GB2312" w:cs="楷体_GB2312"/>
          <w:b/>
          <w:bCs/>
          <w:color w:val="0D0D0D" w:themeColor="text1" w:themeTint="F2"/>
          <w:kern w:val="2"/>
          <w:sz w:val="48"/>
          <w:szCs w:val="56"/>
          <w14:textFill>
            <w14:solidFill>
              <w14:schemeClr w14:val="tx1">
                <w14:lumMod w14:val="95000"/>
                <w14:lumOff w14:val="5000"/>
              </w14:schemeClr>
            </w14:solidFill>
          </w14:textFill>
        </w:rPr>
      </w:pPr>
    </w:p>
    <w:p>
      <w:pPr>
        <w:jc w:val="both"/>
        <w:rPr>
          <w:rFonts w:hint="eastAsia" w:ascii="楷体_GB2312" w:hAnsi="楷体_GB2312" w:eastAsia="楷体_GB2312" w:cs="楷体_GB2312"/>
          <w:b/>
          <w:bCs/>
          <w:color w:val="0D0D0D" w:themeColor="text1" w:themeTint="F2"/>
          <w:kern w:val="2"/>
          <w:sz w:val="48"/>
          <w:szCs w:val="56"/>
          <w14:textFill>
            <w14:solidFill>
              <w14:schemeClr w14:val="tx1">
                <w14:lumMod w14:val="95000"/>
                <w14:lumOff w14:val="5000"/>
              </w14:schemeClr>
            </w14:solidFill>
          </w14:textFill>
        </w:rPr>
      </w:pPr>
    </w:p>
    <w:p>
      <w:pPr>
        <w:jc w:val="center"/>
        <w:rPr>
          <w:rFonts w:hint="eastAsia" w:ascii="楷体_GB2312" w:hAnsi="楷体_GB2312" w:eastAsia="楷体_GB2312" w:cs="楷体_GB2312"/>
          <w:b/>
          <w:bCs/>
          <w:color w:val="0D0D0D" w:themeColor="text1" w:themeTint="F2"/>
          <w:kern w:val="2"/>
          <w:sz w:val="48"/>
          <w:szCs w:val="56"/>
          <w14:textFill>
            <w14:solidFill>
              <w14:schemeClr w14:val="tx1">
                <w14:lumMod w14:val="95000"/>
                <w14:lumOff w14:val="5000"/>
              </w14:schemeClr>
            </w14:solidFill>
          </w14:textFill>
        </w:rPr>
      </w:pPr>
      <w:r>
        <w:rPr>
          <w:rFonts w:hint="eastAsia" w:ascii="楷体_GB2312" w:hAnsi="楷体_GB2312" w:eastAsia="楷体_GB2312" w:cs="楷体_GB2312"/>
          <w:b/>
          <w:bCs/>
          <w:color w:val="0D0D0D" w:themeColor="text1" w:themeTint="F2"/>
          <w:kern w:val="2"/>
          <w:sz w:val="48"/>
          <w:szCs w:val="56"/>
          <w14:textFill>
            <w14:solidFill>
              <w14:schemeClr w14:val="tx1">
                <w14:lumMod w14:val="95000"/>
                <w14:lumOff w14:val="5000"/>
              </w14:schemeClr>
            </w14:solidFill>
          </w14:textFill>
        </w:rPr>
        <w:t>中国人民政治协商会议无极县委员会办公室(本级)</w:t>
      </w:r>
    </w:p>
    <w:p>
      <w:pPr>
        <w:jc w:val="center"/>
        <w:rPr>
          <w:rFonts w:hint="eastAsia" w:ascii="楷体_GB2312" w:hAnsi="楷体_GB2312" w:eastAsia="楷体_GB2312" w:cs="楷体_GB2312"/>
          <w:b/>
          <w:bCs/>
          <w:color w:val="0D0D0D" w:themeColor="text1" w:themeTint="F2"/>
          <w:kern w:val="2"/>
          <w:sz w:val="48"/>
          <w:szCs w:val="56"/>
          <w14:textFill>
            <w14:solidFill>
              <w14:schemeClr w14:val="tx1">
                <w14:lumMod w14:val="95000"/>
                <w14:lumOff w14:val="5000"/>
              </w14:schemeClr>
            </w14:solidFill>
          </w14:textFill>
        </w:rPr>
      </w:pPr>
      <w:r>
        <w:rPr>
          <w:rFonts w:hint="eastAsia" w:ascii="楷体_GB2312" w:hAnsi="楷体_GB2312" w:eastAsia="楷体_GB2312" w:cs="楷体_GB2312"/>
          <w:b/>
          <w:bCs/>
          <w:color w:val="0D0D0D" w:themeColor="text1" w:themeTint="F2"/>
          <w:kern w:val="2"/>
          <w:sz w:val="48"/>
          <w:szCs w:val="56"/>
          <w14:textFill>
            <w14:solidFill>
              <w14:schemeClr w14:val="tx1">
                <w14:lumMod w14:val="95000"/>
                <w14:lumOff w14:val="5000"/>
              </w14:schemeClr>
            </w14:solidFill>
          </w14:textFill>
        </w:rPr>
        <w:t>预算代码：</w:t>
      </w:r>
      <w:r>
        <w:rPr>
          <w:rFonts w:hint="eastAsia" w:ascii="楷体_GB2312" w:hAnsi="楷体_GB2312" w:eastAsia="楷体_GB2312" w:cs="楷体_GB2312"/>
          <w:b/>
          <w:bCs/>
          <w:color w:val="0D0D0D" w:themeColor="text1" w:themeTint="F2"/>
          <w:kern w:val="2"/>
          <w:sz w:val="48"/>
          <w:szCs w:val="56"/>
          <w:lang w:val="en-US" w:eastAsia="zh-CN"/>
          <w14:textFill>
            <w14:solidFill>
              <w14:schemeClr w14:val="tx1">
                <w14:lumMod w14:val="95000"/>
                <w14:lumOff w14:val="5000"/>
              </w14:schemeClr>
            </w14:solidFill>
          </w14:textFill>
        </w:rPr>
        <w:t>131001</w:t>
      </w:r>
    </w:p>
    <w:p>
      <w:pPr>
        <w:jc w:val="center"/>
        <w:rPr>
          <w:rFonts w:ascii="楷体_GB2312" w:hAnsi="楷体_GB2312" w:eastAsia="楷体_GB2312" w:cs="楷体_GB2312"/>
          <w:b/>
          <w:bCs/>
          <w:color w:val="0D0D0D" w:themeColor="text1" w:themeTint="F2"/>
          <w:sz w:val="48"/>
          <w:szCs w:val="56"/>
          <w14:textFill>
            <w14:solidFill>
              <w14:schemeClr w14:val="tx1">
                <w14:lumMod w14:val="95000"/>
                <w14:lumOff w14:val="5000"/>
              </w14:schemeClr>
            </w14:solidFill>
          </w14:textFill>
        </w:rPr>
      </w:pPr>
    </w:p>
    <w:p>
      <w:pPr>
        <w:jc w:val="center"/>
        <w:rPr>
          <w:rFonts w:ascii="楷体_GB2312" w:hAnsi="楷体_GB2312" w:eastAsia="楷体_GB2312" w:cs="楷体_GB2312"/>
          <w:b/>
          <w:bCs/>
          <w:color w:val="0D0D0D" w:themeColor="text1" w:themeTint="F2"/>
          <w:sz w:val="48"/>
          <w:szCs w:val="56"/>
          <w14:textFill>
            <w14:solidFill>
              <w14:schemeClr w14:val="tx1">
                <w14:lumMod w14:val="95000"/>
                <w14:lumOff w14:val="5000"/>
              </w14:schemeClr>
            </w14:solidFill>
          </w14:textFill>
        </w:rPr>
      </w:pPr>
      <w:r>
        <w:rPr>
          <w:rFonts w:hint="eastAsia" w:ascii="楷体_GB2312" w:hAnsi="楷体_GB2312" w:eastAsia="楷体_GB2312" w:cs="楷体_GB2312"/>
          <w:b/>
          <w:bCs/>
          <w:color w:val="0D0D0D" w:themeColor="text1" w:themeTint="F2"/>
          <w:sz w:val="48"/>
          <w:szCs w:val="56"/>
          <w14:textFill>
            <w14:solidFill>
              <w14:schemeClr w14:val="tx1">
                <w14:lumMod w14:val="95000"/>
                <w14:lumOff w14:val="5000"/>
              </w14:schemeClr>
            </w14:solidFill>
          </w14:textFill>
        </w:rPr>
        <w:t>二〇二六年八月</w:t>
      </w:r>
    </w:p>
    <w:p>
      <w:pPr>
        <w:spacing w:line="600" w:lineRule="auto"/>
        <w:jc w:val="both"/>
        <w:rPr>
          <w:rFonts w:hint="eastAsia" w:ascii="楷体_GB2312" w:hAnsi="楷体_GB2312" w:eastAsia="楷体_GB2312" w:cs="楷体_GB2312"/>
          <w:color w:val="000000"/>
          <w:sz w:val="40"/>
          <w:szCs w:val="40"/>
        </w:rPr>
        <w:sectPr>
          <w:footerReference r:id="rId3" w:type="default"/>
          <w:pgSz w:w="11906" w:h="16838"/>
          <w:pgMar w:top="2098" w:right="1417" w:bottom="1871" w:left="1417" w:header="851" w:footer="992" w:gutter="0"/>
          <w:pgBorders>
            <w:top w:val="none" w:sz="0" w:space="0"/>
            <w:left w:val="none" w:sz="0" w:space="0"/>
            <w:bottom w:val="none" w:sz="0" w:space="0"/>
            <w:right w:val="none" w:sz="0" w:space="0"/>
          </w:pgBorders>
          <w:cols w:space="720" w:num="1"/>
          <w:docGrid w:type="lines" w:linePitch="312" w:charSpace="0"/>
        </w:sectPr>
      </w:pPr>
    </w:p>
    <w:p>
      <w:pPr>
        <w:spacing w:line="600" w:lineRule="auto"/>
        <w:jc w:val="center"/>
        <w:rPr>
          <w:rFonts w:hint="eastAsia" w:ascii="楷体_GB2312" w:hAnsi="楷体_GB2312" w:eastAsia="楷体_GB2312" w:cs="楷体_GB2312"/>
          <w:color w:val="000000"/>
          <w:sz w:val="40"/>
          <w:szCs w:val="40"/>
        </w:rPr>
      </w:pPr>
    </w:p>
    <w:p>
      <w:pPr>
        <w:rPr>
          <w:rFonts w:hint="eastAsia" w:ascii="黑体" w:hAnsi="黑体" w:eastAsia="黑体" w:cs="黑体"/>
          <w:b/>
          <w:bCs/>
          <w:sz w:val="32"/>
          <w:szCs w:val="36"/>
          <w:highlight w:val="yellow"/>
        </w:rPr>
      </w:pPr>
    </w:p>
    <w:p>
      <w:pPr>
        <w:widowControl/>
        <w:spacing w:before="0" w:beforeLines="0" w:beforeAutospacing="0" w:after="0" w:afterLines="0" w:afterAutospacing="0" w:line="360" w:lineRule="auto"/>
        <w:jc w:val="center"/>
        <w:rPr>
          <w:rFonts w:ascii="Times New Roman" w:eastAsia="方正小标宋_GBK"/>
          <w:sz w:val="72"/>
          <w:szCs w:val="72"/>
        </w:rPr>
      </w:pPr>
      <w:r>
        <w:rPr>
          <w:rFonts w:ascii="Times New Roman" w:eastAsia="方正小标宋_GBK"/>
          <w:b w:val="0"/>
          <w:sz w:val="72"/>
          <w:szCs w:val="72"/>
        </w:rPr>
        <w:t>中国人民政治协商会议无极县委员会办公室(本级)</w:t>
      </w:r>
    </w:p>
    <w:p>
      <w:pPr>
        <w:widowControl/>
        <w:spacing w:before="0" w:beforeLines="0" w:beforeAutospacing="0" w:after="0" w:afterLines="0" w:afterAutospacing="0" w:line="360" w:lineRule="auto"/>
        <w:jc w:val="center"/>
        <w:rPr>
          <w:rFonts w:ascii="Times New Roman" w:eastAsia="方正小标宋_GBK"/>
          <w:sz w:val="72"/>
          <w:szCs w:val="72"/>
        </w:rPr>
      </w:pPr>
      <w:r>
        <w:rPr>
          <w:rFonts w:ascii="Times New Roman" w:eastAsia="仿宋_GB2312"/>
          <w:b w:val="0"/>
          <w:sz w:val="72"/>
          <w:szCs w:val="72"/>
        </w:rPr>
        <w:t>2025</w:t>
      </w:r>
      <w:r>
        <w:rPr>
          <w:rFonts w:ascii="Times New Roman" w:eastAsia="方正小标宋_GBK"/>
          <w:b w:val="0"/>
          <w:sz w:val="72"/>
          <w:szCs w:val="72"/>
        </w:rPr>
        <w:t>年度部门决算公开文本</w:t>
      </w:r>
    </w:p>
    <w:p>
      <w:pPr>
        <w:spacing w:line="360" w:lineRule="auto"/>
        <w:jc w:val="center"/>
        <w:rPr>
          <w:rFonts w:ascii="黑体" w:hAnsi="黑体" w:eastAsia="黑体" w:cs="黑体"/>
          <w:sz w:val="56"/>
          <w:szCs w:val="72"/>
        </w:rPr>
      </w:pPr>
    </w:p>
    <w:p>
      <w:pPr>
        <w:spacing w:line="480" w:lineRule="auto"/>
        <w:jc w:val="both"/>
        <w:rPr>
          <w:rFonts w:ascii="黑体" w:hAnsi="黑体" w:eastAsia="黑体" w:cs="黑体"/>
          <w:sz w:val="56"/>
          <w:szCs w:val="72"/>
        </w:rPr>
      </w:pPr>
    </w:p>
    <w:p>
      <w:pPr>
        <w:widowControl/>
        <w:spacing w:before="0" w:beforeLines="0" w:beforeAutospacing="0" w:after="0" w:afterLines="0" w:afterAutospacing="0" w:line="360" w:lineRule="auto"/>
        <w:jc w:val="center"/>
        <w:rPr>
          <w:rFonts w:ascii="Times New Roman" w:eastAsia="楷体_GB2312"/>
          <w:sz w:val="44"/>
          <w:szCs w:val="44"/>
        </w:rPr>
      </w:pPr>
      <w:r>
        <w:rPr>
          <w:rFonts w:ascii="Times New Roman" w:eastAsia="楷体_GB2312"/>
          <w:b w:val="0"/>
          <w:sz w:val="44"/>
          <w:szCs w:val="44"/>
        </w:rPr>
        <w:t>中国人民政治协商会议无极县委员会办公室(本级)</w:t>
      </w:r>
    </w:p>
    <w:p>
      <w:pPr>
        <w:widowControl/>
        <w:spacing w:before="0" w:beforeLines="0" w:beforeAutospacing="0" w:after="0" w:afterLines="0" w:afterAutospacing="0" w:line="240" w:lineRule="auto"/>
        <w:jc w:val="center"/>
        <w:rPr>
          <w:rFonts w:ascii="Times New Roman" w:eastAsia="楷体_GB2312"/>
          <w:sz w:val="44"/>
          <w:szCs w:val="44"/>
        </w:rPr>
      </w:pPr>
      <w:r>
        <w:rPr>
          <w:rFonts w:ascii="Times New Roman" w:eastAsia="楷体_GB2312"/>
          <w:b w:val="0"/>
          <w:sz w:val="44"/>
          <w:szCs w:val="44"/>
        </w:rPr>
        <w:t>(加盖公章）</w:t>
      </w:r>
    </w:p>
    <w:p>
      <w:pPr>
        <w:widowControl/>
        <w:spacing w:before="0" w:beforeLines="0" w:beforeAutospacing="0" w:after="0" w:afterLines="0" w:afterAutospacing="0" w:line="360" w:lineRule="auto"/>
        <w:jc w:val="center"/>
        <w:rPr>
          <w:rFonts w:ascii="Times New Roman" w:eastAsia="楷体_GB2312"/>
          <w:sz w:val="44"/>
          <w:szCs w:val="44"/>
        </w:rPr>
      </w:pPr>
      <w:r>
        <w:rPr>
          <w:rFonts w:ascii="Times New Roman" w:eastAsia="楷体_GB2312"/>
          <w:b w:val="0"/>
          <w:sz w:val="44"/>
          <w:szCs w:val="44"/>
        </w:rPr>
        <w:t>二〇二六年八月</w:t>
      </w:r>
    </w:p>
    <w:p>
      <w:pPr>
        <w:rPr>
          <w:rFonts w:hint="eastAsia" w:ascii="楷体_GB2312" w:hAnsi="楷体_GB2312" w:eastAsia="楷体_GB2312" w:cs="楷体_GB2312"/>
          <w:color w:val="000000" w:themeColor="text1"/>
          <w:kern w:val="0"/>
          <w:sz w:val="44"/>
          <w:szCs w:val="44"/>
          <w:lang w:val="en-US" w:eastAsia="zh-CN"/>
          <w14:shadow w14:blurRad="38100" w14:dist="19050" w14:dir="2700000" w14:sx="100000" w14:sy="100000" w14:kx="0" w14:ky="0" w14:algn="tl">
            <w14:schemeClr w14:val="dk1">
              <w14:alpha w14:val="60000"/>
            </w14:schemeClr>
          </w14:shadow>
          <w14:textFill>
            <w14:solidFill>
              <w14:schemeClr w14:val="tx1"/>
            </w14:solidFill>
          </w14:textFill>
          <w14:props3d w14:extrusionH="0" w14:contourW="0" w14:prstMaterial="clear"/>
        </w:rPr>
      </w:pPr>
      <w:r>
        <w:rPr>
          <w:rFonts w:hint="default" w:ascii="楷体_GB2312" w:hAnsi="楷体_GB2312" w:eastAsia="楷体_GB2312" w:cs="楷体_GB2312"/>
          <w:color w:val="000000" w:themeColor="text1"/>
          <w:kern w:val="0"/>
          <w:sz w:val="44"/>
          <w:szCs w:val="44"/>
          <w:lang w:val="en-US" w:eastAsia="zh-CN"/>
          <w14:shadow w14:blurRad="38100" w14:dist="19050" w14:dir="2700000" w14:sx="100000" w14:sy="100000" w14:kx="0" w14:ky="0" w14:algn="tl">
            <w14:schemeClr w14:val="dk1">
              <w14:alpha w14:val="60000"/>
            </w14:schemeClr>
          </w14:shadow>
          <w14:textFill>
            <w14:solidFill>
              <w14:schemeClr w14:val="tx1"/>
            </w14:solidFill>
          </w14:textFill>
          <w14:props3d w14:extrusionH="0" w14:contourW="0" w14:prstMaterial="clear"/>
        </w:rPr>
        <w:br w:type="page"/>
      </w:r>
    </w:p>
    <w:p>
      <w:pPr>
        <w:snapToGrid w:val="0"/>
        <w:jc w:val="left"/>
        <w:rPr>
          <w:rFonts w:hint="default" w:ascii="楷体_GB2312" w:hAnsi="楷体_GB2312" w:eastAsia="楷体_GB2312" w:cs="楷体_GB2312"/>
          <w:color w:val="000000" w:themeColor="text1"/>
          <w:kern w:val="0"/>
          <w:sz w:val="44"/>
          <w:szCs w:val="44"/>
          <w:lang w:val="en-US" w:eastAsia="zh-CN"/>
          <w14:shadow w14:blurRad="38100" w14:dist="19050" w14:dir="2700000" w14:sx="100000" w14:sy="100000" w14:kx="0" w14:ky="0" w14:algn="tl">
            <w14:schemeClr w14:val="dk1">
              <w14:alpha w14:val="60000"/>
            </w14:schemeClr>
          </w14:shadow>
          <w14:textFill>
            <w14:solidFill>
              <w14:schemeClr w14:val="tx1"/>
            </w14:solidFill>
          </w14:textFill>
          <w14:props3d w14:extrusionH="0" w14:contourW="0" w14:prstMaterial="clear"/>
        </w:rPr>
        <w:sectPr>
          <w:footerReference r:id="rId4" w:type="default"/>
          <w:pgSz w:w="11906" w:h="16838"/>
          <w:pgMar w:top="1531" w:right="1984" w:bottom="1531" w:left="2098" w:header="851" w:footer="992" w:gutter="0"/>
          <w:pgBorders>
            <w:top w:val="none" w:sz="0" w:space="0"/>
            <w:left w:val="none" w:sz="0" w:space="0"/>
            <w:bottom w:val="none" w:sz="0" w:space="0"/>
            <w:right w:val="none" w:sz="0" w:space="0"/>
          </w:pgBorders>
          <w:pgNumType w:start="1"/>
          <w:cols w:space="720" w:num="1"/>
          <w:docGrid w:type="lines" w:linePitch="312" w:charSpace="0"/>
        </w:sectPr>
      </w:pPr>
    </w:p>
    <w:p>
      <w:pPr>
        <w:widowControl/>
        <w:spacing w:before="0" w:beforeLines="0" w:beforeAutospacing="0" w:after="0" w:afterLines="0" w:afterAutospacing="0" w:line="360" w:lineRule="auto"/>
        <w:jc w:val="center"/>
        <w:outlineLvl w:val="0"/>
        <w:rPr>
          <w:rFonts w:ascii="Times New Roman" w:eastAsia="黑体"/>
          <w:sz w:val="44"/>
          <w:szCs w:val="44"/>
        </w:rPr>
      </w:pPr>
      <w:r>
        <w:rPr>
          <w:rFonts w:ascii="Times New Roman" w:eastAsia="黑体"/>
          <w:b w:val="0"/>
          <w:sz w:val="44"/>
          <w:szCs w:val="44"/>
        </w:rPr>
        <w:t>目  录</w:t>
      </w:r>
    </w:p>
    <w:p>
      <w:pPr>
        <w:widowControl/>
        <w:spacing w:after="160" w:line="580" w:lineRule="exact"/>
        <w:ind w:firstLine="640" w:firstLineChars="200"/>
        <w:rPr>
          <w:rFonts w:ascii="Times New Roman" w:hAnsi="Times New Roman" w:eastAsia="黑体" w:cs="Times New Roman"/>
          <w:sz w:val="32"/>
          <w:szCs w:val="32"/>
        </w:rPr>
      </w:pPr>
    </w:p>
    <w:p>
      <w:pPr>
        <w:widowControl/>
        <w:spacing w:before="0" w:beforeLines="0" w:beforeAutospacing="0" w:after="0" w:afterLines="0" w:afterAutospacing="0" w:line="360" w:lineRule="auto"/>
        <w:jc w:val="left"/>
        <w:rPr>
          <w:rFonts w:ascii="Times New Roman" w:eastAsia="黑体"/>
          <w:sz w:val="32"/>
          <w:szCs w:val="32"/>
        </w:rPr>
      </w:pPr>
      <w:r>
        <w:rPr>
          <w:rFonts w:ascii="Times New Roman" w:eastAsia="黑体"/>
          <w:b w:val="0"/>
          <w:sz w:val="32"/>
          <w:szCs w:val="32"/>
        </w:rPr>
        <w:t>第一部分单位概况</w:t>
      </w:r>
    </w:p>
    <w:p>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一、单位职责</w:t>
      </w:r>
    </w:p>
    <w:p>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二、机构设置</w:t>
      </w:r>
    </w:p>
    <w:p>
      <w:pPr>
        <w:widowControl/>
        <w:spacing w:before="0" w:beforeLines="0" w:beforeAutospacing="0" w:after="0" w:afterLines="0" w:afterAutospacing="0" w:line="360" w:lineRule="auto"/>
        <w:jc w:val="left"/>
        <w:outlineLvl w:val="0"/>
        <w:rPr>
          <w:rFonts w:ascii="Times New Roman" w:eastAsia="黑体"/>
          <w:sz w:val="32"/>
          <w:szCs w:val="32"/>
        </w:rPr>
      </w:pPr>
      <w:r>
        <w:rPr>
          <w:rFonts w:ascii="Times New Roman" w:eastAsia="黑体"/>
          <w:b w:val="0"/>
          <w:sz w:val="32"/>
          <w:szCs w:val="32"/>
        </w:rPr>
        <w:t>第二部分 2025年度部门决算报表</w:t>
      </w:r>
    </w:p>
    <w:p>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一、收入支出决算总表</w:t>
      </w:r>
    </w:p>
    <w:p>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二、收入决算表</w:t>
      </w:r>
    </w:p>
    <w:p>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三、支出决算表</w:t>
      </w:r>
    </w:p>
    <w:p>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四、财政拨款收入支出决算总表</w:t>
      </w:r>
    </w:p>
    <w:p>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五、一般公共预算财政拨款支出决算表</w:t>
      </w:r>
    </w:p>
    <w:p>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六、一般公共预算财政拨款基本支出决算明细表</w:t>
      </w:r>
    </w:p>
    <w:p>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七、政府性基金预算财政拨款收入支出决算表</w:t>
      </w:r>
    </w:p>
    <w:p>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八、国有资本经营预算财政拨款支出决算表</w:t>
      </w:r>
    </w:p>
    <w:p>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九、财政拨款“三公”经费支出决算表</w:t>
      </w:r>
    </w:p>
    <w:p>
      <w:pPr>
        <w:widowControl/>
        <w:spacing w:before="0" w:beforeLines="0" w:beforeAutospacing="0" w:after="0" w:afterLines="0" w:afterAutospacing="0" w:line="360" w:lineRule="auto"/>
        <w:jc w:val="left"/>
        <w:rPr>
          <w:rFonts w:ascii="Times New Roman" w:eastAsia="黑体"/>
          <w:sz w:val="32"/>
          <w:szCs w:val="32"/>
        </w:rPr>
      </w:pPr>
      <w:r>
        <w:rPr>
          <w:rFonts w:ascii="Times New Roman" w:eastAsia="黑体"/>
          <w:b w:val="0"/>
          <w:sz w:val="32"/>
          <w:szCs w:val="32"/>
        </w:rPr>
        <w:t>第三部分 2025年度部门决算情况说明</w:t>
      </w:r>
    </w:p>
    <w:p>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一、收入支出决算总体情况说明</w:t>
      </w:r>
    </w:p>
    <w:p>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二、收入决算情况说明</w:t>
      </w:r>
    </w:p>
    <w:p>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三、支出决算情况说明</w:t>
      </w:r>
    </w:p>
    <w:p>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四、财政拨款收入支出决算总体情况说明</w:t>
      </w:r>
    </w:p>
    <w:p>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五、财政拨款“三公”经费支出决算情况说明</w:t>
      </w:r>
    </w:p>
    <w:p>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六、机关运行经费支出说明</w:t>
      </w:r>
    </w:p>
    <w:p>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七、政府采购支出说明</w:t>
      </w:r>
    </w:p>
    <w:p>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八、国有资产占用情况说明</w:t>
      </w:r>
    </w:p>
    <w:p>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九、关于2025年度绩效评价情况的说明</w:t>
      </w:r>
    </w:p>
    <w:p>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十、其他需要说明的情况</w:t>
      </w:r>
    </w:p>
    <w:p>
      <w:pPr>
        <w:widowControl/>
        <w:spacing w:before="0" w:beforeLines="0" w:beforeAutospacing="0" w:after="0" w:afterLines="0" w:afterAutospacing="0" w:line="360" w:lineRule="auto"/>
        <w:jc w:val="left"/>
        <w:rPr>
          <w:rFonts w:ascii="Times New Roman" w:eastAsia="黑体"/>
          <w:sz w:val="32"/>
          <w:szCs w:val="32"/>
        </w:rPr>
      </w:pPr>
      <w:r>
        <w:rPr>
          <w:rFonts w:ascii="Times New Roman" w:eastAsia="黑体"/>
          <w:b w:val="0"/>
          <w:sz w:val="32"/>
          <w:szCs w:val="32"/>
        </w:rPr>
        <w:t>第四部分 名词解释</w:t>
      </w:r>
    </w:p>
    <w:p>
      <w:pPr>
        <w:widowControl/>
        <w:spacing w:after="160" w:line="580" w:lineRule="exact"/>
        <w:rPr>
          <w:rFonts w:hint="eastAsia" w:ascii="Times New Roman" w:hAnsi="Times New Roman" w:eastAsia="黑体" w:cs="Times New Roman"/>
          <w:sz w:val="32"/>
          <w:szCs w:val="32"/>
          <w:lang w:val="en-US" w:eastAsia="zh-CN"/>
        </w:rPr>
        <w:sectPr>
          <w:headerReference r:id="rId6" w:type="first"/>
          <w:footerReference r:id="rId8" w:type="first"/>
          <w:headerReference r:id="rId5" w:type="default"/>
          <w:footerReference r:id="rId7" w:type="default"/>
          <w:pgSz w:w="11906" w:h="16838"/>
          <w:pgMar w:top="1474" w:right="1531" w:bottom="1474" w:left="1531" w:header="851" w:footer="992" w:gutter="0"/>
          <w:pgBorders>
            <w:top w:val="none" w:sz="0" w:space="0"/>
            <w:left w:val="none" w:sz="0" w:space="0"/>
            <w:bottom w:val="none" w:sz="0" w:space="0"/>
            <w:right w:val="none" w:sz="0" w:space="0"/>
          </w:pgBorders>
          <w:cols w:space="0" w:num="1"/>
          <w:titlePg/>
          <w:docGrid w:type="lines" w:linePitch="312" w:charSpace="0"/>
        </w:sectPr>
      </w:pPr>
    </w:p>
    <w:p>
      <w:pPr>
        <w:pStyle w:val="10"/>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both"/>
        <w:rPr>
          <w:rFonts w:hint="eastAsia" w:ascii="黑体" w:hAnsi="宋体" w:eastAsia="黑体" w:cs="黑体"/>
          <w:i w:val="0"/>
          <w:iCs w:val="0"/>
          <w:caps w:val="0"/>
          <w:color w:val="000000"/>
          <w:spacing w:val="0"/>
          <w:sz w:val="72"/>
          <w:szCs w:val="72"/>
          <w:highlight w:val="none"/>
          <w:shd w:val="clear" w:fill="FFFFFF"/>
          <w:lang w:val="en-US" w:eastAsia="zh-CN"/>
        </w:rPr>
      </w:pPr>
    </w:p>
    <w:p>
      <w:pPr>
        <w:pStyle w:val="10"/>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both"/>
        <w:rPr>
          <w:rFonts w:hint="eastAsia" w:ascii="黑体" w:hAnsi="宋体" w:eastAsia="黑体" w:cs="黑体"/>
          <w:i w:val="0"/>
          <w:iCs w:val="0"/>
          <w:caps w:val="0"/>
          <w:color w:val="000000"/>
          <w:spacing w:val="0"/>
          <w:sz w:val="72"/>
          <w:szCs w:val="72"/>
          <w:highlight w:val="none"/>
          <w:shd w:val="clear" w:fill="FFFFFF"/>
          <w:lang w:val="en-US" w:eastAsia="zh-CN"/>
        </w:rPr>
      </w:pPr>
    </w:p>
    <w:p>
      <w:pPr>
        <w:pStyle w:val="10"/>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both"/>
        <w:rPr>
          <w:rFonts w:hint="eastAsia" w:ascii="黑体" w:hAnsi="宋体" w:eastAsia="黑体" w:cs="黑体"/>
          <w:i w:val="0"/>
          <w:iCs w:val="0"/>
          <w:caps w:val="0"/>
          <w:color w:val="000000"/>
          <w:spacing w:val="0"/>
          <w:sz w:val="72"/>
          <w:szCs w:val="72"/>
          <w:highlight w:val="none"/>
          <w:shd w:val="clear" w:fill="FFFFFF"/>
          <w:lang w:val="en-US" w:eastAsia="zh-CN"/>
        </w:rPr>
      </w:pPr>
    </w:p>
    <w:p>
      <w:pPr>
        <w:pStyle w:val="10"/>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both"/>
        <w:rPr>
          <w:rFonts w:hint="eastAsia" w:ascii="黑体" w:hAnsi="宋体" w:eastAsia="黑体" w:cs="黑体"/>
          <w:i w:val="0"/>
          <w:iCs w:val="0"/>
          <w:caps w:val="0"/>
          <w:color w:val="000000"/>
          <w:spacing w:val="0"/>
          <w:sz w:val="72"/>
          <w:szCs w:val="72"/>
          <w:highlight w:val="none"/>
          <w:shd w:val="clear" w:fill="FFFFFF"/>
          <w:lang w:val="en-US" w:eastAsia="zh-CN"/>
        </w:rPr>
      </w:pPr>
    </w:p>
    <w:p>
      <w:pPr>
        <w:pStyle w:val="10"/>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both"/>
        <w:rPr>
          <w:rFonts w:hint="eastAsia" w:ascii="黑体" w:hAnsi="宋体" w:eastAsia="黑体" w:cs="黑体"/>
          <w:i w:val="0"/>
          <w:iCs w:val="0"/>
          <w:caps w:val="0"/>
          <w:color w:val="000000"/>
          <w:spacing w:val="0"/>
          <w:sz w:val="72"/>
          <w:szCs w:val="72"/>
          <w:highlight w:val="none"/>
          <w:shd w:val="clear" w:fill="FFFFFF"/>
          <w:lang w:val="en-US" w:eastAsia="zh-CN"/>
        </w:rPr>
      </w:pPr>
    </w:p>
    <w:p>
      <w:pPr>
        <w:widowControl/>
        <w:spacing w:before="0" w:beforeLines="0" w:beforeAutospacing="0" w:after="0" w:afterLines="0" w:afterAutospacing="0" w:line="360" w:lineRule="auto"/>
        <w:jc w:val="center"/>
        <w:outlineLvl w:val="0"/>
        <w:rPr>
          <w:rFonts w:ascii="Times New Roman" w:eastAsia="黑体"/>
          <w:sz w:val="44"/>
          <w:szCs w:val="44"/>
        </w:rPr>
      </w:pPr>
      <w:r>
        <w:rPr>
          <w:rFonts w:ascii="Times New Roman" w:eastAsia="黑体"/>
          <w:b w:val="0"/>
          <w:sz w:val="44"/>
          <w:szCs w:val="44"/>
        </w:rPr>
        <w:t>第一部分单位概况</w:t>
      </w:r>
    </w:p>
    <w:p>
      <w:pPr>
        <w:pStyle w:val="10"/>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both"/>
        <w:rPr>
          <w:rFonts w:hint="eastAsia" w:ascii="黑体" w:hAnsi="宋体" w:eastAsia="黑体" w:cs="黑体"/>
          <w:i w:val="0"/>
          <w:iCs w:val="0"/>
          <w:caps w:val="0"/>
          <w:color w:val="000000"/>
          <w:spacing w:val="0"/>
          <w:sz w:val="72"/>
          <w:szCs w:val="72"/>
          <w:highlight w:val="none"/>
          <w:shd w:val="clear" w:fill="FFFFFF"/>
          <w:lang w:val="en-US" w:eastAsia="zh-CN"/>
        </w:rPr>
      </w:pPr>
    </w:p>
    <w:p>
      <w:pPr>
        <w:pStyle w:val="10"/>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both"/>
        <w:rPr>
          <w:rFonts w:hint="eastAsia" w:ascii="黑体" w:hAnsi="宋体" w:eastAsia="黑体" w:cs="黑体"/>
          <w:i w:val="0"/>
          <w:iCs w:val="0"/>
          <w:caps w:val="0"/>
          <w:color w:val="000000"/>
          <w:spacing w:val="0"/>
          <w:sz w:val="72"/>
          <w:szCs w:val="72"/>
          <w:highlight w:val="none"/>
          <w:shd w:val="clear" w:fill="FFFFFF"/>
          <w:lang w:val="en-US" w:eastAsia="zh-CN"/>
        </w:rPr>
      </w:pPr>
    </w:p>
    <w:p>
      <w:pPr>
        <w:pStyle w:val="10"/>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both"/>
        <w:rPr>
          <w:rFonts w:hint="eastAsia" w:ascii="黑体" w:hAnsi="宋体" w:eastAsia="黑体" w:cs="黑体"/>
          <w:i w:val="0"/>
          <w:iCs w:val="0"/>
          <w:caps w:val="0"/>
          <w:color w:val="000000"/>
          <w:spacing w:val="0"/>
          <w:sz w:val="72"/>
          <w:szCs w:val="72"/>
          <w:highlight w:val="none"/>
          <w:shd w:val="clear" w:fill="FFFFFF"/>
          <w:lang w:val="en-US" w:eastAsia="zh-CN"/>
        </w:rPr>
      </w:pPr>
    </w:p>
    <w:p>
      <w:pPr>
        <w:pStyle w:val="10"/>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both"/>
        <w:rPr>
          <w:rFonts w:hint="eastAsia" w:ascii="黑体" w:hAnsi="宋体" w:eastAsia="黑体" w:cs="黑体"/>
          <w:i w:val="0"/>
          <w:iCs w:val="0"/>
          <w:caps w:val="0"/>
          <w:color w:val="000000"/>
          <w:spacing w:val="0"/>
          <w:sz w:val="72"/>
          <w:szCs w:val="72"/>
          <w:highlight w:val="none"/>
          <w:shd w:val="clear" w:fill="FFFFFF"/>
          <w:lang w:val="en-US" w:eastAsia="zh-CN"/>
        </w:rPr>
      </w:pPr>
    </w:p>
    <w:p>
      <w:pPr>
        <w:pStyle w:val="10"/>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both"/>
        <w:rPr>
          <w:rFonts w:hint="eastAsia" w:ascii="黑体" w:hAnsi="宋体" w:eastAsia="黑体" w:cs="黑体"/>
          <w:i w:val="0"/>
          <w:iCs w:val="0"/>
          <w:caps w:val="0"/>
          <w:color w:val="000000"/>
          <w:spacing w:val="0"/>
          <w:sz w:val="72"/>
          <w:szCs w:val="72"/>
          <w:highlight w:val="none"/>
          <w:shd w:val="clear" w:fill="FFFFFF"/>
          <w:lang w:val="en-US" w:eastAsia="zh-CN"/>
        </w:rPr>
      </w:pPr>
    </w:p>
    <w:p>
      <w:pPr>
        <w:pStyle w:val="10"/>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both"/>
        <w:rPr>
          <w:rFonts w:hint="eastAsia" w:ascii="黑体" w:hAnsi="宋体" w:eastAsia="黑体" w:cs="黑体"/>
          <w:i w:val="0"/>
          <w:iCs w:val="0"/>
          <w:caps w:val="0"/>
          <w:color w:val="000000"/>
          <w:spacing w:val="0"/>
          <w:sz w:val="72"/>
          <w:szCs w:val="72"/>
          <w:highlight w:val="none"/>
          <w:shd w:val="clear" w:fill="FFFFFF"/>
          <w:lang w:val="en-US" w:eastAsia="zh-CN"/>
        </w:rPr>
      </w:pPr>
    </w:p>
    <w:p>
      <w:pPr>
        <w:pStyle w:val="10"/>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both"/>
        <w:rPr>
          <w:rFonts w:hint="eastAsia" w:ascii="黑体" w:hAnsi="宋体" w:eastAsia="黑体" w:cs="黑体"/>
          <w:i w:val="0"/>
          <w:iCs w:val="0"/>
          <w:caps w:val="0"/>
          <w:color w:val="000000"/>
          <w:spacing w:val="0"/>
          <w:sz w:val="72"/>
          <w:szCs w:val="72"/>
          <w:highlight w:val="none"/>
          <w:shd w:val="clear" w:fill="FFFFFF"/>
          <w:lang w:val="en-US" w:eastAsia="zh-CN"/>
        </w:rPr>
      </w:pPr>
    </w:p>
    <w:p>
      <w:pPr>
        <w:pStyle w:val="10"/>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both"/>
        <w:rPr>
          <w:rFonts w:hint="eastAsia" w:ascii="黑体" w:hAnsi="宋体" w:eastAsia="黑体" w:cs="黑体"/>
          <w:i w:val="0"/>
          <w:iCs w:val="0"/>
          <w:caps w:val="0"/>
          <w:color w:val="000000"/>
          <w:spacing w:val="0"/>
          <w:sz w:val="72"/>
          <w:szCs w:val="72"/>
          <w:highlight w:val="none"/>
          <w:shd w:val="clear" w:fill="FFFFFF"/>
          <w:lang w:val="en-US" w:eastAsia="zh-CN"/>
        </w:rPr>
      </w:pPr>
    </w:p>
    <w:p>
      <w:pPr>
        <w:pStyle w:val="10"/>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left"/>
        <w:outlineLvl w:val="1"/>
        <w:rPr>
          <w:rFonts w:hint="eastAsia" w:ascii="黑体" w:hAnsi="宋体" w:eastAsia="黑体" w:cs="黑体"/>
          <w:i w:val="0"/>
          <w:iCs w:val="0"/>
          <w:caps w:val="0"/>
          <w:color w:val="000000"/>
          <w:spacing w:val="0"/>
          <w:sz w:val="32"/>
          <w:szCs w:val="32"/>
          <w:highlight w:val="none"/>
          <w:shd w:val="clear" w:fill="FFFFFF"/>
          <w:lang w:val="en-US" w:eastAsia="zh-CN"/>
        </w:rPr>
      </w:pPr>
    </w:p>
    <w:p>
      <w:pPr>
        <w:widowControl/>
        <w:spacing w:before="0" w:beforeLines="0" w:beforeAutospacing="0" w:after="0" w:afterLines="0" w:afterAutospacing="0" w:line="360" w:lineRule="auto"/>
        <w:jc w:val="left"/>
        <w:outlineLvl w:val="1"/>
        <w:rPr>
          <w:rFonts w:ascii="Times New Roman" w:eastAsia="黑体"/>
          <w:sz w:val="32"/>
          <w:szCs w:val="32"/>
        </w:rPr>
      </w:pPr>
      <w:r>
        <w:rPr>
          <w:rFonts w:ascii="Times New Roman" w:eastAsia="黑体"/>
          <w:b w:val="0"/>
          <w:sz w:val="32"/>
          <w:szCs w:val="32"/>
        </w:rPr>
        <w:t>一、单位职责</w:t>
      </w:r>
    </w:p>
    <w:p>
      <w:pPr>
        <w:widowControl/>
        <w:spacing w:line="360" w:lineRule="auto"/>
        <w:ind w:firstLine="640" w:firstLineChars="200"/>
        <w:jc w:val="left"/>
        <w:rPr>
          <w:rFonts w:ascii="Times New Roman" w:eastAsia="仿宋_GB2312"/>
          <w:sz w:val="32"/>
          <w:szCs w:val="32"/>
        </w:rPr>
      </w:pPr>
      <w:r>
        <w:rPr>
          <w:rFonts w:ascii="Times New Roman" w:eastAsia="仿宋_GB2312"/>
          <w:sz w:val="32"/>
          <w:szCs w:val="32"/>
        </w:rPr>
        <w:t>根据全国政协组织章程，县政协主要职能是对全县大政方针政策的讨论以及全县重要事务和群众生活</w:t>
      </w:r>
      <w:r>
        <w:rPr>
          <w:rFonts w:hint="eastAsia" w:ascii="宋体" w:hAnsi="宋体" w:eastAsia="宋体"/>
          <w:sz w:val="32"/>
          <w:szCs w:val="32"/>
        </w:rPr>
        <w:t>,</w:t>
      </w:r>
      <w:r>
        <w:rPr>
          <w:rFonts w:ascii="Times New Roman" w:eastAsia="仿宋_GB2312"/>
          <w:sz w:val="32"/>
          <w:szCs w:val="32"/>
        </w:rPr>
        <w:t xml:space="preserve">统一战线内部关系等重要问题进行政治协商，并通过提案、社情民意、会议等形式提出意见和建议，发挥民主监督、参政议政作用；充分发扬社会主义民主，反映社会各界意见，促进我县各级党委、政府重大决策的科学化、民主化。 </w:t>
      </w:r>
    </w:p>
    <w:p>
      <w:pPr>
        <w:widowControl/>
        <w:spacing w:before="0" w:beforeLines="0" w:beforeAutospacing="0" w:after="0" w:afterLines="0" w:afterAutospacing="0" w:line="360" w:lineRule="auto"/>
        <w:jc w:val="left"/>
        <w:outlineLvl w:val="1"/>
        <w:rPr>
          <w:rFonts w:ascii="Times New Roman" w:eastAsia="黑体"/>
          <w:sz w:val="32"/>
          <w:szCs w:val="32"/>
        </w:rPr>
      </w:pPr>
      <w:r>
        <w:rPr>
          <w:rFonts w:ascii="Times New Roman" w:eastAsia="黑体"/>
          <w:b w:val="0"/>
          <w:sz w:val="32"/>
          <w:szCs w:val="32"/>
        </w:rPr>
        <w:t>二、机构设置</w:t>
      </w:r>
    </w:p>
    <w:p>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从决算编报单位构成看，纳入2025年度本部门决算汇编范围的独立核算单位（以下简称“单位”）共</w:t>
      </w:r>
      <w:r>
        <w:rPr>
          <w:rFonts w:hint="eastAsia" w:ascii="Times New Roman" w:eastAsia="仿宋_GB2312"/>
          <w:b w:val="0"/>
          <w:sz w:val="32"/>
          <w:szCs w:val="32"/>
          <w:lang w:val="en-US" w:eastAsia="zh-CN"/>
        </w:rPr>
        <w:t>1</w:t>
      </w:r>
      <w:r>
        <w:rPr>
          <w:rFonts w:ascii="Times New Roman" w:eastAsia="仿宋_GB2312"/>
          <w:b w:val="0"/>
          <w:sz w:val="32"/>
          <w:szCs w:val="32"/>
        </w:rPr>
        <w:t>个，具体情况如下：</w:t>
      </w:r>
    </w:p>
    <w:tbl>
      <w:tblPr>
        <w:tblStyle w:val="11"/>
        <w:tblpPr w:leftFromText="180" w:rightFromText="180" w:vertAnchor="text" w:horzAnchor="page" w:tblpXSpec="center" w:tblpY="10"/>
        <w:tblOverlap w:val="never"/>
        <w:tblW w:w="9580"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85"/>
        <w:gridCol w:w="3485"/>
        <w:gridCol w:w="2445"/>
        <w:gridCol w:w="2665"/>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11" w:hRule="atLeast"/>
          <w:jc w:val="center"/>
        </w:trPr>
        <w:tc>
          <w:tcPr>
            <w:tcW w:w="985" w:type="dxa"/>
            <w:vAlign w:val="center"/>
          </w:tcPr>
          <w:p>
            <w:pPr>
              <w:spacing w:line="560" w:lineRule="exact"/>
              <w:jc w:val="center"/>
              <w:rPr>
                <w:rFonts w:ascii="仿宋_GB2312" w:hAnsi="Calibri" w:eastAsia="仿宋_GB2312" w:cs="ArialUnicodeMS"/>
                <w:b/>
                <w:bCs/>
                <w:kern w:val="0"/>
                <w:sz w:val="28"/>
                <w:szCs w:val="28"/>
              </w:rPr>
            </w:pPr>
            <w:r>
              <w:rPr>
                <w:rFonts w:hint="eastAsia" w:ascii="仿宋_GB2312" w:hAnsi="Calibri" w:eastAsia="仿宋_GB2312" w:cs="ArialUnicodeMS"/>
                <w:b/>
                <w:bCs/>
                <w:kern w:val="0"/>
                <w:sz w:val="28"/>
                <w:szCs w:val="28"/>
              </w:rPr>
              <w:t>序号</w:t>
            </w:r>
          </w:p>
        </w:tc>
        <w:tc>
          <w:tcPr>
            <w:tcW w:w="3485" w:type="dxa"/>
            <w:vAlign w:val="center"/>
          </w:tcPr>
          <w:p>
            <w:pPr>
              <w:spacing w:line="560" w:lineRule="exact"/>
              <w:jc w:val="center"/>
              <w:rPr>
                <w:rFonts w:ascii="仿宋_GB2312" w:hAnsi="Calibri" w:eastAsia="仿宋_GB2312" w:cs="ArialUnicodeMS"/>
                <w:b/>
                <w:bCs/>
                <w:kern w:val="0"/>
                <w:sz w:val="28"/>
                <w:szCs w:val="28"/>
              </w:rPr>
            </w:pPr>
            <w:r>
              <w:rPr>
                <w:rFonts w:hint="eastAsia" w:ascii="仿宋_GB2312" w:hAnsi="Calibri" w:eastAsia="仿宋_GB2312" w:cs="ArialUnicodeMS"/>
                <w:b/>
                <w:bCs/>
                <w:kern w:val="0"/>
                <w:sz w:val="28"/>
                <w:szCs w:val="28"/>
              </w:rPr>
              <w:t>单位名称</w:t>
            </w:r>
          </w:p>
        </w:tc>
        <w:tc>
          <w:tcPr>
            <w:tcW w:w="2445" w:type="dxa"/>
            <w:vAlign w:val="center"/>
          </w:tcPr>
          <w:p>
            <w:pPr>
              <w:spacing w:line="560" w:lineRule="exact"/>
              <w:jc w:val="center"/>
              <w:rPr>
                <w:rFonts w:ascii="仿宋_GB2312" w:hAnsi="Calibri" w:eastAsia="仿宋_GB2312" w:cs="ArialUnicodeMS"/>
                <w:b/>
                <w:bCs/>
                <w:kern w:val="0"/>
                <w:sz w:val="28"/>
                <w:szCs w:val="28"/>
              </w:rPr>
            </w:pPr>
            <w:r>
              <w:rPr>
                <w:rFonts w:hint="eastAsia" w:ascii="仿宋_GB2312" w:hAnsi="Calibri" w:eastAsia="仿宋_GB2312" w:cs="ArialUnicodeMS"/>
                <w:b/>
                <w:bCs/>
                <w:kern w:val="0"/>
                <w:sz w:val="28"/>
                <w:szCs w:val="28"/>
              </w:rPr>
              <w:t>单位基本性质</w:t>
            </w:r>
          </w:p>
        </w:tc>
        <w:tc>
          <w:tcPr>
            <w:tcW w:w="2665" w:type="dxa"/>
            <w:vAlign w:val="center"/>
          </w:tcPr>
          <w:p>
            <w:pPr>
              <w:spacing w:line="560" w:lineRule="exact"/>
              <w:jc w:val="center"/>
              <w:rPr>
                <w:rFonts w:ascii="仿宋_GB2312" w:hAnsi="Calibri" w:eastAsia="仿宋_GB2312" w:cs="ArialUnicodeMS"/>
                <w:b/>
                <w:bCs/>
                <w:kern w:val="0"/>
                <w:sz w:val="28"/>
                <w:szCs w:val="28"/>
              </w:rPr>
            </w:pPr>
            <w:r>
              <w:rPr>
                <w:rFonts w:hint="eastAsia" w:ascii="仿宋_GB2312" w:hAnsi="Calibri" w:eastAsia="仿宋_GB2312" w:cs="ArialUnicodeMS"/>
                <w:b/>
                <w:bCs/>
                <w:kern w:val="0"/>
                <w:sz w:val="28"/>
                <w:szCs w:val="28"/>
              </w:rPr>
              <w:t>经费形式</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6" w:hRule="atLeast"/>
          <w:jc w:val="center"/>
        </w:trPr>
        <w:tc>
          <w:tcPr>
            <w:tcW w:w="985" w:type="dxa"/>
          </w:tcPr>
          <w:p>
            <w:pPr>
              <w:spacing w:line="560" w:lineRule="exact"/>
              <w:jc w:val="center"/>
              <w:rPr>
                <w:rFonts w:ascii="仿宋_GB2312" w:hAnsi="Calibri" w:eastAsia="仿宋_GB2312" w:cs="ArialUnicodeMS"/>
                <w:kern w:val="0"/>
                <w:sz w:val="28"/>
                <w:szCs w:val="28"/>
              </w:rPr>
            </w:pPr>
            <w:r>
              <w:rPr>
                <w:rFonts w:hint="eastAsia" w:ascii="仿宋_GB2312" w:hAnsi="Calibri" w:eastAsia="仿宋_GB2312" w:cs="ArialUnicodeMS"/>
                <w:kern w:val="0"/>
                <w:sz w:val="28"/>
                <w:szCs w:val="28"/>
                <w:lang w:val="en-US" w:eastAsia="zh-CN"/>
              </w:rPr>
              <w:t>1</w:t>
            </w:r>
          </w:p>
        </w:tc>
        <w:tc>
          <w:tcPr>
            <w:tcW w:w="3485" w:type="dxa"/>
          </w:tcPr>
          <w:p>
            <w:pPr>
              <w:spacing w:line="560" w:lineRule="exact"/>
              <w:jc w:val="center"/>
              <w:rPr>
                <w:rFonts w:ascii="仿宋_GB2312" w:hAnsi="Calibri" w:eastAsia="仿宋_GB2312" w:cs="ArialUnicodeMS"/>
                <w:kern w:val="0"/>
                <w:sz w:val="28"/>
                <w:szCs w:val="28"/>
              </w:rPr>
            </w:pPr>
            <w:r>
              <w:rPr>
                <w:rFonts w:hint="eastAsia" w:ascii="仿宋_GB2312" w:hAnsi="Calibri" w:eastAsia="仿宋_GB2312" w:cs="ArialUnicodeMS"/>
                <w:kern w:val="0"/>
                <w:sz w:val="28"/>
                <w:szCs w:val="28"/>
                <w:lang w:val="en-US" w:eastAsia="zh-CN"/>
              </w:rPr>
              <w:t>中国人民政治协商会议无极县委员会办公室(本级)</w:t>
            </w:r>
          </w:p>
        </w:tc>
        <w:tc>
          <w:tcPr>
            <w:tcW w:w="2445" w:type="dxa"/>
          </w:tcPr>
          <w:p>
            <w:pPr>
              <w:spacing w:line="560" w:lineRule="exact"/>
              <w:jc w:val="center"/>
              <w:rPr>
                <w:rFonts w:ascii="仿宋_GB2312" w:hAnsi="Calibri" w:eastAsia="仿宋_GB2312" w:cs="ArialUnicodeMS"/>
                <w:kern w:val="0"/>
                <w:sz w:val="28"/>
                <w:szCs w:val="28"/>
              </w:rPr>
            </w:pPr>
            <w:r>
              <w:rPr>
                <w:rFonts w:hint="eastAsia" w:ascii="仿宋_GB2312" w:hAnsi="Calibri" w:eastAsia="仿宋_GB2312" w:cs="ArialUnicodeMS"/>
                <w:kern w:val="0"/>
                <w:sz w:val="28"/>
                <w:szCs w:val="28"/>
              </w:rPr>
              <w:t>行政单位</w:t>
            </w:r>
          </w:p>
        </w:tc>
        <w:tc>
          <w:tcPr>
            <w:tcW w:w="2665" w:type="dxa"/>
          </w:tcPr>
          <w:p>
            <w:pPr>
              <w:spacing w:line="560" w:lineRule="exact"/>
              <w:jc w:val="center"/>
              <w:rPr>
                <w:rFonts w:ascii="仿宋_GB2312" w:hAnsi="Calibri" w:eastAsia="仿宋_GB2312" w:cs="ArialUnicodeMS"/>
                <w:kern w:val="0"/>
                <w:sz w:val="28"/>
                <w:szCs w:val="28"/>
              </w:rPr>
            </w:pPr>
            <w:r>
              <w:rPr>
                <w:rFonts w:hint="eastAsia" w:ascii="仿宋_GB2312" w:hAnsi="Calibri" w:eastAsia="仿宋_GB2312" w:cs="ArialUnicodeMS"/>
                <w:kern w:val="0"/>
                <w:sz w:val="28"/>
                <w:szCs w:val="28"/>
                <w:lang w:val="en-US" w:eastAsia="zh-CN"/>
              </w:rPr>
              <w:t>全额</w:t>
            </w:r>
          </w:p>
        </w:tc>
      </w:tr>
    </w:tbl>
    <w:p>
      <w:pPr>
        <w:rPr>
          <w:rFonts w:hint="eastAsia" w:ascii="Times New Roman" w:hAnsi="Times New Roman" w:eastAsia="黑体" w:cs="Times New Roman"/>
          <w:sz w:val="32"/>
          <w:szCs w:val="32"/>
          <w:highlight w:val="yellow"/>
        </w:rPr>
      </w:pPr>
      <w:r>
        <w:rPr>
          <w:rFonts w:hint="eastAsia" w:ascii="Times New Roman" w:hAnsi="Times New Roman" w:eastAsia="黑体" w:cs="Times New Roman"/>
          <w:sz w:val="32"/>
          <w:szCs w:val="32"/>
          <w:highlight w:val="yellow"/>
        </w:rPr>
        <w:br w:type="page"/>
      </w:r>
    </w:p>
    <w:p>
      <w:pPr>
        <w:pStyle w:val="1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outlineLvl w:val="0"/>
        <w:rPr>
          <w:rFonts w:hint="eastAsia" w:ascii="黑体" w:hAnsi="宋体" w:eastAsia="黑体" w:cs="黑体"/>
          <w:i w:val="0"/>
          <w:iCs w:val="0"/>
          <w:caps w:val="0"/>
          <w:color w:val="000000"/>
          <w:spacing w:val="0"/>
          <w:sz w:val="72"/>
          <w:szCs w:val="72"/>
          <w:highlight w:val="none"/>
          <w:shd w:val="clear" w:fill="FFFFFF"/>
          <w:lang w:val="en-US" w:eastAsia="zh-CN"/>
        </w:rPr>
      </w:pPr>
    </w:p>
    <w:p>
      <w:pPr>
        <w:pStyle w:val="1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outlineLvl w:val="0"/>
        <w:rPr>
          <w:rFonts w:hint="eastAsia" w:ascii="黑体" w:hAnsi="宋体" w:eastAsia="黑体" w:cs="黑体"/>
          <w:i w:val="0"/>
          <w:iCs w:val="0"/>
          <w:caps w:val="0"/>
          <w:color w:val="000000"/>
          <w:spacing w:val="0"/>
          <w:sz w:val="72"/>
          <w:szCs w:val="72"/>
          <w:highlight w:val="none"/>
          <w:shd w:val="clear" w:fill="FFFFFF"/>
          <w:lang w:val="en-US" w:eastAsia="zh-CN"/>
        </w:rPr>
      </w:pPr>
    </w:p>
    <w:p>
      <w:pPr>
        <w:pStyle w:val="1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outlineLvl w:val="0"/>
        <w:rPr>
          <w:rFonts w:hint="eastAsia" w:ascii="黑体" w:hAnsi="宋体" w:eastAsia="黑体" w:cs="黑体"/>
          <w:i w:val="0"/>
          <w:iCs w:val="0"/>
          <w:caps w:val="0"/>
          <w:color w:val="000000"/>
          <w:spacing w:val="0"/>
          <w:sz w:val="72"/>
          <w:szCs w:val="72"/>
          <w:highlight w:val="none"/>
          <w:shd w:val="clear" w:fill="FFFFFF"/>
          <w:lang w:val="en-US" w:eastAsia="zh-CN"/>
        </w:rPr>
      </w:pPr>
    </w:p>
    <w:p>
      <w:pPr>
        <w:pStyle w:val="1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outlineLvl w:val="0"/>
        <w:rPr>
          <w:rFonts w:hint="eastAsia" w:ascii="黑体" w:hAnsi="宋体" w:eastAsia="黑体" w:cs="黑体"/>
          <w:i w:val="0"/>
          <w:iCs w:val="0"/>
          <w:caps w:val="0"/>
          <w:color w:val="000000"/>
          <w:spacing w:val="0"/>
          <w:sz w:val="72"/>
          <w:szCs w:val="72"/>
          <w:highlight w:val="none"/>
          <w:shd w:val="clear" w:fill="FFFFFF"/>
          <w:lang w:val="en-US" w:eastAsia="zh-CN"/>
        </w:rPr>
      </w:pPr>
    </w:p>
    <w:p>
      <w:pPr>
        <w:pStyle w:val="1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outlineLvl w:val="0"/>
        <w:rPr>
          <w:rFonts w:hint="eastAsia" w:ascii="黑体" w:hAnsi="宋体" w:eastAsia="黑体" w:cs="黑体"/>
          <w:i w:val="0"/>
          <w:iCs w:val="0"/>
          <w:caps w:val="0"/>
          <w:color w:val="000000"/>
          <w:spacing w:val="0"/>
          <w:sz w:val="72"/>
          <w:szCs w:val="72"/>
          <w:highlight w:val="none"/>
          <w:shd w:val="clear" w:fill="FFFFFF"/>
          <w:lang w:val="en-US" w:eastAsia="zh-CN"/>
        </w:rPr>
      </w:pPr>
    </w:p>
    <w:p>
      <w:pPr>
        <w:widowControl/>
        <w:spacing w:before="0" w:beforeLines="0" w:beforeAutospacing="0" w:after="0" w:afterLines="0" w:afterAutospacing="0" w:line="360" w:lineRule="auto"/>
        <w:jc w:val="center"/>
        <w:outlineLvl w:val="0"/>
        <w:rPr>
          <w:rFonts w:ascii="Times New Roman" w:eastAsia="黑体"/>
          <w:sz w:val="44"/>
          <w:szCs w:val="44"/>
        </w:rPr>
      </w:pPr>
      <w:r>
        <w:rPr>
          <w:rFonts w:ascii="Times New Roman" w:eastAsia="黑体"/>
          <w:b w:val="0"/>
          <w:sz w:val="44"/>
          <w:szCs w:val="44"/>
        </w:rPr>
        <w:t>第二部分</w:t>
      </w:r>
      <w:r>
        <w:rPr>
          <w:rFonts w:ascii="Times New Roman" w:eastAsia="仿宋_GB2312"/>
          <w:b w:val="0"/>
          <w:sz w:val="44"/>
          <w:szCs w:val="44"/>
        </w:rPr>
        <w:t>2025</w:t>
      </w:r>
      <w:r>
        <w:rPr>
          <w:rFonts w:ascii="Times New Roman" w:eastAsia="黑体"/>
          <w:b w:val="0"/>
          <w:sz w:val="44"/>
          <w:szCs w:val="44"/>
        </w:rPr>
        <w:t>年度部门决算表</w:t>
      </w:r>
    </w:p>
    <w:p>
      <w:pPr>
        <w:pStyle w:val="1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outlineLvl w:val="0"/>
        <w:rPr>
          <w:rFonts w:hint="eastAsia" w:ascii="黑体" w:hAnsi="宋体" w:eastAsia="黑体" w:cs="黑体"/>
          <w:i w:val="0"/>
          <w:iCs w:val="0"/>
          <w:caps w:val="0"/>
          <w:color w:val="000000"/>
          <w:spacing w:val="0"/>
          <w:sz w:val="72"/>
          <w:szCs w:val="72"/>
          <w:highlight w:val="none"/>
          <w:shd w:val="clear" w:fill="FFFFFF"/>
          <w:lang w:val="en-US" w:eastAsia="zh-CN"/>
        </w:rPr>
      </w:pPr>
    </w:p>
    <w:p>
      <w:pPr>
        <w:pStyle w:val="1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outlineLvl w:val="0"/>
        <w:rPr>
          <w:rFonts w:hint="eastAsia" w:ascii="黑体" w:hAnsi="宋体" w:eastAsia="黑体" w:cs="黑体"/>
          <w:i w:val="0"/>
          <w:iCs w:val="0"/>
          <w:caps w:val="0"/>
          <w:color w:val="000000"/>
          <w:spacing w:val="0"/>
          <w:sz w:val="72"/>
          <w:szCs w:val="72"/>
          <w:highlight w:val="none"/>
          <w:shd w:val="clear" w:fill="FFFFFF"/>
          <w:lang w:val="en-US" w:eastAsia="zh-CN"/>
        </w:rPr>
      </w:pPr>
    </w:p>
    <w:p>
      <w:pPr>
        <w:pStyle w:val="1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outlineLvl w:val="0"/>
        <w:rPr>
          <w:rFonts w:hint="eastAsia" w:ascii="黑体" w:hAnsi="宋体" w:eastAsia="黑体" w:cs="黑体"/>
          <w:i w:val="0"/>
          <w:iCs w:val="0"/>
          <w:caps w:val="0"/>
          <w:color w:val="000000"/>
          <w:spacing w:val="0"/>
          <w:sz w:val="72"/>
          <w:szCs w:val="72"/>
          <w:highlight w:val="none"/>
          <w:shd w:val="clear" w:fill="FFFFFF"/>
          <w:lang w:val="en-US" w:eastAsia="zh-CN"/>
        </w:rPr>
      </w:pPr>
    </w:p>
    <w:p>
      <w:pPr>
        <w:pStyle w:val="1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outlineLvl w:val="0"/>
        <w:rPr>
          <w:rFonts w:hint="eastAsia" w:ascii="黑体" w:hAnsi="宋体" w:eastAsia="黑体" w:cs="黑体"/>
          <w:i w:val="0"/>
          <w:iCs w:val="0"/>
          <w:caps w:val="0"/>
          <w:color w:val="000000"/>
          <w:spacing w:val="0"/>
          <w:sz w:val="72"/>
          <w:szCs w:val="72"/>
          <w:highlight w:val="none"/>
          <w:shd w:val="clear" w:fill="FFFFFF"/>
          <w:lang w:val="en-US" w:eastAsia="zh-CN"/>
        </w:rPr>
      </w:pPr>
    </w:p>
    <w:p>
      <w:pPr>
        <w:pStyle w:val="1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outlineLvl w:val="0"/>
        <w:rPr>
          <w:rFonts w:hint="eastAsia" w:ascii="黑体" w:hAnsi="宋体" w:eastAsia="黑体" w:cs="黑体"/>
          <w:i w:val="0"/>
          <w:iCs w:val="0"/>
          <w:caps w:val="0"/>
          <w:color w:val="000000"/>
          <w:spacing w:val="0"/>
          <w:sz w:val="72"/>
          <w:szCs w:val="72"/>
          <w:highlight w:val="none"/>
          <w:shd w:val="clear" w:fill="FFFFFF"/>
          <w:lang w:val="en-US" w:eastAsia="zh-CN"/>
        </w:rPr>
      </w:pPr>
    </w:p>
    <w:p>
      <w:pPr>
        <w:pStyle w:val="1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outlineLvl w:val="0"/>
        <w:rPr>
          <w:rFonts w:hint="eastAsia" w:ascii="黑体" w:hAnsi="宋体" w:eastAsia="黑体" w:cs="黑体"/>
          <w:i w:val="0"/>
          <w:iCs w:val="0"/>
          <w:caps w:val="0"/>
          <w:color w:val="000000"/>
          <w:spacing w:val="0"/>
          <w:sz w:val="72"/>
          <w:szCs w:val="72"/>
          <w:highlight w:val="none"/>
          <w:shd w:val="clear" w:fill="FFFFFF"/>
          <w:lang w:val="en-US" w:eastAsia="zh-CN"/>
        </w:rPr>
      </w:pPr>
    </w:p>
    <w:p>
      <w:pPr>
        <w:pStyle w:val="1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outlineLvl w:val="0"/>
        <w:rPr>
          <w:rFonts w:hint="eastAsia" w:ascii="黑体" w:hAnsi="宋体" w:eastAsia="黑体" w:cs="黑体"/>
          <w:i w:val="0"/>
          <w:iCs w:val="0"/>
          <w:caps w:val="0"/>
          <w:color w:val="000000"/>
          <w:spacing w:val="0"/>
          <w:sz w:val="72"/>
          <w:szCs w:val="72"/>
          <w:highlight w:val="none"/>
          <w:shd w:val="clear" w:fill="FFFFFF"/>
          <w:lang w:val="en-US" w:eastAsia="zh-CN"/>
        </w:rPr>
      </w:pPr>
    </w:p>
    <w:p>
      <w:pPr>
        <w:pStyle w:val="1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outlineLvl w:val="0"/>
        <w:rPr>
          <w:rFonts w:hint="eastAsia" w:ascii="黑体" w:hAnsi="宋体" w:eastAsia="黑体" w:cs="黑体"/>
          <w:i w:val="0"/>
          <w:iCs w:val="0"/>
          <w:caps w:val="0"/>
          <w:color w:val="000000"/>
          <w:spacing w:val="0"/>
          <w:sz w:val="72"/>
          <w:szCs w:val="72"/>
          <w:highlight w:val="none"/>
          <w:shd w:val="clear" w:fill="FFFFFF"/>
          <w:lang w:val="en-US" w:eastAsia="zh-CN"/>
        </w:rPr>
      </w:pPr>
    </w:p>
    <w:p>
      <w:pPr>
        <w:bidi w:val="0"/>
        <w:rPr>
          <w:rFonts w:hint="default"/>
          <w:lang w:val="en-US" w:eastAsia="zh-CN"/>
        </w:rPr>
      </w:pPr>
    </w:p>
    <w:p>
      <w:pPr>
        <w:bidi w:val="0"/>
        <w:rPr>
          <w:rFonts w:hint="default"/>
          <w:lang w:val="en-US" w:eastAsia="zh-CN"/>
        </w:rPr>
      </w:pPr>
    </w:p>
    <w:tbl>
      <w:tblPr>
        <w:tblStyle w:val="11"/>
        <w:tblW w:w="7250" w:type="pct"/>
        <w:tblInd w:w="-1817"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3346"/>
        <w:gridCol w:w="624"/>
        <w:gridCol w:w="611"/>
        <w:gridCol w:w="1154"/>
        <w:gridCol w:w="1791"/>
        <w:gridCol w:w="1300"/>
        <w:gridCol w:w="675"/>
        <w:gridCol w:w="2124"/>
        <w:gridCol w:w="34"/>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361" w:hRule="atLeast"/>
        </w:trPr>
        <w:tc>
          <w:tcPr>
            <w:tcW w:w="4985" w:type="pct"/>
            <w:gridSpan w:val="8"/>
            <w:tcBorders>
              <w:top w:val="nil"/>
              <w:left w:val="nil"/>
              <w:bottom w:val="nil"/>
              <w:right w:val="nil"/>
            </w:tcBorders>
            <w:noWrap/>
            <w:vAlign w:val="bottom"/>
          </w:tcPr>
          <w:p>
            <w:pPr>
              <w:keepNext w:val="0"/>
              <w:keepLines w:val="0"/>
              <w:widowControl/>
              <w:suppressLineNumbers w:val="0"/>
              <w:jc w:val="center"/>
              <w:textAlignment w:val="bottom"/>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b w:val="0"/>
                <w:bCs/>
                <w:color w:val="auto"/>
                <w:kern w:val="0"/>
                <w:sz w:val="32"/>
                <w:szCs w:val="32"/>
                <w:highlight w:val="none"/>
                <w:lang w:val="en-US" w:eastAsia="zh-CN"/>
              </w:rPr>
              <w:t>收入支出决算总表</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357" w:hRule="atLeast"/>
        </w:trPr>
        <w:tc>
          <w:tcPr>
            <w:tcW w:w="4985" w:type="pct"/>
            <w:gridSpan w:val="8"/>
            <w:tcBorders>
              <w:top w:val="nil"/>
              <w:left w:val="nil"/>
              <w:bottom w:val="nil"/>
              <w:right w:val="nil"/>
            </w:tcBorders>
            <w:noWrap/>
            <w:vAlign w:val="bottom"/>
          </w:tcPr>
          <w:p>
            <w:pPr>
              <w:keepNext w:val="0"/>
              <w:keepLines w:val="0"/>
              <w:widowControl/>
              <w:suppressLineNumbers w:val="0"/>
              <w:jc w:val="right"/>
              <w:textAlignment w:val="bottom"/>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 xml:space="preserve"> 公开</w:t>
            </w:r>
            <w:r>
              <w:rPr>
                <w:rFonts w:hint="eastAsia" w:ascii="Times New Roman" w:hAnsi="Times New Roman" w:eastAsia="宋体" w:cs="Times New Roman"/>
                <w:i w:val="0"/>
                <w:iCs w:val="0"/>
                <w:color w:val="000000"/>
                <w:sz w:val="20"/>
                <w:szCs w:val="20"/>
                <w:highlight w:val="none"/>
                <w:u w:val="none"/>
                <w:lang w:val="en-US" w:eastAsia="zh-CN"/>
              </w:rPr>
              <w:t>01</w:t>
            </w: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表</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351" w:hRule="atLeast"/>
        </w:trPr>
        <w:tc>
          <w:tcPr>
            <w:tcW w:w="1964" w:type="pct"/>
            <w:gridSpan w:val="3"/>
            <w:tcBorders>
              <w:top w:val="nil"/>
              <w:left w:val="nil"/>
              <w:bottom w:val="single" w:color="000000" w:themeColor="text1" w:sz="8" w:space="0"/>
              <w:right w:val="nil"/>
            </w:tcBorders>
            <w:noWrap/>
            <w:vAlign w:val="bottom"/>
          </w:tcPr>
          <w:p>
            <w:pPr>
              <w:jc w:val="both"/>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部门（单位）：中国人民政治协商会议无极县委员会办公室(本级)</w:t>
            </w:r>
          </w:p>
        </w:tc>
        <w:tc>
          <w:tcPr>
            <w:tcW w:w="1262" w:type="pct"/>
            <w:gridSpan w:val="2"/>
            <w:tcBorders>
              <w:top w:val="nil"/>
              <w:left w:val="nil"/>
              <w:bottom w:val="single" w:color="000000" w:themeColor="text1" w:sz="8" w:space="0"/>
              <w:right w:val="nil"/>
            </w:tcBorders>
            <w:noWrap/>
            <w:vAlign w:val="bottom"/>
          </w:tcPr>
          <w:p>
            <w:pPr>
              <w:jc w:val="center"/>
              <w:rPr>
                <w:rFonts w:hint="default" w:ascii="宋体" w:hAnsi="宋体" w:eastAsia="宋体" w:cs="宋体"/>
                <w:i w:val="0"/>
                <w:iCs w:val="0"/>
                <w:color w:val="000000"/>
                <w:kern w:val="0"/>
                <w:sz w:val="20"/>
                <w:szCs w:val="20"/>
                <w:highlight w:val="none"/>
                <w:u w:val="none"/>
                <w:lang w:val="en-US" w:eastAsia="zh-CN" w:bidi="ar"/>
              </w:rPr>
            </w:pPr>
            <w:r>
              <w:rPr>
                <w:rFonts w:hint="eastAsia" w:ascii="Times New Roman" w:hAnsi="Times New Roman" w:eastAsia="宋体" w:cs="Times New Roman"/>
                <w:i w:val="0"/>
                <w:iCs w:val="0"/>
                <w:color w:val="000000"/>
                <w:sz w:val="20"/>
                <w:szCs w:val="20"/>
                <w:highlight w:val="none"/>
                <w:u w:val="none"/>
                <w:lang w:val="en-US" w:eastAsia="zh-CN"/>
              </w:rPr>
              <w:t>2025</w:t>
            </w: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年度</w:t>
            </w:r>
          </w:p>
        </w:tc>
        <w:tc>
          <w:tcPr>
            <w:tcW w:w="1757" w:type="pct"/>
            <w:gridSpan w:val="3"/>
            <w:tcBorders>
              <w:top w:val="nil"/>
              <w:left w:val="nil"/>
              <w:bottom w:val="single" w:color="000000" w:themeColor="text1" w:sz="8" w:space="0"/>
              <w:right w:val="nil"/>
            </w:tcBorders>
            <w:noWrap/>
            <w:vAlign w:val="bottom"/>
          </w:tcPr>
          <w:p>
            <w:pPr>
              <w:jc w:val="right"/>
              <w:rPr>
                <w:rFonts w:hint="default" w:ascii="宋体" w:hAnsi="宋体" w:eastAsia="宋体" w:cs="宋体"/>
                <w:i w:val="0"/>
                <w:iCs w:val="0"/>
                <w:color w:val="000000"/>
                <w:kern w:val="0"/>
                <w:sz w:val="20"/>
                <w:szCs w:val="20"/>
                <w:highlight w:val="none"/>
                <w:u w:val="none"/>
                <w:lang w:val="en-US" w:eastAsia="zh-CN" w:bidi="ar"/>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金额单位：万元</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544" w:hRule="atLeast"/>
        </w:trPr>
        <w:tc>
          <w:tcPr>
            <w:tcW w:w="2459" w:type="pct"/>
            <w:gridSpan w:val="4"/>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宋体" w:hAnsi="宋体" w:eastAsia="宋体" w:cs="宋体"/>
                <w:i w:val="0"/>
                <w:iCs w:val="0"/>
                <w:color w:val="000000"/>
                <w:kern w:val="0"/>
                <w:sz w:val="20"/>
                <w:szCs w:val="20"/>
                <w:highlight w:val="none"/>
                <w:u w:val="none"/>
                <w:lang w:val="en-US" w:eastAsia="zh-CN" w:bidi="ar"/>
              </w:rPr>
              <w:t>收入</w:t>
            </w:r>
          </w:p>
        </w:tc>
        <w:tc>
          <w:tcPr>
            <w:tcW w:w="2525" w:type="pct"/>
            <w:gridSpan w:val="4"/>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宋体" w:hAnsi="宋体" w:eastAsia="宋体" w:cs="宋体"/>
                <w:i w:val="0"/>
                <w:iCs w:val="0"/>
                <w:color w:val="000000"/>
                <w:kern w:val="0"/>
                <w:sz w:val="20"/>
                <w:szCs w:val="20"/>
                <w:highlight w:val="none"/>
                <w:u w:val="none"/>
                <w:lang w:val="en-US" w:eastAsia="zh-CN" w:bidi="ar"/>
              </w:rPr>
              <w:t>支出</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308" w:hRule="atLeast"/>
        </w:trPr>
        <w:tc>
          <w:tcPr>
            <w:tcW w:w="143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项目</w:t>
            </w:r>
          </w:p>
        </w:tc>
        <w:tc>
          <w:tcPr>
            <w:tcW w:w="26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行次</w:t>
            </w:r>
          </w:p>
        </w:tc>
        <w:tc>
          <w:tcPr>
            <w:tcW w:w="75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决算数</w:t>
            </w:r>
          </w:p>
        </w:tc>
        <w:tc>
          <w:tcPr>
            <w:tcW w:w="132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项目</w:t>
            </w:r>
          </w:p>
        </w:tc>
        <w:tc>
          <w:tcPr>
            <w:tcW w:w="2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行次</w:t>
            </w:r>
          </w:p>
        </w:tc>
        <w:tc>
          <w:tcPr>
            <w:tcW w:w="91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决算数</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476" w:hRule="atLeast"/>
        </w:trPr>
        <w:tc>
          <w:tcPr>
            <w:tcW w:w="143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栏次</w:t>
            </w:r>
          </w:p>
        </w:tc>
        <w:tc>
          <w:tcPr>
            <w:tcW w:w="26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center"/>
              <w:rPr>
                <w:rFonts w:hint="eastAsia" w:ascii="宋体" w:hAnsi="宋体" w:eastAsia="宋体" w:cs="宋体"/>
                <w:i w:val="0"/>
                <w:iCs w:val="0"/>
                <w:color w:val="000000"/>
                <w:sz w:val="20"/>
                <w:szCs w:val="20"/>
                <w:highlight w:val="none"/>
                <w:u w:val="none"/>
              </w:rPr>
            </w:pPr>
          </w:p>
        </w:tc>
        <w:tc>
          <w:tcPr>
            <w:tcW w:w="75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Times New Roman" w:hAnsi="Times New Roman" w:eastAsia="宋体" w:cs="Times New Roman"/>
                <w:i w:val="0"/>
                <w:iCs w:val="0"/>
                <w:color w:val="000000"/>
                <w:sz w:val="20"/>
                <w:szCs w:val="20"/>
                <w:highlight w:val="none"/>
                <w:u w:val="none"/>
                <w:lang w:val="en-US" w:eastAsia="zh-CN"/>
              </w:rPr>
              <w:t>1</w:t>
            </w:r>
          </w:p>
        </w:tc>
        <w:tc>
          <w:tcPr>
            <w:tcW w:w="132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栏次</w:t>
            </w:r>
          </w:p>
        </w:tc>
        <w:tc>
          <w:tcPr>
            <w:tcW w:w="2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center"/>
              <w:rPr>
                <w:rFonts w:hint="eastAsia" w:ascii="宋体" w:hAnsi="宋体" w:eastAsia="宋体" w:cs="宋体"/>
                <w:i w:val="0"/>
                <w:iCs w:val="0"/>
                <w:color w:val="000000"/>
                <w:sz w:val="20"/>
                <w:szCs w:val="20"/>
                <w:highlight w:val="none"/>
                <w:u w:val="none"/>
              </w:rPr>
            </w:pPr>
          </w:p>
        </w:tc>
        <w:tc>
          <w:tcPr>
            <w:tcW w:w="91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Times New Roman" w:hAnsi="Times New Roman" w:eastAsia="宋体" w:cs="Times New Roman"/>
                <w:i w:val="0"/>
                <w:iCs w:val="0"/>
                <w:color w:val="000000"/>
                <w:sz w:val="20"/>
                <w:szCs w:val="20"/>
                <w:highlight w:val="none"/>
                <w:u w:val="none"/>
                <w:lang w:val="en-US" w:eastAsia="zh-CN"/>
              </w:rPr>
              <w:t>2</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476" w:hRule="atLeast"/>
        </w:trPr>
        <w:tc>
          <w:tcPr>
            <w:tcW w:w="143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一、一般公共预算财政拨款收入</w:t>
            </w:r>
          </w:p>
        </w:tc>
        <w:tc>
          <w:tcPr>
            <w:tcW w:w="26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宋体" w:hAnsi="宋体" w:eastAsia="宋体" w:cs="宋体"/>
                <w:i w:val="0"/>
                <w:iCs w:val="0"/>
                <w:color w:val="000000"/>
                <w:sz w:val="20"/>
                <w:szCs w:val="20"/>
                <w:highlight w:val="none"/>
                <w:u w:val="none"/>
                <w:lang w:val="en-US" w:eastAsia="zh-CN"/>
              </w:rPr>
              <w:t>1</w:t>
            </w:r>
          </w:p>
        </w:tc>
        <w:tc>
          <w:tcPr>
            <w:tcW w:w="75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544.68</w:t>
            </w:r>
          </w:p>
        </w:tc>
        <w:tc>
          <w:tcPr>
            <w:tcW w:w="132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一、一般公共服务支出</w:t>
            </w:r>
          </w:p>
        </w:tc>
        <w:tc>
          <w:tcPr>
            <w:tcW w:w="2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rPr>
            </w:pPr>
            <w:r>
              <w:rPr>
                <w:rFonts w:hint="default" w:ascii="Times New Roman" w:hAnsi="Times New Roman" w:eastAsia="宋体" w:cs="Times New Roman"/>
                <w:i w:val="0"/>
                <w:iCs w:val="0"/>
                <w:color w:val="000000"/>
                <w:kern w:val="0"/>
                <w:sz w:val="20"/>
                <w:szCs w:val="20"/>
                <w:highlight w:val="none"/>
                <w:u w:val="none"/>
                <w:lang w:val="en-US" w:eastAsia="zh-CN" w:bidi="ar"/>
              </w:rPr>
              <w:t>32</w:t>
            </w:r>
          </w:p>
        </w:tc>
        <w:tc>
          <w:tcPr>
            <w:tcW w:w="91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455.23</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476" w:hRule="atLeast"/>
        </w:trPr>
        <w:tc>
          <w:tcPr>
            <w:tcW w:w="143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二、政府性基金预算财政拨款收入</w:t>
            </w:r>
          </w:p>
        </w:tc>
        <w:tc>
          <w:tcPr>
            <w:tcW w:w="26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2</w:t>
            </w:r>
          </w:p>
        </w:tc>
        <w:tc>
          <w:tcPr>
            <w:tcW w:w="75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132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二、外交支出</w:t>
            </w:r>
          </w:p>
        </w:tc>
        <w:tc>
          <w:tcPr>
            <w:tcW w:w="2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rPr>
            </w:pPr>
            <w:r>
              <w:rPr>
                <w:rFonts w:hint="default" w:ascii="Times New Roman" w:hAnsi="Times New Roman" w:eastAsia="宋体" w:cs="Times New Roman"/>
                <w:i w:val="0"/>
                <w:iCs w:val="0"/>
                <w:color w:val="000000"/>
                <w:kern w:val="0"/>
                <w:sz w:val="20"/>
                <w:szCs w:val="20"/>
                <w:highlight w:val="none"/>
                <w:u w:val="none"/>
                <w:lang w:val="en-US" w:eastAsia="zh-CN" w:bidi="ar"/>
              </w:rPr>
              <w:t>33</w:t>
            </w:r>
          </w:p>
        </w:tc>
        <w:tc>
          <w:tcPr>
            <w:tcW w:w="91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476" w:hRule="atLeast"/>
        </w:trPr>
        <w:tc>
          <w:tcPr>
            <w:tcW w:w="143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三、国有资本经营预算财政拨款收入</w:t>
            </w:r>
          </w:p>
        </w:tc>
        <w:tc>
          <w:tcPr>
            <w:tcW w:w="26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3</w:t>
            </w:r>
          </w:p>
        </w:tc>
        <w:tc>
          <w:tcPr>
            <w:tcW w:w="75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132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三、国防支出</w:t>
            </w:r>
          </w:p>
        </w:tc>
        <w:tc>
          <w:tcPr>
            <w:tcW w:w="2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rPr>
            </w:pPr>
            <w:r>
              <w:rPr>
                <w:rFonts w:hint="default" w:ascii="Times New Roman" w:hAnsi="Times New Roman" w:eastAsia="宋体" w:cs="Times New Roman"/>
                <w:i w:val="0"/>
                <w:iCs w:val="0"/>
                <w:color w:val="000000"/>
                <w:kern w:val="0"/>
                <w:sz w:val="20"/>
                <w:szCs w:val="20"/>
                <w:highlight w:val="none"/>
                <w:u w:val="none"/>
                <w:lang w:val="en-US" w:eastAsia="zh-CN" w:bidi="ar"/>
              </w:rPr>
              <w:t>34</w:t>
            </w:r>
          </w:p>
        </w:tc>
        <w:tc>
          <w:tcPr>
            <w:tcW w:w="91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476" w:hRule="atLeast"/>
        </w:trPr>
        <w:tc>
          <w:tcPr>
            <w:tcW w:w="143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四、上级补助收入</w:t>
            </w:r>
          </w:p>
        </w:tc>
        <w:tc>
          <w:tcPr>
            <w:tcW w:w="26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4</w:t>
            </w:r>
          </w:p>
        </w:tc>
        <w:tc>
          <w:tcPr>
            <w:tcW w:w="75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132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四、公共安全支出</w:t>
            </w:r>
          </w:p>
        </w:tc>
        <w:tc>
          <w:tcPr>
            <w:tcW w:w="2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rPr>
            </w:pPr>
            <w:r>
              <w:rPr>
                <w:rFonts w:hint="default" w:ascii="Times New Roman" w:hAnsi="Times New Roman" w:eastAsia="宋体" w:cs="Times New Roman"/>
                <w:i w:val="0"/>
                <w:iCs w:val="0"/>
                <w:color w:val="000000"/>
                <w:kern w:val="0"/>
                <w:sz w:val="20"/>
                <w:szCs w:val="20"/>
                <w:highlight w:val="none"/>
                <w:u w:val="none"/>
                <w:lang w:val="en-US" w:eastAsia="zh-CN" w:bidi="ar"/>
              </w:rPr>
              <w:t>35</w:t>
            </w:r>
          </w:p>
        </w:tc>
        <w:tc>
          <w:tcPr>
            <w:tcW w:w="91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476" w:hRule="atLeast"/>
        </w:trPr>
        <w:tc>
          <w:tcPr>
            <w:tcW w:w="143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五、事业收入</w:t>
            </w:r>
          </w:p>
        </w:tc>
        <w:tc>
          <w:tcPr>
            <w:tcW w:w="26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5</w:t>
            </w:r>
          </w:p>
        </w:tc>
        <w:tc>
          <w:tcPr>
            <w:tcW w:w="75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132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五、教育支出</w:t>
            </w:r>
          </w:p>
        </w:tc>
        <w:tc>
          <w:tcPr>
            <w:tcW w:w="2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rPr>
            </w:pPr>
            <w:r>
              <w:rPr>
                <w:rFonts w:hint="default" w:ascii="Times New Roman" w:hAnsi="Times New Roman" w:eastAsia="宋体" w:cs="Times New Roman"/>
                <w:i w:val="0"/>
                <w:iCs w:val="0"/>
                <w:color w:val="000000"/>
                <w:kern w:val="0"/>
                <w:sz w:val="20"/>
                <w:szCs w:val="20"/>
                <w:highlight w:val="none"/>
                <w:u w:val="none"/>
                <w:lang w:val="en-US" w:eastAsia="zh-CN" w:bidi="ar"/>
              </w:rPr>
              <w:t>36</w:t>
            </w:r>
          </w:p>
        </w:tc>
        <w:tc>
          <w:tcPr>
            <w:tcW w:w="91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476" w:hRule="atLeast"/>
        </w:trPr>
        <w:tc>
          <w:tcPr>
            <w:tcW w:w="143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六、经营收入</w:t>
            </w:r>
          </w:p>
        </w:tc>
        <w:tc>
          <w:tcPr>
            <w:tcW w:w="26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6</w:t>
            </w:r>
          </w:p>
        </w:tc>
        <w:tc>
          <w:tcPr>
            <w:tcW w:w="75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132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六、科学技术支出</w:t>
            </w:r>
          </w:p>
        </w:tc>
        <w:tc>
          <w:tcPr>
            <w:tcW w:w="2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rPr>
            </w:pPr>
            <w:r>
              <w:rPr>
                <w:rFonts w:hint="default" w:ascii="Times New Roman" w:hAnsi="Times New Roman" w:eastAsia="宋体" w:cs="Times New Roman"/>
                <w:i w:val="0"/>
                <w:iCs w:val="0"/>
                <w:color w:val="000000"/>
                <w:kern w:val="0"/>
                <w:sz w:val="20"/>
                <w:szCs w:val="20"/>
                <w:highlight w:val="none"/>
                <w:u w:val="none"/>
                <w:lang w:val="en-US" w:eastAsia="zh-CN" w:bidi="ar"/>
              </w:rPr>
              <w:t>37</w:t>
            </w:r>
          </w:p>
        </w:tc>
        <w:tc>
          <w:tcPr>
            <w:tcW w:w="91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476" w:hRule="atLeast"/>
        </w:trPr>
        <w:tc>
          <w:tcPr>
            <w:tcW w:w="143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七、附属单位上缴收入</w:t>
            </w:r>
          </w:p>
        </w:tc>
        <w:tc>
          <w:tcPr>
            <w:tcW w:w="26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7</w:t>
            </w:r>
          </w:p>
        </w:tc>
        <w:tc>
          <w:tcPr>
            <w:tcW w:w="75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132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七、文化旅游体育与传媒支出</w:t>
            </w:r>
          </w:p>
        </w:tc>
        <w:tc>
          <w:tcPr>
            <w:tcW w:w="2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rPr>
            </w:pPr>
            <w:r>
              <w:rPr>
                <w:rFonts w:hint="default" w:ascii="Times New Roman" w:hAnsi="Times New Roman" w:eastAsia="宋体" w:cs="Times New Roman"/>
                <w:i w:val="0"/>
                <w:iCs w:val="0"/>
                <w:color w:val="000000"/>
                <w:kern w:val="0"/>
                <w:sz w:val="20"/>
                <w:szCs w:val="20"/>
                <w:highlight w:val="none"/>
                <w:u w:val="none"/>
                <w:lang w:val="en-US" w:eastAsia="zh-CN" w:bidi="ar"/>
              </w:rPr>
              <w:t>38</w:t>
            </w:r>
          </w:p>
        </w:tc>
        <w:tc>
          <w:tcPr>
            <w:tcW w:w="91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476" w:hRule="atLeast"/>
        </w:trPr>
        <w:tc>
          <w:tcPr>
            <w:tcW w:w="143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八、其他收入</w:t>
            </w:r>
          </w:p>
        </w:tc>
        <w:tc>
          <w:tcPr>
            <w:tcW w:w="26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8</w:t>
            </w:r>
          </w:p>
        </w:tc>
        <w:tc>
          <w:tcPr>
            <w:tcW w:w="75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132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八、社会保障和就业支出</w:t>
            </w:r>
          </w:p>
        </w:tc>
        <w:tc>
          <w:tcPr>
            <w:tcW w:w="2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rPr>
            </w:pPr>
            <w:r>
              <w:rPr>
                <w:rFonts w:hint="default" w:ascii="Times New Roman" w:hAnsi="Times New Roman" w:eastAsia="宋体" w:cs="Times New Roman"/>
                <w:i w:val="0"/>
                <w:iCs w:val="0"/>
                <w:color w:val="000000"/>
                <w:kern w:val="0"/>
                <w:sz w:val="20"/>
                <w:szCs w:val="20"/>
                <w:highlight w:val="none"/>
                <w:u w:val="none"/>
                <w:lang w:val="en-US" w:eastAsia="zh-CN" w:bidi="ar"/>
              </w:rPr>
              <w:t>39</w:t>
            </w:r>
          </w:p>
        </w:tc>
        <w:tc>
          <w:tcPr>
            <w:tcW w:w="91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71.37</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476" w:hRule="atLeast"/>
        </w:trPr>
        <w:tc>
          <w:tcPr>
            <w:tcW w:w="143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宋体" w:hAnsi="宋体" w:eastAsia="宋体" w:cs="宋体"/>
                <w:i w:val="0"/>
                <w:iCs w:val="0"/>
                <w:color w:val="000000"/>
                <w:sz w:val="20"/>
                <w:szCs w:val="20"/>
                <w:highlight w:val="none"/>
                <w:u w:val="none"/>
              </w:rPr>
            </w:pPr>
          </w:p>
        </w:tc>
        <w:tc>
          <w:tcPr>
            <w:tcW w:w="26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9</w:t>
            </w:r>
          </w:p>
        </w:tc>
        <w:tc>
          <w:tcPr>
            <w:tcW w:w="75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132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九、卫生健康支出</w:t>
            </w:r>
          </w:p>
        </w:tc>
        <w:tc>
          <w:tcPr>
            <w:tcW w:w="2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eastAsia="zh-CN"/>
              </w:rPr>
            </w:pPr>
            <w:r>
              <w:rPr>
                <w:rFonts w:hint="default" w:ascii="Times New Roman" w:hAnsi="Times New Roman" w:eastAsia="宋体" w:cs="Times New Roman"/>
                <w:i w:val="0"/>
                <w:iCs w:val="0"/>
                <w:color w:val="000000"/>
                <w:sz w:val="20"/>
                <w:szCs w:val="20"/>
                <w:highlight w:val="none"/>
                <w:u w:val="none"/>
                <w:lang w:val="en-US" w:eastAsia="zh-CN"/>
              </w:rPr>
              <w:t>40</w:t>
            </w:r>
          </w:p>
        </w:tc>
        <w:tc>
          <w:tcPr>
            <w:tcW w:w="91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18.08</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476" w:hRule="atLeast"/>
        </w:trPr>
        <w:tc>
          <w:tcPr>
            <w:tcW w:w="143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宋体" w:hAnsi="宋体" w:eastAsia="宋体" w:cs="宋体"/>
                <w:i w:val="0"/>
                <w:iCs w:val="0"/>
                <w:color w:val="000000"/>
                <w:sz w:val="20"/>
                <w:szCs w:val="20"/>
                <w:highlight w:val="none"/>
                <w:u w:val="none"/>
              </w:rPr>
            </w:pPr>
          </w:p>
        </w:tc>
        <w:tc>
          <w:tcPr>
            <w:tcW w:w="26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10</w:t>
            </w:r>
          </w:p>
        </w:tc>
        <w:tc>
          <w:tcPr>
            <w:tcW w:w="75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132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十、节能环保支出</w:t>
            </w:r>
          </w:p>
        </w:tc>
        <w:tc>
          <w:tcPr>
            <w:tcW w:w="2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rPr>
            </w:pPr>
            <w:r>
              <w:rPr>
                <w:rFonts w:hint="default" w:ascii="Times New Roman" w:hAnsi="Times New Roman" w:eastAsia="宋体" w:cs="Times New Roman"/>
                <w:i w:val="0"/>
                <w:iCs w:val="0"/>
                <w:color w:val="000000"/>
                <w:kern w:val="0"/>
                <w:sz w:val="20"/>
                <w:szCs w:val="20"/>
                <w:highlight w:val="none"/>
                <w:u w:val="none"/>
                <w:lang w:val="en-US" w:eastAsia="zh-CN" w:bidi="ar"/>
              </w:rPr>
              <w:t>41</w:t>
            </w:r>
          </w:p>
        </w:tc>
        <w:tc>
          <w:tcPr>
            <w:tcW w:w="91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476" w:hRule="atLeast"/>
        </w:trPr>
        <w:tc>
          <w:tcPr>
            <w:tcW w:w="143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宋体" w:hAnsi="宋体" w:eastAsia="宋体" w:cs="宋体"/>
                <w:i w:val="0"/>
                <w:iCs w:val="0"/>
                <w:color w:val="000000"/>
                <w:sz w:val="20"/>
                <w:szCs w:val="20"/>
                <w:highlight w:val="none"/>
                <w:u w:val="none"/>
              </w:rPr>
            </w:pPr>
          </w:p>
        </w:tc>
        <w:tc>
          <w:tcPr>
            <w:tcW w:w="26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11</w:t>
            </w:r>
          </w:p>
        </w:tc>
        <w:tc>
          <w:tcPr>
            <w:tcW w:w="75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132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十一、城乡社区支出</w:t>
            </w:r>
          </w:p>
        </w:tc>
        <w:tc>
          <w:tcPr>
            <w:tcW w:w="2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rPr>
            </w:pPr>
            <w:r>
              <w:rPr>
                <w:rFonts w:hint="default" w:ascii="Times New Roman" w:hAnsi="Times New Roman" w:eastAsia="宋体" w:cs="Times New Roman"/>
                <w:i w:val="0"/>
                <w:iCs w:val="0"/>
                <w:color w:val="000000"/>
                <w:kern w:val="0"/>
                <w:sz w:val="20"/>
                <w:szCs w:val="20"/>
                <w:highlight w:val="none"/>
                <w:u w:val="none"/>
                <w:lang w:val="en-US" w:eastAsia="zh-CN" w:bidi="ar"/>
              </w:rPr>
              <w:t>42</w:t>
            </w:r>
          </w:p>
        </w:tc>
        <w:tc>
          <w:tcPr>
            <w:tcW w:w="91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476" w:hRule="atLeast"/>
        </w:trPr>
        <w:tc>
          <w:tcPr>
            <w:tcW w:w="143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宋体" w:hAnsi="宋体" w:eastAsia="宋体" w:cs="宋体"/>
                <w:i w:val="0"/>
                <w:iCs w:val="0"/>
                <w:color w:val="000000"/>
                <w:sz w:val="20"/>
                <w:szCs w:val="20"/>
                <w:highlight w:val="none"/>
                <w:u w:val="none"/>
              </w:rPr>
            </w:pPr>
          </w:p>
        </w:tc>
        <w:tc>
          <w:tcPr>
            <w:tcW w:w="26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12</w:t>
            </w:r>
          </w:p>
        </w:tc>
        <w:tc>
          <w:tcPr>
            <w:tcW w:w="75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132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十二、农林水支出</w:t>
            </w:r>
          </w:p>
        </w:tc>
        <w:tc>
          <w:tcPr>
            <w:tcW w:w="2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rPr>
            </w:pPr>
            <w:r>
              <w:rPr>
                <w:rFonts w:hint="default" w:ascii="Times New Roman" w:hAnsi="Times New Roman" w:eastAsia="宋体" w:cs="Times New Roman"/>
                <w:i w:val="0"/>
                <w:iCs w:val="0"/>
                <w:color w:val="000000"/>
                <w:kern w:val="0"/>
                <w:sz w:val="20"/>
                <w:szCs w:val="20"/>
                <w:highlight w:val="none"/>
                <w:u w:val="none"/>
                <w:lang w:val="en-US" w:eastAsia="zh-CN" w:bidi="ar"/>
              </w:rPr>
              <w:t>43</w:t>
            </w:r>
          </w:p>
        </w:tc>
        <w:tc>
          <w:tcPr>
            <w:tcW w:w="91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539" w:hRule="atLeast"/>
        </w:trPr>
        <w:tc>
          <w:tcPr>
            <w:tcW w:w="143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宋体" w:hAnsi="宋体" w:eastAsia="宋体" w:cs="宋体"/>
                <w:i w:val="0"/>
                <w:iCs w:val="0"/>
                <w:color w:val="000000"/>
                <w:sz w:val="20"/>
                <w:szCs w:val="20"/>
                <w:highlight w:val="none"/>
                <w:u w:val="none"/>
              </w:rPr>
            </w:pPr>
          </w:p>
        </w:tc>
        <w:tc>
          <w:tcPr>
            <w:tcW w:w="26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13</w:t>
            </w:r>
          </w:p>
        </w:tc>
        <w:tc>
          <w:tcPr>
            <w:tcW w:w="75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132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十三、交通运输支出</w:t>
            </w:r>
          </w:p>
        </w:tc>
        <w:tc>
          <w:tcPr>
            <w:tcW w:w="2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rPr>
            </w:pPr>
            <w:r>
              <w:rPr>
                <w:rFonts w:hint="default" w:ascii="Times New Roman" w:hAnsi="Times New Roman" w:eastAsia="宋体" w:cs="Times New Roman"/>
                <w:i w:val="0"/>
                <w:iCs w:val="0"/>
                <w:color w:val="000000"/>
                <w:kern w:val="0"/>
                <w:sz w:val="20"/>
                <w:szCs w:val="20"/>
                <w:highlight w:val="none"/>
                <w:u w:val="none"/>
                <w:lang w:val="en-US" w:eastAsia="zh-CN" w:bidi="ar"/>
              </w:rPr>
              <w:t>44</w:t>
            </w:r>
          </w:p>
        </w:tc>
        <w:tc>
          <w:tcPr>
            <w:tcW w:w="91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681" w:hRule="atLeast"/>
        </w:trPr>
        <w:tc>
          <w:tcPr>
            <w:tcW w:w="143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宋体" w:hAnsi="宋体" w:eastAsia="宋体" w:cs="宋体"/>
                <w:i w:val="0"/>
                <w:iCs w:val="0"/>
                <w:color w:val="000000"/>
                <w:sz w:val="20"/>
                <w:szCs w:val="20"/>
                <w:highlight w:val="none"/>
                <w:u w:val="none"/>
              </w:rPr>
            </w:pPr>
          </w:p>
        </w:tc>
        <w:tc>
          <w:tcPr>
            <w:tcW w:w="26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14</w:t>
            </w:r>
          </w:p>
        </w:tc>
        <w:tc>
          <w:tcPr>
            <w:tcW w:w="75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132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十四、资源勘探工业信息等支出</w:t>
            </w:r>
          </w:p>
        </w:tc>
        <w:tc>
          <w:tcPr>
            <w:tcW w:w="2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rPr>
            </w:pPr>
            <w:r>
              <w:rPr>
                <w:rFonts w:hint="default" w:ascii="Times New Roman" w:hAnsi="Times New Roman" w:eastAsia="宋体" w:cs="Times New Roman"/>
                <w:i w:val="0"/>
                <w:iCs w:val="0"/>
                <w:color w:val="000000"/>
                <w:kern w:val="0"/>
                <w:sz w:val="20"/>
                <w:szCs w:val="20"/>
                <w:highlight w:val="none"/>
                <w:u w:val="none"/>
                <w:lang w:val="en-US" w:eastAsia="zh-CN" w:bidi="ar"/>
              </w:rPr>
              <w:t>45</w:t>
            </w:r>
          </w:p>
        </w:tc>
        <w:tc>
          <w:tcPr>
            <w:tcW w:w="91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780" w:hRule="atLeast"/>
        </w:trPr>
        <w:tc>
          <w:tcPr>
            <w:tcW w:w="143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宋体" w:hAnsi="宋体" w:eastAsia="宋体" w:cs="宋体"/>
                <w:i w:val="0"/>
                <w:iCs w:val="0"/>
                <w:color w:val="000000"/>
                <w:sz w:val="20"/>
                <w:szCs w:val="20"/>
                <w:highlight w:val="none"/>
                <w:u w:val="none"/>
              </w:rPr>
            </w:pPr>
          </w:p>
        </w:tc>
        <w:tc>
          <w:tcPr>
            <w:tcW w:w="26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15</w:t>
            </w:r>
          </w:p>
        </w:tc>
        <w:tc>
          <w:tcPr>
            <w:tcW w:w="75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132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十五、商业服务业等支出</w:t>
            </w:r>
          </w:p>
        </w:tc>
        <w:tc>
          <w:tcPr>
            <w:tcW w:w="2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rPr>
            </w:pPr>
            <w:r>
              <w:rPr>
                <w:rFonts w:hint="default" w:ascii="Times New Roman" w:hAnsi="Times New Roman" w:eastAsia="宋体" w:cs="Times New Roman"/>
                <w:i w:val="0"/>
                <w:iCs w:val="0"/>
                <w:color w:val="000000"/>
                <w:kern w:val="0"/>
                <w:sz w:val="20"/>
                <w:szCs w:val="20"/>
                <w:highlight w:val="none"/>
                <w:u w:val="none"/>
                <w:lang w:val="en-US" w:eastAsia="zh-CN" w:bidi="ar"/>
              </w:rPr>
              <w:t>46</w:t>
            </w:r>
          </w:p>
        </w:tc>
        <w:tc>
          <w:tcPr>
            <w:tcW w:w="91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90" w:hRule="atLeast"/>
        </w:trPr>
        <w:tc>
          <w:tcPr>
            <w:tcW w:w="143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宋体" w:hAnsi="宋体" w:eastAsia="宋体" w:cs="宋体"/>
                <w:i w:val="0"/>
                <w:iCs w:val="0"/>
                <w:color w:val="000000"/>
                <w:sz w:val="20"/>
                <w:szCs w:val="20"/>
                <w:highlight w:val="none"/>
                <w:u w:val="none"/>
              </w:rPr>
            </w:pPr>
          </w:p>
        </w:tc>
        <w:tc>
          <w:tcPr>
            <w:tcW w:w="26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16</w:t>
            </w:r>
          </w:p>
        </w:tc>
        <w:tc>
          <w:tcPr>
            <w:tcW w:w="75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132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十六、金融支出</w:t>
            </w:r>
          </w:p>
        </w:tc>
        <w:tc>
          <w:tcPr>
            <w:tcW w:w="2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rPr>
            </w:pPr>
            <w:r>
              <w:rPr>
                <w:rFonts w:hint="default" w:ascii="Times New Roman" w:hAnsi="Times New Roman" w:eastAsia="宋体" w:cs="Times New Roman"/>
                <w:i w:val="0"/>
                <w:iCs w:val="0"/>
                <w:color w:val="000000"/>
                <w:kern w:val="0"/>
                <w:sz w:val="20"/>
                <w:szCs w:val="20"/>
                <w:highlight w:val="none"/>
                <w:u w:val="none"/>
                <w:lang w:val="en-US" w:eastAsia="zh-CN" w:bidi="ar"/>
              </w:rPr>
              <w:t>47</w:t>
            </w:r>
          </w:p>
        </w:tc>
        <w:tc>
          <w:tcPr>
            <w:tcW w:w="91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476" w:hRule="atLeast"/>
        </w:trPr>
        <w:tc>
          <w:tcPr>
            <w:tcW w:w="143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宋体" w:hAnsi="宋体" w:eastAsia="宋体" w:cs="宋体"/>
                <w:i w:val="0"/>
                <w:iCs w:val="0"/>
                <w:color w:val="000000"/>
                <w:sz w:val="20"/>
                <w:szCs w:val="20"/>
                <w:highlight w:val="none"/>
                <w:u w:val="none"/>
              </w:rPr>
            </w:pPr>
          </w:p>
        </w:tc>
        <w:tc>
          <w:tcPr>
            <w:tcW w:w="26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17</w:t>
            </w:r>
          </w:p>
        </w:tc>
        <w:tc>
          <w:tcPr>
            <w:tcW w:w="75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132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十七、援助其他地区支出</w:t>
            </w:r>
          </w:p>
        </w:tc>
        <w:tc>
          <w:tcPr>
            <w:tcW w:w="2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rPr>
            </w:pPr>
            <w:r>
              <w:rPr>
                <w:rFonts w:hint="default" w:ascii="Times New Roman" w:hAnsi="Times New Roman" w:eastAsia="宋体" w:cs="Times New Roman"/>
                <w:i w:val="0"/>
                <w:iCs w:val="0"/>
                <w:color w:val="000000"/>
                <w:kern w:val="0"/>
                <w:sz w:val="20"/>
                <w:szCs w:val="20"/>
                <w:highlight w:val="none"/>
                <w:u w:val="none"/>
                <w:lang w:val="en-US" w:eastAsia="zh-CN" w:bidi="ar"/>
              </w:rPr>
              <w:t>48</w:t>
            </w:r>
          </w:p>
        </w:tc>
        <w:tc>
          <w:tcPr>
            <w:tcW w:w="91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539" w:hRule="atLeast"/>
        </w:trPr>
        <w:tc>
          <w:tcPr>
            <w:tcW w:w="143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宋体" w:hAnsi="宋体" w:eastAsia="宋体" w:cs="宋体"/>
                <w:i w:val="0"/>
                <w:iCs w:val="0"/>
                <w:color w:val="000000"/>
                <w:sz w:val="20"/>
                <w:szCs w:val="20"/>
                <w:highlight w:val="none"/>
                <w:u w:val="none"/>
              </w:rPr>
            </w:pPr>
          </w:p>
        </w:tc>
        <w:tc>
          <w:tcPr>
            <w:tcW w:w="26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18</w:t>
            </w:r>
          </w:p>
        </w:tc>
        <w:tc>
          <w:tcPr>
            <w:tcW w:w="75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132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十八、自然资源海洋气象等支出</w:t>
            </w:r>
          </w:p>
        </w:tc>
        <w:tc>
          <w:tcPr>
            <w:tcW w:w="2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rPr>
            </w:pPr>
            <w:r>
              <w:rPr>
                <w:rFonts w:hint="default" w:ascii="Times New Roman" w:hAnsi="Times New Roman" w:eastAsia="宋体" w:cs="Times New Roman"/>
                <w:i w:val="0"/>
                <w:iCs w:val="0"/>
                <w:color w:val="000000"/>
                <w:kern w:val="0"/>
                <w:sz w:val="20"/>
                <w:szCs w:val="20"/>
                <w:highlight w:val="none"/>
                <w:u w:val="none"/>
                <w:lang w:val="en-US" w:eastAsia="zh-CN" w:bidi="ar"/>
              </w:rPr>
              <w:t>49</w:t>
            </w:r>
          </w:p>
        </w:tc>
        <w:tc>
          <w:tcPr>
            <w:tcW w:w="91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476" w:hRule="atLeast"/>
        </w:trPr>
        <w:tc>
          <w:tcPr>
            <w:tcW w:w="143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宋体" w:hAnsi="宋体" w:eastAsia="宋体" w:cs="宋体"/>
                <w:i w:val="0"/>
                <w:iCs w:val="0"/>
                <w:color w:val="000000"/>
                <w:sz w:val="20"/>
                <w:szCs w:val="20"/>
                <w:highlight w:val="none"/>
                <w:u w:val="none"/>
              </w:rPr>
            </w:pPr>
          </w:p>
        </w:tc>
        <w:tc>
          <w:tcPr>
            <w:tcW w:w="26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19</w:t>
            </w:r>
          </w:p>
        </w:tc>
        <w:tc>
          <w:tcPr>
            <w:tcW w:w="75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132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十九、住房保障支出</w:t>
            </w:r>
          </w:p>
        </w:tc>
        <w:tc>
          <w:tcPr>
            <w:tcW w:w="2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eastAsia="zh-CN"/>
              </w:rPr>
            </w:pPr>
            <w:r>
              <w:rPr>
                <w:rFonts w:hint="default" w:ascii="Times New Roman" w:hAnsi="Times New Roman" w:eastAsia="宋体" w:cs="Times New Roman"/>
                <w:i w:val="0"/>
                <w:iCs w:val="0"/>
                <w:color w:val="000000"/>
                <w:sz w:val="20"/>
                <w:szCs w:val="20"/>
                <w:highlight w:val="none"/>
                <w:u w:val="none"/>
                <w:lang w:val="en-US" w:eastAsia="zh-CN"/>
              </w:rPr>
              <w:t>50</w:t>
            </w:r>
          </w:p>
        </w:tc>
        <w:tc>
          <w:tcPr>
            <w:tcW w:w="91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476" w:hRule="atLeast"/>
        </w:trPr>
        <w:tc>
          <w:tcPr>
            <w:tcW w:w="143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宋体" w:hAnsi="宋体" w:eastAsia="宋体" w:cs="宋体"/>
                <w:i w:val="0"/>
                <w:iCs w:val="0"/>
                <w:color w:val="000000"/>
                <w:sz w:val="20"/>
                <w:szCs w:val="20"/>
                <w:highlight w:val="none"/>
                <w:u w:val="none"/>
              </w:rPr>
            </w:pPr>
          </w:p>
        </w:tc>
        <w:tc>
          <w:tcPr>
            <w:tcW w:w="26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20</w:t>
            </w:r>
          </w:p>
        </w:tc>
        <w:tc>
          <w:tcPr>
            <w:tcW w:w="75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132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二十、粮油物资储备支出</w:t>
            </w:r>
          </w:p>
        </w:tc>
        <w:tc>
          <w:tcPr>
            <w:tcW w:w="2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rPr>
            </w:pPr>
            <w:r>
              <w:rPr>
                <w:rFonts w:hint="default" w:ascii="Times New Roman" w:hAnsi="Times New Roman" w:eastAsia="宋体" w:cs="Times New Roman"/>
                <w:i w:val="0"/>
                <w:iCs w:val="0"/>
                <w:color w:val="000000"/>
                <w:kern w:val="0"/>
                <w:sz w:val="20"/>
                <w:szCs w:val="20"/>
                <w:highlight w:val="none"/>
                <w:u w:val="none"/>
                <w:lang w:val="en-US" w:eastAsia="zh-CN" w:bidi="ar"/>
              </w:rPr>
              <w:t>51</w:t>
            </w:r>
          </w:p>
        </w:tc>
        <w:tc>
          <w:tcPr>
            <w:tcW w:w="91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476" w:hRule="atLeast"/>
        </w:trPr>
        <w:tc>
          <w:tcPr>
            <w:tcW w:w="143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宋体" w:hAnsi="宋体" w:eastAsia="宋体" w:cs="宋体"/>
                <w:i w:val="0"/>
                <w:iCs w:val="0"/>
                <w:color w:val="000000"/>
                <w:sz w:val="20"/>
                <w:szCs w:val="20"/>
                <w:highlight w:val="none"/>
                <w:u w:val="none"/>
              </w:rPr>
            </w:pPr>
          </w:p>
        </w:tc>
        <w:tc>
          <w:tcPr>
            <w:tcW w:w="26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21</w:t>
            </w:r>
          </w:p>
        </w:tc>
        <w:tc>
          <w:tcPr>
            <w:tcW w:w="75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132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二十一、国有资本经营预算支出</w:t>
            </w:r>
          </w:p>
        </w:tc>
        <w:tc>
          <w:tcPr>
            <w:tcW w:w="2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rPr>
            </w:pPr>
            <w:r>
              <w:rPr>
                <w:rFonts w:hint="default" w:ascii="Times New Roman" w:hAnsi="Times New Roman" w:eastAsia="宋体" w:cs="Times New Roman"/>
                <w:i w:val="0"/>
                <w:iCs w:val="0"/>
                <w:color w:val="000000"/>
                <w:kern w:val="0"/>
                <w:sz w:val="20"/>
                <w:szCs w:val="20"/>
                <w:highlight w:val="none"/>
                <w:u w:val="none"/>
                <w:lang w:val="en-US" w:eastAsia="zh-CN" w:bidi="ar"/>
              </w:rPr>
              <w:t>52</w:t>
            </w:r>
          </w:p>
        </w:tc>
        <w:tc>
          <w:tcPr>
            <w:tcW w:w="91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476" w:hRule="atLeast"/>
        </w:trPr>
        <w:tc>
          <w:tcPr>
            <w:tcW w:w="143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宋体" w:hAnsi="宋体" w:eastAsia="宋体" w:cs="宋体"/>
                <w:i w:val="0"/>
                <w:iCs w:val="0"/>
                <w:color w:val="000000"/>
                <w:sz w:val="20"/>
                <w:szCs w:val="20"/>
                <w:highlight w:val="none"/>
                <w:u w:val="none"/>
              </w:rPr>
            </w:pPr>
          </w:p>
        </w:tc>
        <w:tc>
          <w:tcPr>
            <w:tcW w:w="26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22</w:t>
            </w:r>
          </w:p>
        </w:tc>
        <w:tc>
          <w:tcPr>
            <w:tcW w:w="75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132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二十二、灾害防治及应急管理支出</w:t>
            </w:r>
          </w:p>
        </w:tc>
        <w:tc>
          <w:tcPr>
            <w:tcW w:w="2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rPr>
            </w:pPr>
            <w:r>
              <w:rPr>
                <w:rFonts w:hint="default" w:ascii="Times New Roman" w:hAnsi="Times New Roman" w:eastAsia="宋体" w:cs="Times New Roman"/>
                <w:i w:val="0"/>
                <w:iCs w:val="0"/>
                <w:color w:val="000000"/>
                <w:kern w:val="0"/>
                <w:sz w:val="20"/>
                <w:szCs w:val="20"/>
                <w:highlight w:val="none"/>
                <w:u w:val="none"/>
                <w:lang w:val="en-US" w:eastAsia="zh-CN" w:bidi="ar"/>
              </w:rPr>
              <w:t>53</w:t>
            </w:r>
          </w:p>
        </w:tc>
        <w:tc>
          <w:tcPr>
            <w:tcW w:w="91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476" w:hRule="atLeast"/>
        </w:trPr>
        <w:tc>
          <w:tcPr>
            <w:tcW w:w="143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宋体" w:hAnsi="宋体" w:eastAsia="宋体" w:cs="宋体"/>
                <w:i w:val="0"/>
                <w:iCs w:val="0"/>
                <w:color w:val="000000"/>
                <w:sz w:val="20"/>
                <w:szCs w:val="20"/>
                <w:highlight w:val="none"/>
                <w:u w:val="none"/>
              </w:rPr>
            </w:pPr>
          </w:p>
        </w:tc>
        <w:tc>
          <w:tcPr>
            <w:tcW w:w="26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23</w:t>
            </w:r>
          </w:p>
        </w:tc>
        <w:tc>
          <w:tcPr>
            <w:tcW w:w="75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132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二十三、其他支出</w:t>
            </w:r>
          </w:p>
        </w:tc>
        <w:tc>
          <w:tcPr>
            <w:tcW w:w="2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rPr>
            </w:pPr>
            <w:r>
              <w:rPr>
                <w:rFonts w:hint="default" w:ascii="Times New Roman" w:hAnsi="Times New Roman" w:eastAsia="宋体" w:cs="Times New Roman"/>
                <w:i w:val="0"/>
                <w:iCs w:val="0"/>
                <w:color w:val="000000"/>
                <w:kern w:val="0"/>
                <w:sz w:val="20"/>
                <w:szCs w:val="20"/>
                <w:highlight w:val="none"/>
                <w:u w:val="none"/>
                <w:lang w:val="en-US" w:eastAsia="zh-CN" w:bidi="ar"/>
              </w:rPr>
              <w:t>54</w:t>
            </w:r>
          </w:p>
        </w:tc>
        <w:tc>
          <w:tcPr>
            <w:tcW w:w="91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476" w:hRule="atLeast"/>
        </w:trPr>
        <w:tc>
          <w:tcPr>
            <w:tcW w:w="143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宋体" w:hAnsi="宋体" w:eastAsia="宋体" w:cs="宋体"/>
                <w:i w:val="0"/>
                <w:iCs w:val="0"/>
                <w:color w:val="000000"/>
                <w:sz w:val="20"/>
                <w:szCs w:val="20"/>
                <w:highlight w:val="none"/>
                <w:u w:val="none"/>
              </w:rPr>
            </w:pPr>
          </w:p>
        </w:tc>
        <w:tc>
          <w:tcPr>
            <w:tcW w:w="26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24</w:t>
            </w:r>
          </w:p>
        </w:tc>
        <w:tc>
          <w:tcPr>
            <w:tcW w:w="75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132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二十四、债务还本支出</w:t>
            </w:r>
          </w:p>
        </w:tc>
        <w:tc>
          <w:tcPr>
            <w:tcW w:w="2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rPr>
            </w:pPr>
            <w:r>
              <w:rPr>
                <w:rFonts w:hint="default" w:ascii="Times New Roman" w:hAnsi="Times New Roman" w:eastAsia="宋体" w:cs="Times New Roman"/>
                <w:i w:val="0"/>
                <w:iCs w:val="0"/>
                <w:color w:val="000000"/>
                <w:kern w:val="0"/>
                <w:sz w:val="20"/>
                <w:szCs w:val="20"/>
                <w:highlight w:val="none"/>
                <w:u w:val="none"/>
                <w:lang w:val="en-US" w:eastAsia="zh-CN" w:bidi="ar"/>
              </w:rPr>
              <w:t>55</w:t>
            </w:r>
          </w:p>
        </w:tc>
        <w:tc>
          <w:tcPr>
            <w:tcW w:w="91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476" w:hRule="atLeast"/>
        </w:trPr>
        <w:tc>
          <w:tcPr>
            <w:tcW w:w="143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宋体" w:hAnsi="宋体" w:eastAsia="宋体" w:cs="宋体"/>
                <w:i w:val="0"/>
                <w:iCs w:val="0"/>
                <w:color w:val="000000"/>
                <w:sz w:val="20"/>
                <w:szCs w:val="20"/>
                <w:highlight w:val="none"/>
                <w:u w:val="none"/>
              </w:rPr>
            </w:pPr>
          </w:p>
        </w:tc>
        <w:tc>
          <w:tcPr>
            <w:tcW w:w="26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25</w:t>
            </w:r>
          </w:p>
        </w:tc>
        <w:tc>
          <w:tcPr>
            <w:tcW w:w="75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132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二十五、债务付息支出</w:t>
            </w:r>
          </w:p>
        </w:tc>
        <w:tc>
          <w:tcPr>
            <w:tcW w:w="2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rPr>
            </w:pPr>
            <w:r>
              <w:rPr>
                <w:rFonts w:hint="default" w:ascii="Times New Roman" w:hAnsi="Times New Roman" w:eastAsia="宋体" w:cs="Times New Roman"/>
                <w:i w:val="0"/>
                <w:iCs w:val="0"/>
                <w:color w:val="000000"/>
                <w:kern w:val="0"/>
                <w:sz w:val="20"/>
                <w:szCs w:val="20"/>
                <w:highlight w:val="none"/>
                <w:u w:val="none"/>
                <w:lang w:val="en-US" w:eastAsia="zh-CN" w:bidi="ar"/>
              </w:rPr>
              <w:t>56</w:t>
            </w:r>
          </w:p>
        </w:tc>
        <w:tc>
          <w:tcPr>
            <w:tcW w:w="91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476" w:hRule="atLeast"/>
        </w:trPr>
        <w:tc>
          <w:tcPr>
            <w:tcW w:w="143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宋体" w:hAnsi="宋体" w:eastAsia="宋体" w:cs="宋体"/>
                <w:i w:val="0"/>
                <w:iCs w:val="0"/>
                <w:color w:val="000000"/>
                <w:sz w:val="20"/>
                <w:szCs w:val="20"/>
                <w:highlight w:val="none"/>
                <w:u w:val="none"/>
              </w:rPr>
            </w:pPr>
          </w:p>
        </w:tc>
        <w:tc>
          <w:tcPr>
            <w:tcW w:w="26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26</w:t>
            </w:r>
          </w:p>
        </w:tc>
        <w:tc>
          <w:tcPr>
            <w:tcW w:w="75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132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二十六、抗疫特别国债安排的支出</w:t>
            </w:r>
          </w:p>
        </w:tc>
        <w:tc>
          <w:tcPr>
            <w:tcW w:w="2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rPr>
            </w:pPr>
            <w:r>
              <w:rPr>
                <w:rFonts w:hint="default" w:ascii="Times New Roman" w:hAnsi="Times New Roman" w:eastAsia="宋体" w:cs="Times New Roman"/>
                <w:i w:val="0"/>
                <w:iCs w:val="0"/>
                <w:color w:val="000000"/>
                <w:kern w:val="0"/>
                <w:sz w:val="20"/>
                <w:szCs w:val="20"/>
                <w:highlight w:val="none"/>
                <w:u w:val="none"/>
                <w:lang w:val="en-US" w:eastAsia="zh-CN" w:bidi="ar"/>
              </w:rPr>
              <w:t>57</w:t>
            </w:r>
          </w:p>
        </w:tc>
        <w:tc>
          <w:tcPr>
            <w:tcW w:w="91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476" w:hRule="atLeast"/>
        </w:trPr>
        <w:tc>
          <w:tcPr>
            <w:tcW w:w="143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eastAsia" w:ascii="方正仿宋_GB2312" w:hAnsi="方正仿宋_GB2312" w:eastAsia="方正仿宋_GB2312" w:cs="方正仿宋_GB2312"/>
                <w:b/>
                <w:bCs/>
                <w:i w:val="0"/>
                <w:iCs w:val="0"/>
                <w:color w:val="000000"/>
                <w:sz w:val="20"/>
                <w:szCs w:val="20"/>
                <w:highlight w:val="none"/>
                <w:u w:val="none"/>
              </w:rPr>
            </w:pPr>
            <w:r>
              <w:rPr>
                <w:rFonts w:hint="eastAsia" w:ascii="方正仿宋_GB2312" w:hAnsi="方正仿宋_GB2312" w:eastAsia="方正仿宋_GB2312" w:cs="方正仿宋_GB2312"/>
                <w:b/>
                <w:bCs/>
                <w:i w:val="0"/>
                <w:iCs w:val="0"/>
                <w:color w:val="000000"/>
                <w:kern w:val="0"/>
                <w:sz w:val="20"/>
                <w:szCs w:val="20"/>
                <w:highlight w:val="none"/>
                <w:u w:val="none"/>
                <w:lang w:val="en-US" w:eastAsia="zh-CN" w:bidi="ar"/>
              </w:rPr>
              <w:t>本年收入合计</w:t>
            </w:r>
          </w:p>
        </w:tc>
        <w:tc>
          <w:tcPr>
            <w:tcW w:w="26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27</w:t>
            </w:r>
          </w:p>
        </w:tc>
        <w:tc>
          <w:tcPr>
            <w:tcW w:w="75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544.68</w:t>
            </w:r>
          </w:p>
        </w:tc>
        <w:tc>
          <w:tcPr>
            <w:tcW w:w="132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eastAsia" w:ascii="方正仿宋_GB2312" w:hAnsi="方正仿宋_GB2312" w:eastAsia="方正仿宋_GB2312" w:cs="方正仿宋_GB2312"/>
                <w:b/>
                <w:bCs/>
                <w:i w:val="0"/>
                <w:iCs w:val="0"/>
                <w:color w:val="000000"/>
                <w:sz w:val="20"/>
                <w:szCs w:val="20"/>
                <w:highlight w:val="none"/>
                <w:u w:val="none"/>
              </w:rPr>
            </w:pPr>
            <w:r>
              <w:rPr>
                <w:rFonts w:hint="eastAsia" w:ascii="方正仿宋_GB2312" w:hAnsi="方正仿宋_GB2312" w:eastAsia="方正仿宋_GB2312" w:cs="方正仿宋_GB2312"/>
                <w:b/>
                <w:bCs/>
                <w:i w:val="0"/>
                <w:iCs w:val="0"/>
                <w:color w:val="000000"/>
                <w:kern w:val="0"/>
                <w:sz w:val="20"/>
                <w:szCs w:val="20"/>
                <w:highlight w:val="none"/>
                <w:u w:val="none"/>
                <w:lang w:val="en-US" w:eastAsia="zh-CN" w:bidi="ar"/>
              </w:rPr>
              <w:t>本年支出合计</w:t>
            </w:r>
          </w:p>
        </w:tc>
        <w:tc>
          <w:tcPr>
            <w:tcW w:w="2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rPr>
            </w:pPr>
            <w:r>
              <w:rPr>
                <w:rFonts w:hint="default" w:ascii="Times New Roman" w:hAnsi="Times New Roman" w:eastAsia="宋体" w:cs="Times New Roman"/>
                <w:i w:val="0"/>
                <w:iCs w:val="0"/>
                <w:color w:val="000000"/>
                <w:kern w:val="0"/>
                <w:sz w:val="20"/>
                <w:szCs w:val="20"/>
                <w:highlight w:val="none"/>
                <w:u w:val="none"/>
                <w:lang w:val="en-US" w:eastAsia="zh-CN" w:bidi="ar"/>
              </w:rPr>
              <w:t>58</w:t>
            </w:r>
          </w:p>
        </w:tc>
        <w:tc>
          <w:tcPr>
            <w:tcW w:w="91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544.68</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476" w:hRule="atLeast"/>
        </w:trPr>
        <w:tc>
          <w:tcPr>
            <w:tcW w:w="143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使用非财政拨款结余（含专用结余）</w:t>
            </w:r>
          </w:p>
        </w:tc>
        <w:tc>
          <w:tcPr>
            <w:tcW w:w="26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28</w:t>
            </w:r>
          </w:p>
        </w:tc>
        <w:tc>
          <w:tcPr>
            <w:tcW w:w="75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132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结余分配</w:t>
            </w:r>
          </w:p>
        </w:tc>
        <w:tc>
          <w:tcPr>
            <w:tcW w:w="2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rPr>
            </w:pPr>
            <w:r>
              <w:rPr>
                <w:rFonts w:hint="default" w:ascii="Times New Roman" w:hAnsi="Times New Roman" w:eastAsia="宋体" w:cs="Times New Roman"/>
                <w:i w:val="0"/>
                <w:iCs w:val="0"/>
                <w:color w:val="000000"/>
                <w:kern w:val="0"/>
                <w:sz w:val="20"/>
                <w:szCs w:val="20"/>
                <w:highlight w:val="none"/>
                <w:u w:val="none"/>
                <w:lang w:val="en-US" w:eastAsia="zh-CN" w:bidi="ar"/>
              </w:rPr>
              <w:t>59</w:t>
            </w:r>
          </w:p>
        </w:tc>
        <w:tc>
          <w:tcPr>
            <w:tcW w:w="91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476" w:hRule="atLeast"/>
        </w:trPr>
        <w:tc>
          <w:tcPr>
            <w:tcW w:w="143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年初结转和结余</w:t>
            </w:r>
          </w:p>
        </w:tc>
        <w:tc>
          <w:tcPr>
            <w:tcW w:w="26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29</w:t>
            </w:r>
          </w:p>
        </w:tc>
        <w:tc>
          <w:tcPr>
            <w:tcW w:w="75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132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年末结转和结余</w:t>
            </w:r>
          </w:p>
        </w:tc>
        <w:tc>
          <w:tcPr>
            <w:tcW w:w="2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eastAsia="zh-CN"/>
              </w:rPr>
            </w:pPr>
            <w:r>
              <w:rPr>
                <w:rFonts w:hint="default" w:ascii="Times New Roman" w:hAnsi="Times New Roman" w:eastAsia="宋体" w:cs="Times New Roman"/>
                <w:i w:val="0"/>
                <w:iCs w:val="0"/>
                <w:color w:val="000000"/>
                <w:sz w:val="20"/>
                <w:szCs w:val="20"/>
                <w:highlight w:val="none"/>
                <w:u w:val="none"/>
                <w:lang w:val="en-US" w:eastAsia="zh-CN"/>
              </w:rPr>
              <w:t>60</w:t>
            </w:r>
          </w:p>
        </w:tc>
        <w:tc>
          <w:tcPr>
            <w:tcW w:w="91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476" w:hRule="atLeast"/>
        </w:trPr>
        <w:tc>
          <w:tcPr>
            <w:tcW w:w="143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eastAsia" w:ascii="方正仿宋_GB2312" w:hAnsi="方正仿宋_GB2312" w:eastAsia="方正仿宋_GB2312" w:cs="方正仿宋_GB2312"/>
                <w:b/>
                <w:bCs/>
                <w:i w:val="0"/>
                <w:iCs w:val="0"/>
                <w:color w:val="000000"/>
                <w:kern w:val="0"/>
                <w:sz w:val="20"/>
                <w:szCs w:val="20"/>
                <w:highlight w:val="none"/>
                <w:u w:val="none"/>
                <w:lang w:val="en-US" w:eastAsia="zh-CN" w:bidi="ar"/>
              </w:rPr>
            </w:pPr>
          </w:p>
        </w:tc>
        <w:tc>
          <w:tcPr>
            <w:tcW w:w="26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kern w:val="0"/>
                <w:sz w:val="20"/>
                <w:szCs w:val="20"/>
                <w:highlight w:val="none"/>
                <w:u w:val="none"/>
                <w:lang w:val="en-US" w:eastAsia="zh-CN" w:bidi="ar"/>
              </w:rPr>
            </w:pPr>
            <w:r>
              <w:rPr>
                <w:rFonts w:hint="default" w:ascii="Times New Roman" w:hAnsi="Times New Roman" w:eastAsia="宋体" w:cs="Times New Roman"/>
                <w:i w:val="0"/>
                <w:iCs w:val="0"/>
                <w:color w:val="000000"/>
                <w:kern w:val="0"/>
                <w:sz w:val="20"/>
                <w:szCs w:val="20"/>
                <w:highlight w:val="none"/>
                <w:u w:val="none"/>
                <w:lang w:val="en-US" w:eastAsia="zh-CN" w:bidi="ar"/>
              </w:rPr>
              <w:t>30</w:t>
            </w:r>
          </w:p>
        </w:tc>
        <w:tc>
          <w:tcPr>
            <w:tcW w:w="75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132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eastAsia" w:ascii="方正仿宋_GB2312" w:hAnsi="方正仿宋_GB2312" w:eastAsia="方正仿宋_GB2312" w:cs="方正仿宋_GB2312"/>
                <w:b/>
                <w:bCs/>
                <w:i w:val="0"/>
                <w:iCs w:val="0"/>
                <w:color w:val="000000"/>
                <w:kern w:val="0"/>
                <w:sz w:val="20"/>
                <w:szCs w:val="20"/>
                <w:highlight w:val="none"/>
                <w:u w:val="none"/>
                <w:lang w:val="en-US" w:eastAsia="zh-CN" w:bidi="ar"/>
              </w:rPr>
            </w:pPr>
          </w:p>
        </w:tc>
        <w:tc>
          <w:tcPr>
            <w:tcW w:w="2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kern w:val="0"/>
                <w:sz w:val="20"/>
                <w:szCs w:val="20"/>
                <w:highlight w:val="none"/>
                <w:u w:val="none"/>
                <w:lang w:val="en-US" w:eastAsia="zh-CN" w:bidi="ar"/>
              </w:rPr>
            </w:pPr>
            <w:r>
              <w:rPr>
                <w:rFonts w:hint="default" w:ascii="Times New Roman" w:hAnsi="Times New Roman" w:eastAsia="宋体" w:cs="Times New Roman"/>
                <w:i w:val="0"/>
                <w:iCs w:val="0"/>
                <w:color w:val="000000"/>
                <w:kern w:val="0"/>
                <w:sz w:val="20"/>
                <w:szCs w:val="20"/>
                <w:highlight w:val="none"/>
                <w:u w:val="none"/>
                <w:lang w:val="en-US" w:eastAsia="zh-CN" w:bidi="ar"/>
              </w:rPr>
              <w:t>61</w:t>
            </w:r>
          </w:p>
        </w:tc>
        <w:tc>
          <w:tcPr>
            <w:tcW w:w="91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308" w:hRule="atLeast"/>
        </w:trPr>
        <w:tc>
          <w:tcPr>
            <w:tcW w:w="143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eastAsia" w:ascii="方正仿宋_GB2312" w:hAnsi="方正仿宋_GB2312" w:eastAsia="方正仿宋_GB2312" w:cs="方正仿宋_GB2312"/>
                <w:b/>
                <w:bCs/>
                <w:i w:val="0"/>
                <w:iCs w:val="0"/>
                <w:color w:val="000000"/>
                <w:sz w:val="20"/>
                <w:szCs w:val="20"/>
                <w:highlight w:val="none"/>
                <w:u w:val="none"/>
              </w:rPr>
            </w:pPr>
            <w:r>
              <w:rPr>
                <w:rFonts w:hint="eastAsia" w:ascii="方正仿宋_GB2312" w:hAnsi="方正仿宋_GB2312" w:eastAsia="方正仿宋_GB2312" w:cs="方正仿宋_GB2312"/>
                <w:b/>
                <w:bCs/>
                <w:i w:val="0"/>
                <w:iCs w:val="0"/>
                <w:color w:val="000000"/>
                <w:kern w:val="0"/>
                <w:sz w:val="20"/>
                <w:szCs w:val="20"/>
                <w:highlight w:val="none"/>
                <w:u w:val="none"/>
                <w:lang w:val="en-US" w:eastAsia="zh-CN" w:bidi="ar"/>
              </w:rPr>
              <w:t>总计</w:t>
            </w:r>
          </w:p>
        </w:tc>
        <w:tc>
          <w:tcPr>
            <w:tcW w:w="26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rPr>
            </w:pPr>
            <w:r>
              <w:rPr>
                <w:rFonts w:hint="default" w:ascii="Times New Roman" w:hAnsi="Times New Roman" w:eastAsia="宋体" w:cs="Times New Roman"/>
                <w:i w:val="0"/>
                <w:iCs w:val="0"/>
                <w:color w:val="000000"/>
                <w:kern w:val="0"/>
                <w:sz w:val="20"/>
                <w:szCs w:val="20"/>
                <w:highlight w:val="none"/>
                <w:u w:val="none"/>
                <w:lang w:val="en-US" w:eastAsia="zh-CN" w:bidi="ar"/>
              </w:rPr>
              <w:t>31</w:t>
            </w:r>
          </w:p>
        </w:tc>
        <w:tc>
          <w:tcPr>
            <w:tcW w:w="75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544.68</w:t>
            </w:r>
          </w:p>
        </w:tc>
        <w:tc>
          <w:tcPr>
            <w:tcW w:w="132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eastAsia" w:ascii="方正仿宋_GB2312" w:hAnsi="方正仿宋_GB2312" w:eastAsia="方正仿宋_GB2312" w:cs="方正仿宋_GB2312"/>
                <w:b/>
                <w:bCs/>
                <w:i w:val="0"/>
                <w:iCs w:val="0"/>
                <w:color w:val="000000"/>
                <w:sz w:val="20"/>
                <w:szCs w:val="20"/>
                <w:highlight w:val="none"/>
                <w:u w:val="none"/>
              </w:rPr>
            </w:pPr>
            <w:r>
              <w:rPr>
                <w:rFonts w:hint="eastAsia" w:ascii="方正仿宋_GB2312" w:hAnsi="方正仿宋_GB2312" w:eastAsia="方正仿宋_GB2312" w:cs="方正仿宋_GB2312"/>
                <w:b/>
                <w:bCs/>
                <w:i w:val="0"/>
                <w:iCs w:val="0"/>
                <w:color w:val="000000"/>
                <w:kern w:val="0"/>
                <w:sz w:val="20"/>
                <w:szCs w:val="20"/>
                <w:highlight w:val="none"/>
                <w:u w:val="none"/>
                <w:lang w:val="en-US" w:eastAsia="zh-CN" w:bidi="ar"/>
              </w:rPr>
              <w:t>总计</w:t>
            </w:r>
          </w:p>
        </w:tc>
        <w:tc>
          <w:tcPr>
            <w:tcW w:w="2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rPr>
            </w:pPr>
            <w:r>
              <w:rPr>
                <w:rFonts w:hint="default" w:ascii="Times New Roman" w:hAnsi="Times New Roman" w:eastAsia="宋体" w:cs="Times New Roman"/>
                <w:i w:val="0"/>
                <w:iCs w:val="0"/>
                <w:color w:val="000000"/>
                <w:kern w:val="0"/>
                <w:sz w:val="20"/>
                <w:szCs w:val="20"/>
                <w:highlight w:val="none"/>
                <w:u w:val="none"/>
                <w:lang w:val="en-US" w:eastAsia="zh-CN" w:bidi="ar"/>
              </w:rPr>
              <w:t>62</w:t>
            </w:r>
          </w:p>
        </w:tc>
        <w:tc>
          <w:tcPr>
            <w:tcW w:w="91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544.68</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5000" w:type="pct"/>
            <w:gridSpan w:val="9"/>
            <w:tcBorders>
              <w:top w:val="nil"/>
              <w:left w:val="nil"/>
              <w:bottom w:val="nil"/>
              <w:right w:val="nil"/>
            </w:tcBorders>
            <w:noWrap/>
            <w:vAlign w:val="center"/>
          </w:tcPr>
          <w:p>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注：1.本表反映部门本年度的总收支和年末结转结余情况。</w:t>
            </w:r>
          </w:p>
          <w:p>
            <w:pPr>
              <w:keepNext w:val="0"/>
              <w:keepLines w:val="0"/>
              <w:widowControl/>
              <w:suppressLineNumbers w:val="0"/>
              <w:ind w:firstLine="400" w:firstLineChars="200"/>
              <w:jc w:val="left"/>
              <w:textAlignment w:val="center"/>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2.本套报表金额转换时可能存在尾数误差。</w:t>
            </w:r>
          </w:p>
        </w:tc>
      </w:tr>
    </w:tbl>
    <w:p>
      <w:pPr>
        <w:keepNext w:val="0"/>
        <w:keepLines w:val="0"/>
        <w:pageBreakBefore w:val="0"/>
        <w:widowControl w:val="0"/>
        <w:kinsoku/>
        <w:wordWrap/>
        <w:overflowPunct/>
        <w:topLinePunct w:val="0"/>
        <w:autoSpaceDE/>
        <w:autoSpaceDN/>
        <w:bidi w:val="0"/>
        <w:adjustRightInd/>
        <w:snapToGrid/>
        <w:spacing w:line="240" w:lineRule="auto"/>
        <w:jc w:val="both"/>
        <w:textAlignment w:val="auto"/>
        <w:outlineLvl w:val="9"/>
        <w:rPr>
          <w:rFonts w:hint="eastAsia" w:ascii="仿宋_GB2312" w:hAnsi="宋体" w:eastAsia="仿宋_GB2312"/>
          <w:b/>
          <w:color w:val="auto"/>
          <w:kern w:val="0"/>
          <w:sz w:val="32"/>
          <w:szCs w:val="32"/>
          <w:highlight w:val="none"/>
        </w:rPr>
      </w:pPr>
    </w:p>
    <w:p>
      <w:pPr>
        <w:rPr>
          <w:rFonts w:hint="eastAsia" w:ascii="仿宋_GB2312" w:hAnsi="宋体" w:eastAsia="仿宋_GB2312"/>
          <w:b/>
          <w:color w:val="auto"/>
          <w:kern w:val="0"/>
          <w:sz w:val="32"/>
          <w:szCs w:val="32"/>
          <w:highlight w:val="none"/>
        </w:rPr>
      </w:pPr>
      <w:r>
        <w:rPr>
          <w:rFonts w:hint="eastAsia" w:ascii="仿宋_GB2312" w:hAnsi="宋体" w:eastAsia="仿宋_GB2312"/>
          <w:b/>
          <w:color w:val="auto"/>
          <w:kern w:val="0"/>
          <w:sz w:val="32"/>
          <w:szCs w:val="32"/>
          <w:highlight w:val="none"/>
        </w:rPr>
        <w:br w:type="page"/>
      </w:r>
    </w:p>
    <w:tbl>
      <w:tblPr>
        <w:tblStyle w:val="11"/>
        <w:tblW w:w="9230" w:type="dxa"/>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1040"/>
        <w:gridCol w:w="1160"/>
        <w:gridCol w:w="1037"/>
        <w:gridCol w:w="1037"/>
        <w:gridCol w:w="1037"/>
        <w:gridCol w:w="964"/>
        <w:gridCol w:w="367"/>
        <w:gridCol w:w="597"/>
        <w:gridCol w:w="1027"/>
        <w:gridCol w:w="964"/>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50" w:hRule="atLeast"/>
          <w:jc w:val="center"/>
        </w:trPr>
        <w:tc>
          <w:tcPr>
            <w:tcW w:w="9230" w:type="dxa"/>
            <w:gridSpan w:val="10"/>
            <w:tcBorders>
              <w:top w:val="nil"/>
              <w:left w:val="nil"/>
              <w:bottom w:val="nil"/>
              <w:right w:val="nil"/>
            </w:tcBorders>
            <w:noWrap/>
            <w:vAlign w:val="bottom"/>
          </w:tcPr>
          <w:p>
            <w:pPr>
              <w:keepNext w:val="0"/>
              <w:keepLines w:val="0"/>
              <w:widowControl/>
              <w:suppressLineNumbers w:val="0"/>
              <w:jc w:val="center"/>
              <w:textAlignment w:val="bottom"/>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b w:val="0"/>
                <w:bCs/>
                <w:color w:val="auto"/>
                <w:kern w:val="0"/>
                <w:sz w:val="32"/>
                <w:szCs w:val="32"/>
                <w:highlight w:val="none"/>
                <w:lang w:val="en-US" w:eastAsia="zh-CN"/>
              </w:rPr>
              <w:t>收入决算表</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jc w:val="center"/>
        </w:trPr>
        <w:tc>
          <w:tcPr>
            <w:tcW w:w="9230" w:type="dxa"/>
            <w:gridSpan w:val="10"/>
            <w:tcBorders>
              <w:top w:val="nil"/>
              <w:left w:val="nil"/>
              <w:bottom w:val="nil"/>
              <w:right w:val="nil"/>
            </w:tcBorders>
            <w:noWrap/>
            <w:vAlign w:val="bottom"/>
          </w:tcPr>
          <w:p>
            <w:pPr>
              <w:keepNext w:val="0"/>
              <w:keepLines w:val="0"/>
              <w:widowControl/>
              <w:suppressLineNumbers w:val="0"/>
              <w:jc w:val="right"/>
              <w:textAlignment w:val="bottom"/>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公开</w:t>
            </w:r>
            <w:r>
              <w:rPr>
                <w:rFonts w:hint="eastAsia" w:ascii="Times New Roman" w:hAnsi="Times New Roman" w:eastAsia="宋体" w:cs="Times New Roman"/>
                <w:i w:val="0"/>
                <w:iCs w:val="0"/>
                <w:color w:val="000000"/>
                <w:sz w:val="20"/>
                <w:szCs w:val="20"/>
                <w:highlight w:val="none"/>
                <w:u w:val="none"/>
                <w:lang w:val="en-US" w:eastAsia="zh-CN"/>
              </w:rPr>
              <w:t>02</w:t>
            </w: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表</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jc w:val="center"/>
        </w:trPr>
        <w:tc>
          <w:tcPr>
            <w:tcW w:w="3237" w:type="dxa"/>
            <w:gridSpan w:val="3"/>
            <w:tcBorders>
              <w:top w:val="nil"/>
              <w:left w:val="nil"/>
              <w:bottom w:val="single" w:color="000000" w:themeColor="text1" w:sz="8" w:space="0"/>
              <w:right w:val="nil"/>
            </w:tcBorders>
            <w:noWrap/>
            <w:vAlign w:val="bottom"/>
          </w:tcPr>
          <w:p>
            <w:pP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 xml:space="preserve">部门（单位）：中国人民政治协商会议无极县委员会办公室(本级)                                                                                                         </w:t>
            </w:r>
          </w:p>
        </w:tc>
        <w:tc>
          <w:tcPr>
            <w:tcW w:w="3405" w:type="dxa"/>
            <w:gridSpan w:val="4"/>
            <w:tcBorders>
              <w:top w:val="nil"/>
              <w:left w:val="nil"/>
              <w:bottom w:val="single" w:color="000000" w:themeColor="text1" w:sz="8" w:space="0"/>
              <w:right w:val="nil"/>
            </w:tcBorders>
            <w:noWrap/>
            <w:vAlign w:val="bottom"/>
          </w:tcPr>
          <w:p>
            <w:pPr>
              <w:jc w:val="cente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pPr>
            <w:r>
              <w:rPr>
                <w:rFonts w:hint="default" w:ascii="Times New Roman" w:hAnsi="Times New Roman" w:eastAsia="方正仿宋_GB2312" w:cs="Times New Roman"/>
                <w:i w:val="0"/>
                <w:iCs w:val="0"/>
                <w:color w:val="000000"/>
                <w:sz w:val="20"/>
                <w:szCs w:val="20"/>
                <w:highlight w:val="none"/>
                <w:u w:val="none"/>
                <w:lang w:val="en-US" w:eastAsia="zh-CN"/>
              </w:rPr>
              <w:t>202</w:t>
            </w:r>
            <w:r>
              <w:rPr>
                <w:rFonts w:hint="eastAsia" w:ascii="Times New Roman" w:hAnsi="Times New Roman" w:eastAsia="方正仿宋_GB2312" w:cs="Times New Roman"/>
                <w:i w:val="0"/>
                <w:iCs w:val="0"/>
                <w:color w:val="000000"/>
                <w:sz w:val="20"/>
                <w:szCs w:val="20"/>
                <w:highlight w:val="none"/>
                <w:u w:val="none"/>
                <w:lang w:val="en-US" w:eastAsia="zh-CN"/>
              </w:rPr>
              <w:t>5</w:t>
            </w: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年度</w:t>
            </w:r>
          </w:p>
        </w:tc>
        <w:tc>
          <w:tcPr>
            <w:tcW w:w="2588" w:type="dxa"/>
            <w:gridSpan w:val="3"/>
            <w:tcBorders>
              <w:top w:val="nil"/>
              <w:left w:val="nil"/>
              <w:bottom w:val="single" w:color="000000" w:themeColor="text1" w:sz="8" w:space="0"/>
              <w:right w:val="nil"/>
            </w:tcBorders>
            <w:noWrap/>
            <w:vAlign w:val="bottom"/>
          </w:tcPr>
          <w:p>
            <w:pPr>
              <w:jc w:val="right"/>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金额单位：万元</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0" w:hRule="atLeast"/>
          <w:jc w:val="center"/>
        </w:trPr>
        <w:tc>
          <w:tcPr>
            <w:tcW w:w="2200"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项目</w:t>
            </w:r>
          </w:p>
        </w:tc>
        <w:tc>
          <w:tcPr>
            <w:tcW w:w="1037" w:type="dxa"/>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本年收入合计</w:t>
            </w:r>
          </w:p>
        </w:tc>
        <w:tc>
          <w:tcPr>
            <w:tcW w:w="1037" w:type="dxa"/>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财政拨款收入</w:t>
            </w:r>
          </w:p>
        </w:tc>
        <w:tc>
          <w:tcPr>
            <w:tcW w:w="1037" w:type="dxa"/>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上级补助收入</w:t>
            </w:r>
          </w:p>
        </w:tc>
        <w:tc>
          <w:tcPr>
            <w:tcW w:w="964" w:type="dxa"/>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事业收入</w:t>
            </w:r>
          </w:p>
        </w:tc>
        <w:tc>
          <w:tcPr>
            <w:tcW w:w="964" w:type="dxa"/>
            <w:gridSpan w:val="2"/>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经营收入</w:t>
            </w:r>
          </w:p>
        </w:tc>
        <w:tc>
          <w:tcPr>
            <w:tcW w:w="1027" w:type="dxa"/>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附属单位上缴收入</w:t>
            </w:r>
          </w:p>
        </w:tc>
        <w:tc>
          <w:tcPr>
            <w:tcW w:w="964" w:type="dxa"/>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其他收入</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jc w:val="center"/>
        </w:trPr>
        <w:tc>
          <w:tcPr>
            <w:tcW w:w="1040" w:type="dxa"/>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lang w:val="en-US" w:eastAsia="zh-CN"/>
              </w:rPr>
            </w:pPr>
            <w:r>
              <w:rPr>
                <w:rFonts w:hint="eastAsia" w:ascii="方正仿宋_GB2312" w:hAnsi="方正仿宋_GB2312" w:eastAsia="方正仿宋_GB2312" w:cs="方正仿宋_GB2312"/>
                <w:i w:val="0"/>
                <w:iCs w:val="0"/>
                <w:color w:val="000000"/>
                <w:sz w:val="20"/>
                <w:szCs w:val="20"/>
                <w:highlight w:val="none"/>
                <w:u w:val="none"/>
                <w:lang w:val="en-US" w:eastAsia="zh-CN"/>
              </w:rPr>
              <w:t>科目代码</w:t>
            </w:r>
          </w:p>
        </w:tc>
        <w:tc>
          <w:tcPr>
            <w:tcW w:w="1160" w:type="dxa"/>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科目名称</w:t>
            </w:r>
          </w:p>
        </w:tc>
        <w:tc>
          <w:tcPr>
            <w:tcW w:w="1037"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jc w:val="center"/>
              <w:rPr>
                <w:rFonts w:hint="eastAsia" w:ascii="宋体" w:hAnsi="宋体" w:eastAsia="宋体" w:cs="宋体"/>
                <w:i w:val="0"/>
                <w:iCs w:val="0"/>
                <w:color w:val="000000"/>
                <w:sz w:val="20"/>
                <w:szCs w:val="20"/>
                <w:highlight w:val="none"/>
                <w:u w:val="none"/>
              </w:rPr>
            </w:pPr>
          </w:p>
        </w:tc>
        <w:tc>
          <w:tcPr>
            <w:tcW w:w="1037"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jc w:val="center"/>
              <w:rPr>
                <w:rFonts w:hint="eastAsia" w:ascii="宋体" w:hAnsi="宋体" w:eastAsia="宋体" w:cs="宋体"/>
                <w:i w:val="0"/>
                <w:iCs w:val="0"/>
                <w:color w:val="000000"/>
                <w:sz w:val="20"/>
                <w:szCs w:val="20"/>
                <w:highlight w:val="none"/>
                <w:u w:val="none"/>
              </w:rPr>
            </w:pPr>
          </w:p>
        </w:tc>
        <w:tc>
          <w:tcPr>
            <w:tcW w:w="1037"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jc w:val="center"/>
              <w:rPr>
                <w:rFonts w:hint="eastAsia" w:ascii="宋体" w:hAnsi="宋体" w:eastAsia="宋体" w:cs="宋体"/>
                <w:i w:val="0"/>
                <w:iCs w:val="0"/>
                <w:color w:val="000000"/>
                <w:sz w:val="20"/>
                <w:szCs w:val="20"/>
                <w:highlight w:val="none"/>
                <w:u w:val="none"/>
              </w:rPr>
            </w:pPr>
          </w:p>
        </w:tc>
        <w:tc>
          <w:tcPr>
            <w:tcW w:w="964"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p>
        </w:tc>
        <w:tc>
          <w:tcPr>
            <w:tcW w:w="964" w:type="dxa"/>
            <w:gridSpan w:val="2"/>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jc w:val="center"/>
              <w:rPr>
                <w:rFonts w:hint="eastAsia" w:ascii="宋体" w:hAnsi="宋体" w:eastAsia="宋体" w:cs="宋体"/>
                <w:i w:val="0"/>
                <w:iCs w:val="0"/>
                <w:color w:val="000000"/>
                <w:sz w:val="20"/>
                <w:szCs w:val="20"/>
                <w:highlight w:val="none"/>
                <w:u w:val="none"/>
              </w:rPr>
            </w:pPr>
          </w:p>
        </w:tc>
        <w:tc>
          <w:tcPr>
            <w:tcW w:w="1027"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jc w:val="center"/>
              <w:rPr>
                <w:rFonts w:hint="eastAsia" w:ascii="宋体" w:hAnsi="宋体" w:eastAsia="宋体" w:cs="宋体"/>
                <w:i w:val="0"/>
                <w:iCs w:val="0"/>
                <w:color w:val="000000"/>
                <w:sz w:val="20"/>
                <w:szCs w:val="20"/>
                <w:highlight w:val="none"/>
                <w:u w:val="none"/>
              </w:rPr>
            </w:pPr>
          </w:p>
        </w:tc>
        <w:tc>
          <w:tcPr>
            <w:tcW w:w="964"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jc w:val="center"/>
              <w:rPr>
                <w:rFonts w:hint="eastAsia" w:ascii="宋体" w:hAnsi="宋体" w:eastAsia="宋体" w:cs="宋体"/>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jc w:val="center"/>
        </w:trPr>
        <w:tc>
          <w:tcPr>
            <w:tcW w:w="1040"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jc w:val="center"/>
              <w:rPr>
                <w:rFonts w:hint="eastAsia" w:ascii="方正仿宋_GB2312" w:hAnsi="方正仿宋_GB2312" w:eastAsia="方正仿宋_GB2312" w:cs="方正仿宋_GB2312"/>
                <w:i w:val="0"/>
                <w:iCs w:val="0"/>
                <w:color w:val="000000"/>
                <w:sz w:val="20"/>
                <w:szCs w:val="20"/>
                <w:highlight w:val="none"/>
                <w:u w:val="none"/>
              </w:rPr>
            </w:pPr>
          </w:p>
        </w:tc>
        <w:tc>
          <w:tcPr>
            <w:tcW w:w="1160"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center"/>
              <w:rPr>
                <w:rFonts w:hint="eastAsia" w:ascii="方正仿宋_GB2312" w:hAnsi="方正仿宋_GB2312" w:eastAsia="方正仿宋_GB2312" w:cs="方正仿宋_GB2312"/>
                <w:i w:val="0"/>
                <w:iCs w:val="0"/>
                <w:color w:val="000000"/>
                <w:sz w:val="20"/>
                <w:szCs w:val="20"/>
                <w:highlight w:val="none"/>
                <w:u w:val="none"/>
              </w:rPr>
            </w:pPr>
          </w:p>
        </w:tc>
        <w:tc>
          <w:tcPr>
            <w:tcW w:w="1037"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jc w:val="center"/>
              <w:rPr>
                <w:rFonts w:hint="eastAsia" w:ascii="宋体" w:hAnsi="宋体" w:eastAsia="宋体" w:cs="宋体"/>
                <w:i w:val="0"/>
                <w:iCs w:val="0"/>
                <w:color w:val="000000"/>
                <w:sz w:val="20"/>
                <w:szCs w:val="20"/>
                <w:highlight w:val="none"/>
                <w:u w:val="none"/>
              </w:rPr>
            </w:pPr>
          </w:p>
        </w:tc>
        <w:tc>
          <w:tcPr>
            <w:tcW w:w="1037"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jc w:val="center"/>
              <w:rPr>
                <w:rFonts w:hint="eastAsia" w:ascii="宋体" w:hAnsi="宋体" w:eastAsia="宋体" w:cs="宋体"/>
                <w:i w:val="0"/>
                <w:iCs w:val="0"/>
                <w:color w:val="000000"/>
                <w:sz w:val="20"/>
                <w:szCs w:val="20"/>
                <w:highlight w:val="none"/>
                <w:u w:val="none"/>
              </w:rPr>
            </w:pPr>
          </w:p>
        </w:tc>
        <w:tc>
          <w:tcPr>
            <w:tcW w:w="1037"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jc w:val="center"/>
              <w:rPr>
                <w:rFonts w:hint="eastAsia" w:ascii="宋体" w:hAnsi="宋体" w:eastAsia="宋体" w:cs="宋体"/>
                <w:i w:val="0"/>
                <w:iCs w:val="0"/>
                <w:color w:val="000000"/>
                <w:sz w:val="20"/>
                <w:szCs w:val="20"/>
                <w:highlight w:val="none"/>
                <w:u w:val="none"/>
              </w:rPr>
            </w:pPr>
          </w:p>
        </w:tc>
        <w:tc>
          <w:tcPr>
            <w:tcW w:w="964"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jc w:val="center"/>
              <w:rPr>
                <w:rFonts w:hint="eastAsia" w:ascii="宋体" w:hAnsi="宋体" w:eastAsia="宋体" w:cs="宋体"/>
                <w:i w:val="0"/>
                <w:iCs w:val="0"/>
                <w:color w:val="000000"/>
                <w:sz w:val="20"/>
                <w:szCs w:val="20"/>
                <w:highlight w:val="none"/>
                <w:u w:val="none"/>
              </w:rPr>
            </w:pPr>
          </w:p>
        </w:tc>
        <w:tc>
          <w:tcPr>
            <w:tcW w:w="964" w:type="dxa"/>
            <w:gridSpan w:val="2"/>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jc w:val="center"/>
              <w:rPr>
                <w:rFonts w:hint="eastAsia" w:ascii="宋体" w:hAnsi="宋体" w:eastAsia="宋体" w:cs="宋体"/>
                <w:i w:val="0"/>
                <w:iCs w:val="0"/>
                <w:color w:val="000000"/>
                <w:sz w:val="20"/>
                <w:szCs w:val="20"/>
                <w:highlight w:val="none"/>
                <w:u w:val="none"/>
              </w:rPr>
            </w:pPr>
          </w:p>
        </w:tc>
        <w:tc>
          <w:tcPr>
            <w:tcW w:w="1027"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jc w:val="center"/>
              <w:rPr>
                <w:rFonts w:hint="eastAsia" w:ascii="宋体" w:hAnsi="宋体" w:eastAsia="宋体" w:cs="宋体"/>
                <w:i w:val="0"/>
                <w:iCs w:val="0"/>
                <w:color w:val="000000"/>
                <w:sz w:val="20"/>
                <w:szCs w:val="20"/>
                <w:highlight w:val="none"/>
                <w:u w:val="none"/>
              </w:rPr>
            </w:pPr>
          </w:p>
        </w:tc>
        <w:tc>
          <w:tcPr>
            <w:tcW w:w="964"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jc w:val="center"/>
              <w:rPr>
                <w:rFonts w:hint="eastAsia" w:ascii="宋体" w:hAnsi="宋体" w:eastAsia="宋体" w:cs="宋体"/>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jc w:val="center"/>
        </w:trPr>
        <w:tc>
          <w:tcPr>
            <w:tcW w:w="1040"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jc w:val="center"/>
              <w:rPr>
                <w:rFonts w:hint="eastAsia" w:ascii="方正仿宋_GB2312" w:hAnsi="方正仿宋_GB2312" w:eastAsia="方正仿宋_GB2312" w:cs="方正仿宋_GB2312"/>
                <w:i w:val="0"/>
                <w:iCs w:val="0"/>
                <w:color w:val="000000"/>
                <w:sz w:val="20"/>
                <w:szCs w:val="20"/>
                <w:highlight w:val="none"/>
                <w:u w:val="none"/>
              </w:rPr>
            </w:pPr>
          </w:p>
        </w:tc>
        <w:tc>
          <w:tcPr>
            <w:tcW w:w="1160"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center"/>
              <w:rPr>
                <w:rFonts w:hint="eastAsia" w:ascii="方正仿宋_GB2312" w:hAnsi="方正仿宋_GB2312" w:eastAsia="方正仿宋_GB2312" w:cs="方正仿宋_GB2312"/>
                <w:i w:val="0"/>
                <w:iCs w:val="0"/>
                <w:color w:val="000000"/>
                <w:sz w:val="20"/>
                <w:szCs w:val="20"/>
                <w:highlight w:val="none"/>
                <w:u w:val="none"/>
              </w:rPr>
            </w:pPr>
          </w:p>
        </w:tc>
        <w:tc>
          <w:tcPr>
            <w:tcW w:w="1037"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jc w:val="center"/>
              <w:rPr>
                <w:rFonts w:hint="eastAsia" w:ascii="宋体" w:hAnsi="宋体" w:eastAsia="宋体" w:cs="宋体"/>
                <w:i w:val="0"/>
                <w:iCs w:val="0"/>
                <w:color w:val="000000"/>
                <w:sz w:val="20"/>
                <w:szCs w:val="20"/>
                <w:highlight w:val="none"/>
                <w:u w:val="none"/>
              </w:rPr>
            </w:pPr>
          </w:p>
        </w:tc>
        <w:tc>
          <w:tcPr>
            <w:tcW w:w="1037"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jc w:val="center"/>
              <w:rPr>
                <w:rFonts w:hint="eastAsia" w:ascii="宋体" w:hAnsi="宋体" w:eastAsia="宋体" w:cs="宋体"/>
                <w:i w:val="0"/>
                <w:iCs w:val="0"/>
                <w:color w:val="000000"/>
                <w:sz w:val="20"/>
                <w:szCs w:val="20"/>
                <w:highlight w:val="none"/>
                <w:u w:val="none"/>
              </w:rPr>
            </w:pPr>
          </w:p>
        </w:tc>
        <w:tc>
          <w:tcPr>
            <w:tcW w:w="1037"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jc w:val="center"/>
              <w:rPr>
                <w:rFonts w:hint="eastAsia" w:ascii="宋体" w:hAnsi="宋体" w:eastAsia="宋体" w:cs="宋体"/>
                <w:i w:val="0"/>
                <w:iCs w:val="0"/>
                <w:color w:val="000000"/>
                <w:sz w:val="20"/>
                <w:szCs w:val="20"/>
                <w:highlight w:val="none"/>
                <w:u w:val="none"/>
              </w:rPr>
            </w:pPr>
          </w:p>
        </w:tc>
        <w:tc>
          <w:tcPr>
            <w:tcW w:w="964"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jc w:val="center"/>
              <w:rPr>
                <w:rFonts w:hint="eastAsia" w:ascii="宋体" w:hAnsi="宋体" w:eastAsia="宋体" w:cs="宋体"/>
                <w:i w:val="0"/>
                <w:iCs w:val="0"/>
                <w:color w:val="000000"/>
                <w:sz w:val="20"/>
                <w:szCs w:val="20"/>
                <w:highlight w:val="none"/>
                <w:u w:val="none"/>
              </w:rPr>
            </w:pPr>
          </w:p>
        </w:tc>
        <w:tc>
          <w:tcPr>
            <w:tcW w:w="964" w:type="dxa"/>
            <w:gridSpan w:val="2"/>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jc w:val="center"/>
              <w:rPr>
                <w:rFonts w:hint="eastAsia" w:ascii="宋体" w:hAnsi="宋体" w:eastAsia="宋体" w:cs="宋体"/>
                <w:i w:val="0"/>
                <w:iCs w:val="0"/>
                <w:color w:val="000000"/>
                <w:sz w:val="20"/>
                <w:szCs w:val="20"/>
                <w:highlight w:val="none"/>
                <w:u w:val="none"/>
              </w:rPr>
            </w:pPr>
          </w:p>
        </w:tc>
        <w:tc>
          <w:tcPr>
            <w:tcW w:w="1027"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jc w:val="center"/>
              <w:rPr>
                <w:rFonts w:hint="eastAsia" w:ascii="宋体" w:hAnsi="宋体" w:eastAsia="宋体" w:cs="宋体"/>
                <w:i w:val="0"/>
                <w:iCs w:val="0"/>
                <w:color w:val="000000"/>
                <w:sz w:val="20"/>
                <w:szCs w:val="20"/>
                <w:highlight w:val="none"/>
                <w:u w:val="none"/>
              </w:rPr>
            </w:pPr>
          </w:p>
        </w:tc>
        <w:tc>
          <w:tcPr>
            <w:tcW w:w="964"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jc w:val="center"/>
              <w:rPr>
                <w:rFonts w:hint="eastAsia" w:ascii="宋体" w:hAnsi="宋体" w:eastAsia="宋体" w:cs="宋体"/>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4" w:hRule="atLeast"/>
          <w:jc w:val="center"/>
        </w:trPr>
        <w:tc>
          <w:tcPr>
            <w:tcW w:w="2200"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栏次</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宋体" w:hAnsi="宋体" w:eastAsia="宋体" w:cs="宋体"/>
                <w:i w:val="0"/>
                <w:iCs w:val="0"/>
                <w:color w:val="000000"/>
                <w:kern w:val="0"/>
                <w:sz w:val="20"/>
                <w:szCs w:val="20"/>
                <w:highlight w:val="none"/>
                <w:u w:val="none"/>
                <w:lang w:val="en-US" w:eastAsia="zh-CN" w:bidi="ar"/>
              </w:rPr>
              <w:t>1</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宋体" w:hAnsi="宋体" w:eastAsia="宋体" w:cs="宋体"/>
                <w:i w:val="0"/>
                <w:iCs w:val="0"/>
                <w:color w:val="000000"/>
                <w:kern w:val="0"/>
                <w:sz w:val="20"/>
                <w:szCs w:val="20"/>
                <w:highlight w:val="none"/>
                <w:u w:val="none"/>
                <w:lang w:val="en-US" w:eastAsia="zh-CN" w:bidi="ar"/>
              </w:rPr>
              <w:t>2</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宋体" w:hAnsi="宋体" w:eastAsia="宋体" w:cs="宋体"/>
                <w:i w:val="0"/>
                <w:iCs w:val="0"/>
                <w:color w:val="000000"/>
                <w:kern w:val="0"/>
                <w:sz w:val="20"/>
                <w:szCs w:val="20"/>
                <w:highlight w:val="none"/>
                <w:u w:val="none"/>
                <w:lang w:val="en-US" w:eastAsia="zh-CN" w:bidi="ar"/>
              </w:rPr>
              <w:t>3</w:t>
            </w: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keepNext w:val="0"/>
              <w:keepLines w:val="0"/>
              <w:widowControl/>
              <w:suppressLineNumbers w:val="0"/>
              <w:jc w:val="center"/>
              <w:textAlignment w:val="center"/>
              <w:rPr>
                <w:rFonts w:hint="default" w:ascii="宋体" w:hAnsi="宋体" w:eastAsia="宋体" w:cs="宋体"/>
                <w:i w:val="0"/>
                <w:iCs w:val="0"/>
                <w:color w:val="000000"/>
                <w:sz w:val="20"/>
                <w:szCs w:val="20"/>
                <w:highlight w:val="none"/>
                <w:u w:val="none"/>
                <w:lang w:val="en-US" w:eastAsia="zh-CN"/>
              </w:rPr>
            </w:pPr>
            <w:r>
              <w:rPr>
                <w:rFonts w:hint="eastAsia" w:ascii="宋体" w:hAnsi="宋体" w:eastAsia="宋体" w:cs="宋体"/>
                <w:i w:val="0"/>
                <w:iCs w:val="0"/>
                <w:color w:val="000000"/>
                <w:sz w:val="20"/>
                <w:szCs w:val="20"/>
                <w:highlight w:val="none"/>
                <w:u w:val="none"/>
                <w:lang w:val="en-US" w:eastAsia="zh-CN"/>
              </w:rPr>
              <w:t>4</w:t>
            </w:r>
          </w:p>
        </w:tc>
        <w:tc>
          <w:tcPr>
            <w:tcW w:w="964"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宋体" w:hAnsi="宋体" w:eastAsia="宋体" w:cs="宋体"/>
                <w:i w:val="0"/>
                <w:iCs w:val="0"/>
                <w:color w:val="000000"/>
                <w:kern w:val="0"/>
                <w:sz w:val="20"/>
                <w:szCs w:val="20"/>
                <w:highlight w:val="none"/>
                <w:u w:val="none"/>
                <w:lang w:val="en-US" w:eastAsia="zh-CN" w:bidi="ar"/>
              </w:rPr>
              <w:t>5</w:t>
            </w:r>
          </w:p>
        </w:tc>
        <w:tc>
          <w:tcPr>
            <w:tcW w:w="102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宋体" w:hAnsi="宋体" w:eastAsia="宋体" w:cs="宋体"/>
                <w:i w:val="0"/>
                <w:iCs w:val="0"/>
                <w:color w:val="000000"/>
                <w:kern w:val="0"/>
                <w:sz w:val="20"/>
                <w:szCs w:val="20"/>
                <w:highlight w:val="none"/>
                <w:u w:val="none"/>
                <w:lang w:val="en-US" w:eastAsia="zh-CN" w:bidi="ar"/>
              </w:rPr>
              <w:t>6</w:t>
            </w: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宋体" w:hAnsi="宋体" w:eastAsia="宋体" w:cs="宋体"/>
                <w:i w:val="0"/>
                <w:iCs w:val="0"/>
                <w:color w:val="000000"/>
                <w:kern w:val="0"/>
                <w:sz w:val="20"/>
                <w:szCs w:val="20"/>
                <w:highlight w:val="none"/>
                <w:u w:val="none"/>
                <w:lang w:val="en-US" w:eastAsia="zh-CN" w:bidi="ar"/>
              </w:rPr>
              <w:t>7</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7" w:hRule="atLeast"/>
          <w:jc w:val="center"/>
        </w:trPr>
        <w:tc>
          <w:tcPr>
            <w:tcW w:w="2200"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合计</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rPr>
              <w:t>544.68</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rPr>
              <w:t>544.68</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964"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102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104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default" w:ascii="Times New Roman" w:hAnsi="Times New Roman" w:eastAsia="方正仿宋_GB2312" w:cs="Times New Roman"/>
                <w:spacing w:val="-2"/>
                <w:sz w:val="20"/>
                <w:szCs w:val="20"/>
                <w:lang w:val="en-US" w:eastAsia="zh-CN"/>
              </w:rPr>
              <w:t>201</w:t>
            </w:r>
          </w:p>
        </w:tc>
        <w:tc>
          <w:tcPr>
            <w:tcW w:w="116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eastAsia" w:ascii="方正仿宋_GB2312" w:hAnsi="方正仿宋_GB2312" w:eastAsia="方正仿宋_GB2312" w:cs="方正仿宋_GB2312"/>
                <w:spacing w:val="-2"/>
                <w:sz w:val="20"/>
                <w:szCs w:val="20"/>
                <w:lang w:val="en-US" w:eastAsia="zh-CN"/>
              </w:rPr>
              <w:t>一般公共服务支出</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455.23</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455.23</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102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104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default" w:ascii="Times New Roman" w:hAnsi="Times New Roman" w:eastAsia="方正仿宋_GB2312" w:cs="Times New Roman"/>
                <w:spacing w:val="-2"/>
                <w:sz w:val="20"/>
                <w:szCs w:val="20"/>
                <w:lang w:val="en-US" w:eastAsia="zh-CN"/>
              </w:rPr>
              <w:t>20102</w:t>
            </w:r>
          </w:p>
        </w:tc>
        <w:tc>
          <w:tcPr>
            <w:tcW w:w="116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eastAsia" w:ascii="方正仿宋_GB2312" w:hAnsi="方正仿宋_GB2312" w:eastAsia="方正仿宋_GB2312" w:cs="方正仿宋_GB2312"/>
                <w:spacing w:val="-2"/>
                <w:sz w:val="20"/>
                <w:szCs w:val="20"/>
                <w:lang w:val="en-US" w:eastAsia="zh-CN"/>
              </w:rPr>
              <w:t>政协事务</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455.23</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455.23</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102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104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default" w:ascii="Times New Roman" w:hAnsi="Times New Roman" w:eastAsia="方正仿宋_GB2312" w:cs="Times New Roman"/>
                <w:spacing w:val="-2"/>
                <w:sz w:val="20"/>
                <w:szCs w:val="20"/>
                <w:lang w:val="en-US" w:eastAsia="zh-CN"/>
              </w:rPr>
              <w:t>2010201</w:t>
            </w:r>
          </w:p>
        </w:tc>
        <w:tc>
          <w:tcPr>
            <w:tcW w:w="116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eastAsia" w:ascii="方正仿宋_GB2312" w:hAnsi="方正仿宋_GB2312" w:eastAsia="方正仿宋_GB2312" w:cs="方正仿宋_GB2312"/>
                <w:spacing w:val="-2"/>
                <w:sz w:val="20"/>
                <w:szCs w:val="20"/>
                <w:lang w:val="en-US" w:eastAsia="zh-CN"/>
              </w:rPr>
              <w:t>行政运行</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383.62</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383.62</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102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104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default" w:ascii="Times New Roman" w:hAnsi="Times New Roman" w:eastAsia="方正仿宋_GB2312" w:cs="Times New Roman"/>
                <w:spacing w:val="-2"/>
                <w:sz w:val="20"/>
                <w:szCs w:val="20"/>
                <w:lang w:val="en-US" w:eastAsia="zh-CN"/>
              </w:rPr>
              <w:t>2010204</w:t>
            </w:r>
          </w:p>
        </w:tc>
        <w:tc>
          <w:tcPr>
            <w:tcW w:w="116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eastAsia" w:ascii="方正仿宋_GB2312" w:hAnsi="方正仿宋_GB2312" w:eastAsia="方正仿宋_GB2312" w:cs="方正仿宋_GB2312"/>
                <w:spacing w:val="-2"/>
                <w:sz w:val="20"/>
                <w:szCs w:val="20"/>
                <w:lang w:val="en-US" w:eastAsia="zh-CN"/>
              </w:rPr>
              <w:t>政协会议</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33.63</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33.63</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102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104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default" w:ascii="Times New Roman" w:hAnsi="Times New Roman" w:eastAsia="方正仿宋_GB2312" w:cs="Times New Roman"/>
                <w:spacing w:val="-2"/>
                <w:sz w:val="20"/>
                <w:szCs w:val="20"/>
                <w:lang w:val="en-US" w:eastAsia="zh-CN"/>
              </w:rPr>
              <w:t>2010299</w:t>
            </w:r>
          </w:p>
        </w:tc>
        <w:tc>
          <w:tcPr>
            <w:tcW w:w="116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eastAsia" w:ascii="方正仿宋_GB2312" w:hAnsi="方正仿宋_GB2312" w:eastAsia="方正仿宋_GB2312" w:cs="方正仿宋_GB2312"/>
                <w:spacing w:val="-2"/>
                <w:sz w:val="20"/>
                <w:szCs w:val="20"/>
                <w:lang w:val="en-US" w:eastAsia="zh-CN"/>
              </w:rPr>
              <w:t>其他政协事务支出</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37.99</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37.99</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102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104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default" w:ascii="Times New Roman" w:hAnsi="Times New Roman" w:eastAsia="方正仿宋_GB2312" w:cs="Times New Roman"/>
                <w:spacing w:val="-2"/>
                <w:sz w:val="20"/>
                <w:szCs w:val="20"/>
                <w:lang w:val="en-US" w:eastAsia="zh-CN"/>
              </w:rPr>
              <w:t>208</w:t>
            </w:r>
          </w:p>
        </w:tc>
        <w:tc>
          <w:tcPr>
            <w:tcW w:w="116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eastAsia" w:ascii="方正仿宋_GB2312" w:hAnsi="方正仿宋_GB2312" w:eastAsia="方正仿宋_GB2312" w:cs="方正仿宋_GB2312"/>
                <w:spacing w:val="-2"/>
                <w:sz w:val="20"/>
                <w:szCs w:val="20"/>
                <w:lang w:val="en-US" w:eastAsia="zh-CN"/>
              </w:rPr>
              <w:t>社会保障和就业支出</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71.37</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71.37</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102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104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default" w:ascii="Times New Roman" w:hAnsi="Times New Roman" w:eastAsia="方正仿宋_GB2312" w:cs="Times New Roman"/>
                <w:spacing w:val="-2"/>
                <w:sz w:val="20"/>
                <w:szCs w:val="20"/>
                <w:lang w:val="en-US" w:eastAsia="zh-CN"/>
              </w:rPr>
              <w:t>20805</w:t>
            </w:r>
          </w:p>
        </w:tc>
        <w:tc>
          <w:tcPr>
            <w:tcW w:w="116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eastAsia" w:ascii="方正仿宋_GB2312" w:hAnsi="方正仿宋_GB2312" w:eastAsia="方正仿宋_GB2312" w:cs="方正仿宋_GB2312"/>
                <w:spacing w:val="-2"/>
                <w:sz w:val="20"/>
                <w:szCs w:val="20"/>
                <w:lang w:val="en-US" w:eastAsia="zh-CN"/>
              </w:rPr>
              <w:t>行政事业单位养老支出</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63.63</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63.63</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102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104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default" w:ascii="Times New Roman" w:hAnsi="Times New Roman" w:eastAsia="方正仿宋_GB2312" w:cs="Times New Roman"/>
                <w:spacing w:val="-2"/>
                <w:sz w:val="20"/>
                <w:szCs w:val="20"/>
                <w:lang w:val="en-US" w:eastAsia="zh-CN"/>
              </w:rPr>
              <w:t>2080505</w:t>
            </w:r>
          </w:p>
        </w:tc>
        <w:tc>
          <w:tcPr>
            <w:tcW w:w="116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eastAsia" w:ascii="方正仿宋_GB2312" w:hAnsi="方正仿宋_GB2312" w:eastAsia="方正仿宋_GB2312" w:cs="方正仿宋_GB2312"/>
                <w:spacing w:val="-2"/>
                <w:sz w:val="20"/>
                <w:szCs w:val="20"/>
                <w:lang w:val="en-US" w:eastAsia="zh-CN"/>
              </w:rPr>
              <w:t>机关事业单位基本养老保险缴费支出</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54.56</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54.56</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102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104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default" w:ascii="Times New Roman" w:hAnsi="Times New Roman" w:eastAsia="方正仿宋_GB2312" w:cs="Times New Roman"/>
                <w:spacing w:val="-2"/>
                <w:sz w:val="20"/>
                <w:szCs w:val="20"/>
                <w:lang w:val="en-US" w:eastAsia="zh-CN"/>
              </w:rPr>
              <w:t>2080506</w:t>
            </w:r>
          </w:p>
        </w:tc>
        <w:tc>
          <w:tcPr>
            <w:tcW w:w="116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eastAsia" w:ascii="方正仿宋_GB2312" w:hAnsi="方正仿宋_GB2312" w:eastAsia="方正仿宋_GB2312" w:cs="方正仿宋_GB2312"/>
                <w:spacing w:val="-2"/>
                <w:sz w:val="20"/>
                <w:szCs w:val="20"/>
                <w:lang w:val="en-US" w:eastAsia="zh-CN"/>
              </w:rPr>
              <w:t>机关事业单位职业年金缴费支出</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9.07</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9.07</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102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104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default" w:ascii="Times New Roman" w:hAnsi="Times New Roman" w:eastAsia="方正仿宋_GB2312" w:cs="Times New Roman"/>
                <w:spacing w:val="-2"/>
                <w:sz w:val="20"/>
                <w:szCs w:val="20"/>
                <w:lang w:val="en-US" w:eastAsia="zh-CN"/>
              </w:rPr>
              <w:t>20808</w:t>
            </w:r>
          </w:p>
        </w:tc>
        <w:tc>
          <w:tcPr>
            <w:tcW w:w="116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eastAsia" w:ascii="方正仿宋_GB2312" w:hAnsi="方正仿宋_GB2312" w:eastAsia="方正仿宋_GB2312" w:cs="方正仿宋_GB2312"/>
                <w:spacing w:val="-2"/>
                <w:sz w:val="20"/>
                <w:szCs w:val="20"/>
                <w:lang w:val="en-US" w:eastAsia="zh-CN"/>
              </w:rPr>
              <w:t>抚恤</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7.74</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7.74</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102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104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default" w:ascii="Times New Roman" w:hAnsi="Times New Roman" w:eastAsia="方正仿宋_GB2312" w:cs="Times New Roman"/>
                <w:spacing w:val="-2"/>
                <w:sz w:val="20"/>
                <w:szCs w:val="20"/>
                <w:lang w:val="en-US" w:eastAsia="zh-CN"/>
              </w:rPr>
              <w:t>2080801</w:t>
            </w:r>
          </w:p>
        </w:tc>
        <w:tc>
          <w:tcPr>
            <w:tcW w:w="116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eastAsia" w:ascii="方正仿宋_GB2312" w:hAnsi="方正仿宋_GB2312" w:eastAsia="方正仿宋_GB2312" w:cs="方正仿宋_GB2312"/>
                <w:spacing w:val="-2"/>
                <w:sz w:val="20"/>
                <w:szCs w:val="20"/>
                <w:lang w:val="en-US" w:eastAsia="zh-CN"/>
              </w:rPr>
              <w:t>死亡抚恤</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7.74</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7.74</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102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104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default" w:ascii="Times New Roman" w:hAnsi="Times New Roman" w:eastAsia="方正仿宋_GB2312" w:cs="Times New Roman"/>
                <w:spacing w:val="-2"/>
                <w:sz w:val="20"/>
                <w:szCs w:val="20"/>
                <w:lang w:val="en-US" w:eastAsia="zh-CN"/>
              </w:rPr>
              <w:t>210</w:t>
            </w:r>
          </w:p>
        </w:tc>
        <w:tc>
          <w:tcPr>
            <w:tcW w:w="116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eastAsia" w:ascii="方正仿宋_GB2312" w:hAnsi="方正仿宋_GB2312" w:eastAsia="方正仿宋_GB2312" w:cs="方正仿宋_GB2312"/>
                <w:spacing w:val="-2"/>
                <w:sz w:val="20"/>
                <w:szCs w:val="20"/>
                <w:lang w:val="en-US" w:eastAsia="zh-CN"/>
              </w:rPr>
              <w:t>卫生健康支出</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18.08</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18.08</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102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104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default" w:ascii="Times New Roman" w:hAnsi="Times New Roman" w:eastAsia="方正仿宋_GB2312" w:cs="Times New Roman"/>
                <w:spacing w:val="-2"/>
                <w:sz w:val="20"/>
                <w:szCs w:val="20"/>
                <w:lang w:val="en-US" w:eastAsia="zh-CN"/>
              </w:rPr>
              <w:t>21011</w:t>
            </w:r>
          </w:p>
        </w:tc>
        <w:tc>
          <w:tcPr>
            <w:tcW w:w="116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eastAsia" w:ascii="方正仿宋_GB2312" w:hAnsi="方正仿宋_GB2312" w:eastAsia="方正仿宋_GB2312" w:cs="方正仿宋_GB2312"/>
                <w:spacing w:val="-2"/>
                <w:sz w:val="20"/>
                <w:szCs w:val="20"/>
                <w:lang w:val="en-US" w:eastAsia="zh-CN"/>
              </w:rPr>
              <w:t>行政事业单位医疗</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18.08</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18.08</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102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104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default" w:ascii="Times New Roman" w:hAnsi="Times New Roman" w:eastAsia="方正仿宋_GB2312" w:cs="Times New Roman"/>
                <w:spacing w:val="-2"/>
                <w:sz w:val="20"/>
                <w:szCs w:val="20"/>
                <w:lang w:val="en-US" w:eastAsia="zh-CN"/>
              </w:rPr>
              <w:t>2101101</w:t>
            </w:r>
          </w:p>
        </w:tc>
        <w:tc>
          <w:tcPr>
            <w:tcW w:w="116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eastAsia" w:ascii="方正仿宋_GB2312" w:hAnsi="方正仿宋_GB2312" w:eastAsia="方正仿宋_GB2312" w:cs="方正仿宋_GB2312"/>
                <w:spacing w:val="-2"/>
                <w:sz w:val="20"/>
                <w:szCs w:val="20"/>
                <w:lang w:val="en-US" w:eastAsia="zh-CN"/>
              </w:rPr>
              <w:t>行政单位医疗</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18.08</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18.08</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102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9230" w:type="dxa"/>
            <w:gridSpan w:val="10"/>
            <w:tcBorders>
              <w:top w:val="single" w:color="000000" w:themeColor="text1" w:sz="8" w:space="0"/>
              <w:left w:val="nil"/>
              <w:bottom w:val="nil"/>
              <w:right w:val="nil"/>
            </w:tcBorders>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注：本表反映部门本年度取得的各项收入情况。</w:t>
            </w:r>
          </w:p>
        </w:tc>
      </w:tr>
    </w:tbl>
    <w:p>
      <w:pPr>
        <w:keepNext w:val="0"/>
        <w:keepLines w:val="0"/>
        <w:pageBreakBefore w:val="0"/>
        <w:widowControl w:val="0"/>
        <w:kinsoku/>
        <w:wordWrap/>
        <w:overflowPunct/>
        <w:topLinePunct w:val="0"/>
        <w:autoSpaceDE/>
        <w:autoSpaceDN/>
        <w:bidi w:val="0"/>
        <w:adjustRightInd/>
        <w:snapToGrid/>
        <w:spacing w:line="240" w:lineRule="auto"/>
        <w:jc w:val="both"/>
        <w:textAlignment w:val="auto"/>
        <w:outlineLvl w:val="9"/>
        <w:rPr>
          <w:rFonts w:hint="eastAsia" w:ascii="仿宋_GB2312" w:hAnsi="宋体" w:eastAsia="仿宋_GB2312"/>
          <w:b/>
          <w:color w:val="auto"/>
          <w:kern w:val="0"/>
          <w:sz w:val="32"/>
          <w:szCs w:val="32"/>
          <w:highlight w:val="none"/>
        </w:rPr>
      </w:pPr>
    </w:p>
    <w:p>
      <w:pPr>
        <w:rPr>
          <w:rFonts w:hint="eastAsia" w:ascii="黑体" w:hAnsi="黑体" w:eastAsia="黑体" w:cs="宋体"/>
          <w:bCs/>
          <w:kern w:val="0"/>
          <w:sz w:val="32"/>
          <w:szCs w:val="32"/>
          <w:highlight w:val="none"/>
        </w:rPr>
      </w:pPr>
      <w:r>
        <w:rPr>
          <w:rFonts w:hint="eastAsia" w:ascii="仿宋_GB2312" w:hAnsi="宋体" w:eastAsia="仿宋_GB2312"/>
          <w:b/>
          <w:color w:val="auto"/>
          <w:kern w:val="0"/>
          <w:sz w:val="32"/>
          <w:szCs w:val="32"/>
          <w:highlight w:val="none"/>
        </w:rPr>
        <w:br w:type="page"/>
      </w:r>
    </w:p>
    <w:tbl>
      <w:tblPr>
        <w:tblStyle w:val="11"/>
        <w:tblW w:w="5812" w:type="pct"/>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1040"/>
        <w:gridCol w:w="1187"/>
        <w:gridCol w:w="1128"/>
        <w:gridCol w:w="126"/>
        <w:gridCol w:w="1000"/>
        <w:gridCol w:w="1126"/>
        <w:gridCol w:w="497"/>
        <w:gridCol w:w="629"/>
        <w:gridCol w:w="1126"/>
        <w:gridCol w:w="1487"/>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50" w:hRule="atLeast"/>
          <w:jc w:val="center"/>
        </w:trPr>
        <w:tc>
          <w:tcPr>
            <w:tcW w:w="5000" w:type="pct"/>
            <w:gridSpan w:val="10"/>
            <w:tcBorders>
              <w:top w:val="nil"/>
              <w:left w:val="nil"/>
              <w:bottom w:val="nil"/>
              <w:right w:val="nil"/>
            </w:tcBorders>
            <w:noWrap/>
            <w:vAlign w:val="bottom"/>
          </w:tcPr>
          <w:p>
            <w:pPr>
              <w:keepNext w:val="0"/>
              <w:keepLines w:val="0"/>
              <w:pageBreakBefore w:val="0"/>
              <w:widowControl w:val="0"/>
              <w:kinsoku/>
              <w:wordWrap/>
              <w:overflowPunct/>
              <w:topLinePunct w:val="0"/>
              <w:autoSpaceDE/>
              <w:autoSpaceDN/>
              <w:bidi w:val="0"/>
              <w:adjustRightInd/>
              <w:snapToGrid/>
              <w:spacing w:line="240" w:lineRule="auto"/>
              <w:jc w:val="center"/>
              <w:textAlignment w:val="auto"/>
              <w:outlineLvl w:val="1"/>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b w:val="0"/>
                <w:bCs/>
                <w:color w:val="auto"/>
                <w:kern w:val="0"/>
                <w:sz w:val="32"/>
                <w:szCs w:val="32"/>
                <w:highlight w:val="none"/>
                <w:lang w:val="en-US" w:eastAsia="zh-CN"/>
              </w:rPr>
              <w:br w:type="page"/>
            </w:r>
            <w:r>
              <w:rPr>
                <w:rFonts w:hint="eastAsia" w:ascii="方正仿宋_GB2312" w:hAnsi="方正仿宋_GB2312" w:eastAsia="方正仿宋_GB2312" w:cs="方正仿宋_GB2312"/>
                <w:b w:val="0"/>
                <w:bCs/>
                <w:color w:val="auto"/>
                <w:kern w:val="0"/>
                <w:sz w:val="32"/>
                <w:szCs w:val="32"/>
                <w:highlight w:val="none"/>
                <w:lang w:val="en-US" w:eastAsia="zh-CN"/>
              </w:rPr>
              <w:t>支出决算表</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jc w:val="center"/>
        </w:trPr>
        <w:tc>
          <w:tcPr>
            <w:tcW w:w="5000" w:type="pct"/>
            <w:gridSpan w:val="10"/>
            <w:tcBorders>
              <w:top w:val="nil"/>
              <w:left w:val="nil"/>
              <w:bottom w:val="nil"/>
              <w:right w:val="nil"/>
            </w:tcBorders>
            <w:noWrap/>
            <w:vAlign w:val="bottom"/>
          </w:tcPr>
          <w:p>
            <w:pPr>
              <w:keepNext w:val="0"/>
              <w:keepLines w:val="0"/>
              <w:widowControl/>
              <w:suppressLineNumbers w:val="0"/>
              <w:jc w:val="right"/>
              <w:textAlignment w:val="bottom"/>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公开</w:t>
            </w:r>
            <w:r>
              <w:rPr>
                <w:rFonts w:hint="default" w:ascii="Times New Roman" w:hAnsi="Times New Roman" w:eastAsia="宋体" w:cs="Times New Roman"/>
                <w:i w:val="0"/>
                <w:iCs w:val="0"/>
                <w:color w:val="000000"/>
                <w:kern w:val="0"/>
                <w:sz w:val="20"/>
                <w:szCs w:val="20"/>
                <w:highlight w:val="none"/>
                <w:u w:val="none"/>
                <w:lang w:val="en-US" w:eastAsia="zh-CN" w:bidi="ar"/>
              </w:rPr>
              <w:t>03</w:t>
            </w: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表</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jc w:val="center"/>
        </w:trPr>
        <w:tc>
          <w:tcPr>
            <w:tcW w:w="1862" w:type="pct"/>
            <w:gridSpan w:val="4"/>
            <w:tcBorders>
              <w:top w:val="nil"/>
              <w:left w:val="nil"/>
              <w:bottom w:val="single" w:color="000000" w:themeColor="text1" w:sz="8" w:space="0"/>
              <w:right w:val="nil"/>
            </w:tcBorders>
            <w:noWrap/>
            <w:vAlign w:val="bottom"/>
          </w:tcPr>
          <w:p>
            <w:pPr>
              <w:keepNext w:val="0"/>
              <w:keepLines w:val="0"/>
              <w:widowControl/>
              <w:suppressLineNumbers w:val="0"/>
              <w:jc w:val="left"/>
              <w:textAlignment w:val="bottom"/>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 xml:space="preserve">部门（单位）：中国人民政治协商会议无极县委员会办公室(本级) </w:t>
            </w:r>
            <w:r>
              <w:rPr>
                <w:rFonts w:hint="eastAsia" w:asciiTheme="minorEastAsia" w:hAnsiTheme="minorEastAsia" w:eastAsiaTheme="minorEastAsia" w:cstheme="minorEastAsia"/>
                <w:i w:val="0"/>
                <w:iCs w:val="0"/>
                <w:color w:val="000000"/>
                <w:kern w:val="0"/>
                <w:sz w:val="20"/>
                <w:szCs w:val="20"/>
                <w:highlight w:val="none"/>
                <w:u w:val="none"/>
                <w:lang w:val="en-US" w:eastAsia="zh-CN" w:bidi="ar"/>
              </w:rPr>
              <w:t xml:space="preserve">                                                                                                         </w:t>
            </w:r>
          </w:p>
        </w:tc>
        <w:tc>
          <w:tcPr>
            <w:tcW w:w="1403" w:type="pct"/>
            <w:gridSpan w:val="3"/>
            <w:tcBorders>
              <w:top w:val="nil"/>
              <w:left w:val="nil"/>
              <w:bottom w:val="single" w:color="000000" w:themeColor="text1" w:sz="8" w:space="0"/>
              <w:right w:val="nil"/>
            </w:tcBorders>
            <w:noWrap/>
            <w:vAlign w:val="bottom"/>
          </w:tcPr>
          <w:p>
            <w:pPr>
              <w:keepNext w:val="0"/>
              <w:keepLines w:val="0"/>
              <w:widowControl/>
              <w:suppressLineNumbers w:val="0"/>
              <w:jc w:val="center"/>
              <w:textAlignment w:val="bottom"/>
              <w:rPr>
                <w:rFonts w:hint="eastAsia" w:asciiTheme="minorEastAsia" w:hAnsiTheme="minorEastAsia" w:eastAsiaTheme="minorEastAsia" w:cstheme="minorEastAsia"/>
                <w:i w:val="0"/>
                <w:iCs w:val="0"/>
                <w:color w:val="000000"/>
                <w:kern w:val="0"/>
                <w:sz w:val="20"/>
                <w:szCs w:val="20"/>
                <w:highlight w:val="none"/>
                <w:u w:val="none"/>
                <w:lang w:val="en-US" w:eastAsia="zh-CN" w:bidi="ar"/>
              </w:rPr>
            </w:pPr>
            <w:r>
              <w:rPr>
                <w:rFonts w:hint="default" w:ascii="Times New Roman" w:hAnsi="Times New Roman" w:cs="Times New Roman" w:eastAsiaTheme="minorEastAsia"/>
                <w:i w:val="0"/>
                <w:iCs w:val="0"/>
                <w:color w:val="000000"/>
                <w:kern w:val="0"/>
                <w:sz w:val="20"/>
                <w:szCs w:val="20"/>
                <w:highlight w:val="none"/>
                <w:u w:val="none"/>
                <w:lang w:val="en-US" w:eastAsia="zh-CN" w:bidi="ar"/>
              </w:rPr>
              <w:t>202</w:t>
            </w:r>
            <w:r>
              <w:rPr>
                <w:rFonts w:hint="eastAsia" w:ascii="Times New Roman" w:hAnsi="Times New Roman" w:cs="Times New Roman"/>
                <w:i w:val="0"/>
                <w:iCs w:val="0"/>
                <w:color w:val="000000"/>
                <w:kern w:val="0"/>
                <w:sz w:val="20"/>
                <w:szCs w:val="20"/>
                <w:highlight w:val="none"/>
                <w:u w:val="none"/>
                <w:lang w:val="en-US" w:eastAsia="zh-CN" w:bidi="ar"/>
              </w:rPr>
              <w:t>5</w:t>
            </w: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年度</w:t>
            </w:r>
          </w:p>
        </w:tc>
        <w:tc>
          <w:tcPr>
            <w:tcW w:w="1734" w:type="pct"/>
            <w:gridSpan w:val="3"/>
            <w:tcBorders>
              <w:top w:val="nil"/>
              <w:left w:val="nil"/>
              <w:bottom w:val="single" w:color="000000" w:themeColor="text1" w:sz="8" w:space="0"/>
              <w:right w:val="nil"/>
            </w:tcBorders>
            <w:noWrap/>
            <w:vAlign w:val="bottom"/>
          </w:tcPr>
          <w:p>
            <w:pPr>
              <w:keepNext w:val="0"/>
              <w:keepLines w:val="0"/>
              <w:widowControl/>
              <w:suppressLineNumbers w:val="0"/>
              <w:jc w:val="right"/>
              <w:textAlignment w:val="bottom"/>
              <w:rPr>
                <w:rFonts w:hint="eastAsia" w:asciiTheme="minorEastAsia" w:hAnsiTheme="minorEastAsia" w:eastAsiaTheme="minorEastAsia" w:cstheme="minorEastAsia"/>
                <w:i w:val="0"/>
                <w:iCs w:val="0"/>
                <w:color w:val="000000"/>
                <w:kern w:val="0"/>
                <w:sz w:val="20"/>
                <w:szCs w:val="20"/>
                <w:highlight w:val="none"/>
                <w:u w:val="none"/>
                <w:lang w:val="en-US" w:eastAsia="zh-CN" w:bidi="ar"/>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 xml:space="preserve"> 金额单位：万元</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0" w:hRule="atLeast"/>
          <w:jc w:val="center"/>
        </w:trPr>
        <w:tc>
          <w:tcPr>
            <w:tcW w:w="1191"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项目</w:t>
            </w:r>
          </w:p>
        </w:tc>
        <w:tc>
          <w:tcPr>
            <w:tcW w:w="603" w:type="pct"/>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本年支出合计</w:t>
            </w:r>
          </w:p>
        </w:tc>
        <w:tc>
          <w:tcPr>
            <w:tcW w:w="602" w:type="pct"/>
            <w:gridSpan w:val="2"/>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基本支出</w:t>
            </w:r>
          </w:p>
        </w:tc>
        <w:tc>
          <w:tcPr>
            <w:tcW w:w="602" w:type="pct"/>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项目支出</w:t>
            </w:r>
          </w:p>
        </w:tc>
        <w:tc>
          <w:tcPr>
            <w:tcW w:w="602" w:type="pct"/>
            <w:gridSpan w:val="2"/>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上缴上级支出</w:t>
            </w:r>
          </w:p>
        </w:tc>
        <w:tc>
          <w:tcPr>
            <w:tcW w:w="602" w:type="pct"/>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经营支出</w:t>
            </w:r>
          </w:p>
        </w:tc>
        <w:tc>
          <w:tcPr>
            <w:tcW w:w="795" w:type="pct"/>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对附属单位补助支出</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556" w:type="pct"/>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lang w:val="en-US" w:eastAsia="zh-CN"/>
              </w:rPr>
            </w:pPr>
            <w:r>
              <w:rPr>
                <w:rFonts w:hint="eastAsia" w:ascii="方正仿宋_GB2312" w:hAnsi="方正仿宋_GB2312" w:eastAsia="方正仿宋_GB2312" w:cs="方正仿宋_GB2312"/>
                <w:i w:val="0"/>
                <w:iCs w:val="0"/>
                <w:color w:val="000000"/>
                <w:sz w:val="20"/>
                <w:szCs w:val="20"/>
                <w:highlight w:val="none"/>
                <w:u w:val="none"/>
                <w:lang w:val="en-US" w:eastAsia="zh-CN"/>
              </w:rPr>
              <w:t>科目代码</w:t>
            </w:r>
          </w:p>
        </w:tc>
        <w:tc>
          <w:tcPr>
            <w:tcW w:w="635" w:type="pct"/>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科目名称</w:t>
            </w:r>
          </w:p>
        </w:tc>
        <w:tc>
          <w:tcPr>
            <w:tcW w:w="603"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jc w:val="center"/>
              <w:rPr>
                <w:rFonts w:hint="eastAsia" w:ascii="宋体" w:hAnsi="宋体" w:eastAsia="宋体" w:cs="宋体"/>
                <w:i w:val="0"/>
                <w:iCs w:val="0"/>
                <w:color w:val="000000"/>
                <w:sz w:val="20"/>
                <w:szCs w:val="20"/>
                <w:highlight w:val="none"/>
                <w:u w:val="none"/>
              </w:rPr>
            </w:pPr>
          </w:p>
        </w:tc>
        <w:tc>
          <w:tcPr>
            <w:tcW w:w="602" w:type="pct"/>
            <w:gridSpan w:val="2"/>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jc w:val="center"/>
              <w:rPr>
                <w:rFonts w:hint="eastAsia" w:ascii="宋体" w:hAnsi="宋体" w:eastAsia="宋体" w:cs="宋体"/>
                <w:i w:val="0"/>
                <w:iCs w:val="0"/>
                <w:color w:val="000000"/>
                <w:sz w:val="20"/>
                <w:szCs w:val="20"/>
                <w:highlight w:val="none"/>
                <w:u w:val="none"/>
              </w:rPr>
            </w:pPr>
          </w:p>
        </w:tc>
        <w:tc>
          <w:tcPr>
            <w:tcW w:w="602"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jc w:val="center"/>
              <w:rPr>
                <w:rFonts w:hint="eastAsia" w:ascii="宋体" w:hAnsi="宋体" w:eastAsia="宋体" w:cs="宋体"/>
                <w:i w:val="0"/>
                <w:iCs w:val="0"/>
                <w:color w:val="000000"/>
                <w:sz w:val="20"/>
                <w:szCs w:val="20"/>
                <w:highlight w:val="none"/>
                <w:u w:val="none"/>
              </w:rPr>
            </w:pPr>
          </w:p>
        </w:tc>
        <w:tc>
          <w:tcPr>
            <w:tcW w:w="602" w:type="pct"/>
            <w:gridSpan w:val="2"/>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jc w:val="center"/>
              <w:rPr>
                <w:rFonts w:hint="eastAsia" w:ascii="宋体" w:hAnsi="宋体" w:eastAsia="宋体" w:cs="宋体"/>
                <w:i w:val="0"/>
                <w:iCs w:val="0"/>
                <w:color w:val="000000"/>
                <w:sz w:val="20"/>
                <w:szCs w:val="20"/>
                <w:highlight w:val="none"/>
                <w:u w:val="none"/>
              </w:rPr>
            </w:pPr>
          </w:p>
        </w:tc>
        <w:tc>
          <w:tcPr>
            <w:tcW w:w="602"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jc w:val="center"/>
              <w:rPr>
                <w:rFonts w:hint="eastAsia" w:ascii="宋体" w:hAnsi="宋体" w:eastAsia="宋体" w:cs="宋体"/>
                <w:i w:val="0"/>
                <w:iCs w:val="0"/>
                <w:color w:val="000000"/>
                <w:sz w:val="20"/>
                <w:szCs w:val="20"/>
                <w:highlight w:val="none"/>
                <w:u w:val="none"/>
              </w:rPr>
            </w:pPr>
          </w:p>
        </w:tc>
        <w:tc>
          <w:tcPr>
            <w:tcW w:w="795"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jc w:val="center"/>
              <w:rPr>
                <w:rFonts w:hint="eastAsia" w:ascii="宋体" w:hAnsi="宋体" w:eastAsia="宋体" w:cs="宋体"/>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556"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jc w:val="center"/>
              <w:rPr>
                <w:rFonts w:hint="eastAsia" w:ascii="宋体" w:hAnsi="宋体" w:eastAsia="宋体" w:cs="宋体"/>
                <w:i w:val="0"/>
                <w:iCs w:val="0"/>
                <w:color w:val="000000"/>
                <w:sz w:val="20"/>
                <w:szCs w:val="20"/>
                <w:highlight w:val="none"/>
                <w:u w:val="none"/>
              </w:rPr>
            </w:pPr>
          </w:p>
        </w:tc>
        <w:tc>
          <w:tcPr>
            <w:tcW w:w="635"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center"/>
              <w:rPr>
                <w:rFonts w:hint="eastAsia" w:ascii="宋体" w:hAnsi="宋体" w:eastAsia="宋体" w:cs="宋体"/>
                <w:i w:val="0"/>
                <w:iCs w:val="0"/>
                <w:color w:val="000000"/>
                <w:sz w:val="20"/>
                <w:szCs w:val="20"/>
                <w:highlight w:val="none"/>
                <w:u w:val="none"/>
              </w:rPr>
            </w:pPr>
          </w:p>
        </w:tc>
        <w:tc>
          <w:tcPr>
            <w:tcW w:w="603"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jc w:val="center"/>
              <w:rPr>
                <w:rFonts w:hint="eastAsia" w:ascii="宋体" w:hAnsi="宋体" w:eastAsia="宋体" w:cs="宋体"/>
                <w:i w:val="0"/>
                <w:iCs w:val="0"/>
                <w:color w:val="000000"/>
                <w:sz w:val="20"/>
                <w:szCs w:val="20"/>
                <w:highlight w:val="none"/>
                <w:u w:val="none"/>
              </w:rPr>
            </w:pPr>
          </w:p>
        </w:tc>
        <w:tc>
          <w:tcPr>
            <w:tcW w:w="602" w:type="pct"/>
            <w:gridSpan w:val="2"/>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jc w:val="center"/>
              <w:rPr>
                <w:rFonts w:hint="eastAsia" w:ascii="宋体" w:hAnsi="宋体" w:eastAsia="宋体" w:cs="宋体"/>
                <w:i w:val="0"/>
                <w:iCs w:val="0"/>
                <w:color w:val="000000"/>
                <w:sz w:val="20"/>
                <w:szCs w:val="20"/>
                <w:highlight w:val="none"/>
                <w:u w:val="none"/>
              </w:rPr>
            </w:pPr>
          </w:p>
        </w:tc>
        <w:tc>
          <w:tcPr>
            <w:tcW w:w="602"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jc w:val="center"/>
              <w:rPr>
                <w:rFonts w:hint="eastAsia" w:ascii="宋体" w:hAnsi="宋体" w:eastAsia="宋体" w:cs="宋体"/>
                <w:i w:val="0"/>
                <w:iCs w:val="0"/>
                <w:color w:val="000000"/>
                <w:sz w:val="20"/>
                <w:szCs w:val="20"/>
                <w:highlight w:val="none"/>
                <w:u w:val="none"/>
              </w:rPr>
            </w:pPr>
          </w:p>
        </w:tc>
        <w:tc>
          <w:tcPr>
            <w:tcW w:w="602" w:type="pct"/>
            <w:gridSpan w:val="2"/>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jc w:val="center"/>
              <w:rPr>
                <w:rFonts w:hint="eastAsia" w:ascii="宋体" w:hAnsi="宋体" w:eastAsia="宋体" w:cs="宋体"/>
                <w:i w:val="0"/>
                <w:iCs w:val="0"/>
                <w:color w:val="000000"/>
                <w:sz w:val="20"/>
                <w:szCs w:val="20"/>
                <w:highlight w:val="none"/>
                <w:u w:val="none"/>
              </w:rPr>
            </w:pPr>
          </w:p>
        </w:tc>
        <w:tc>
          <w:tcPr>
            <w:tcW w:w="602"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jc w:val="center"/>
              <w:rPr>
                <w:rFonts w:hint="eastAsia" w:ascii="宋体" w:hAnsi="宋体" w:eastAsia="宋体" w:cs="宋体"/>
                <w:i w:val="0"/>
                <w:iCs w:val="0"/>
                <w:color w:val="000000"/>
                <w:sz w:val="20"/>
                <w:szCs w:val="20"/>
                <w:highlight w:val="none"/>
                <w:u w:val="none"/>
              </w:rPr>
            </w:pPr>
          </w:p>
        </w:tc>
        <w:tc>
          <w:tcPr>
            <w:tcW w:w="795"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jc w:val="center"/>
              <w:rPr>
                <w:rFonts w:hint="eastAsia" w:ascii="宋体" w:hAnsi="宋体" w:eastAsia="宋体" w:cs="宋体"/>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556"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jc w:val="center"/>
              <w:rPr>
                <w:rFonts w:hint="eastAsia" w:ascii="宋体" w:hAnsi="宋体" w:eastAsia="宋体" w:cs="宋体"/>
                <w:i w:val="0"/>
                <w:iCs w:val="0"/>
                <w:color w:val="000000"/>
                <w:sz w:val="20"/>
                <w:szCs w:val="20"/>
                <w:highlight w:val="none"/>
                <w:u w:val="none"/>
              </w:rPr>
            </w:pPr>
          </w:p>
        </w:tc>
        <w:tc>
          <w:tcPr>
            <w:tcW w:w="635"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center"/>
              <w:rPr>
                <w:rFonts w:hint="eastAsia" w:ascii="宋体" w:hAnsi="宋体" w:eastAsia="宋体" w:cs="宋体"/>
                <w:i w:val="0"/>
                <w:iCs w:val="0"/>
                <w:color w:val="000000"/>
                <w:sz w:val="20"/>
                <w:szCs w:val="20"/>
                <w:highlight w:val="none"/>
                <w:u w:val="none"/>
              </w:rPr>
            </w:pPr>
          </w:p>
        </w:tc>
        <w:tc>
          <w:tcPr>
            <w:tcW w:w="603"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jc w:val="center"/>
              <w:rPr>
                <w:rFonts w:hint="eastAsia" w:ascii="宋体" w:hAnsi="宋体" w:eastAsia="宋体" w:cs="宋体"/>
                <w:i w:val="0"/>
                <w:iCs w:val="0"/>
                <w:color w:val="000000"/>
                <w:sz w:val="20"/>
                <w:szCs w:val="20"/>
                <w:highlight w:val="none"/>
                <w:u w:val="none"/>
              </w:rPr>
            </w:pPr>
          </w:p>
        </w:tc>
        <w:tc>
          <w:tcPr>
            <w:tcW w:w="602" w:type="pct"/>
            <w:gridSpan w:val="2"/>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jc w:val="center"/>
              <w:rPr>
                <w:rFonts w:hint="eastAsia" w:ascii="宋体" w:hAnsi="宋体" w:eastAsia="宋体" w:cs="宋体"/>
                <w:i w:val="0"/>
                <w:iCs w:val="0"/>
                <w:color w:val="000000"/>
                <w:sz w:val="20"/>
                <w:szCs w:val="20"/>
                <w:highlight w:val="none"/>
                <w:u w:val="none"/>
              </w:rPr>
            </w:pPr>
          </w:p>
        </w:tc>
        <w:tc>
          <w:tcPr>
            <w:tcW w:w="602"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jc w:val="center"/>
              <w:rPr>
                <w:rFonts w:hint="eastAsia" w:ascii="宋体" w:hAnsi="宋体" w:eastAsia="宋体" w:cs="宋体"/>
                <w:i w:val="0"/>
                <w:iCs w:val="0"/>
                <w:color w:val="000000"/>
                <w:sz w:val="20"/>
                <w:szCs w:val="20"/>
                <w:highlight w:val="none"/>
                <w:u w:val="none"/>
              </w:rPr>
            </w:pPr>
          </w:p>
        </w:tc>
        <w:tc>
          <w:tcPr>
            <w:tcW w:w="602" w:type="pct"/>
            <w:gridSpan w:val="2"/>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jc w:val="center"/>
              <w:rPr>
                <w:rFonts w:hint="eastAsia" w:ascii="宋体" w:hAnsi="宋体" w:eastAsia="宋体" w:cs="宋体"/>
                <w:i w:val="0"/>
                <w:iCs w:val="0"/>
                <w:color w:val="000000"/>
                <w:sz w:val="20"/>
                <w:szCs w:val="20"/>
                <w:highlight w:val="none"/>
                <w:u w:val="none"/>
              </w:rPr>
            </w:pPr>
          </w:p>
        </w:tc>
        <w:tc>
          <w:tcPr>
            <w:tcW w:w="602"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jc w:val="center"/>
              <w:rPr>
                <w:rFonts w:hint="eastAsia" w:ascii="宋体" w:hAnsi="宋体" w:eastAsia="宋体" w:cs="宋体"/>
                <w:i w:val="0"/>
                <w:iCs w:val="0"/>
                <w:color w:val="000000"/>
                <w:sz w:val="20"/>
                <w:szCs w:val="20"/>
                <w:highlight w:val="none"/>
                <w:u w:val="none"/>
              </w:rPr>
            </w:pPr>
          </w:p>
        </w:tc>
        <w:tc>
          <w:tcPr>
            <w:tcW w:w="795"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jc w:val="center"/>
              <w:rPr>
                <w:rFonts w:hint="eastAsia" w:ascii="宋体" w:hAnsi="宋体" w:eastAsia="宋体" w:cs="宋体"/>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4" w:hRule="atLeast"/>
          <w:jc w:val="center"/>
        </w:trPr>
        <w:tc>
          <w:tcPr>
            <w:tcW w:w="1191"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栏次</w:t>
            </w:r>
          </w:p>
        </w:tc>
        <w:tc>
          <w:tcPr>
            <w:tcW w:w="60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1</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2</w:t>
            </w: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3</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4</w:t>
            </w: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5</w:t>
            </w:r>
          </w:p>
        </w:tc>
        <w:tc>
          <w:tcPr>
            <w:tcW w:w="79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6</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1191"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合计</w:t>
            </w:r>
          </w:p>
        </w:tc>
        <w:tc>
          <w:tcPr>
            <w:tcW w:w="60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544.68</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473.07</w:t>
            </w: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71.61</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79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5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201</w:t>
            </w:r>
          </w:p>
        </w:tc>
        <w:tc>
          <w:tcPr>
            <w:tcW w:w="63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一般公共服务支出</w:t>
            </w:r>
          </w:p>
        </w:tc>
        <w:tc>
          <w:tcPr>
            <w:tcW w:w="60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455.23</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383.62</w:t>
            </w: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71.61</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79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5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20102</w:t>
            </w:r>
          </w:p>
        </w:tc>
        <w:tc>
          <w:tcPr>
            <w:tcW w:w="63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政协事务</w:t>
            </w:r>
          </w:p>
        </w:tc>
        <w:tc>
          <w:tcPr>
            <w:tcW w:w="60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455.23</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383.62</w:t>
            </w: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71.61</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79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5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2010201</w:t>
            </w:r>
          </w:p>
        </w:tc>
        <w:tc>
          <w:tcPr>
            <w:tcW w:w="63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行政运行</w:t>
            </w:r>
          </w:p>
        </w:tc>
        <w:tc>
          <w:tcPr>
            <w:tcW w:w="60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383.62</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383.62</w:t>
            </w: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79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5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2010204</w:t>
            </w:r>
          </w:p>
        </w:tc>
        <w:tc>
          <w:tcPr>
            <w:tcW w:w="63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政协会议</w:t>
            </w:r>
          </w:p>
        </w:tc>
        <w:tc>
          <w:tcPr>
            <w:tcW w:w="60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33.63</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33.63</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79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5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2010299</w:t>
            </w:r>
          </w:p>
        </w:tc>
        <w:tc>
          <w:tcPr>
            <w:tcW w:w="63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其他政协事务支出</w:t>
            </w:r>
          </w:p>
        </w:tc>
        <w:tc>
          <w:tcPr>
            <w:tcW w:w="60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37.99</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37.99</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79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5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208</w:t>
            </w:r>
          </w:p>
        </w:tc>
        <w:tc>
          <w:tcPr>
            <w:tcW w:w="63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社会保障和就业支出</w:t>
            </w:r>
          </w:p>
        </w:tc>
        <w:tc>
          <w:tcPr>
            <w:tcW w:w="60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71.37</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71.37</w:t>
            </w: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79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5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20805</w:t>
            </w:r>
          </w:p>
        </w:tc>
        <w:tc>
          <w:tcPr>
            <w:tcW w:w="63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行政事业单位养老支出</w:t>
            </w:r>
          </w:p>
        </w:tc>
        <w:tc>
          <w:tcPr>
            <w:tcW w:w="60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63.63</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63.63</w:t>
            </w: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79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5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2080505</w:t>
            </w:r>
          </w:p>
        </w:tc>
        <w:tc>
          <w:tcPr>
            <w:tcW w:w="63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机关事业单位基本养老保险缴费支出</w:t>
            </w:r>
          </w:p>
        </w:tc>
        <w:tc>
          <w:tcPr>
            <w:tcW w:w="60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54.56</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54.56</w:t>
            </w: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79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5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2080506</w:t>
            </w:r>
          </w:p>
        </w:tc>
        <w:tc>
          <w:tcPr>
            <w:tcW w:w="63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机关事业单位职业年金缴费支出</w:t>
            </w:r>
          </w:p>
        </w:tc>
        <w:tc>
          <w:tcPr>
            <w:tcW w:w="60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9.07</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9.07</w:t>
            </w: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79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5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20808</w:t>
            </w:r>
          </w:p>
        </w:tc>
        <w:tc>
          <w:tcPr>
            <w:tcW w:w="63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抚恤</w:t>
            </w:r>
          </w:p>
        </w:tc>
        <w:tc>
          <w:tcPr>
            <w:tcW w:w="60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7.74</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7.74</w:t>
            </w: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79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5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2080801</w:t>
            </w:r>
          </w:p>
        </w:tc>
        <w:tc>
          <w:tcPr>
            <w:tcW w:w="63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死亡抚恤</w:t>
            </w:r>
          </w:p>
        </w:tc>
        <w:tc>
          <w:tcPr>
            <w:tcW w:w="60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7.74</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7.74</w:t>
            </w: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79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5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210</w:t>
            </w:r>
          </w:p>
        </w:tc>
        <w:tc>
          <w:tcPr>
            <w:tcW w:w="63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卫生健康支出</w:t>
            </w:r>
          </w:p>
        </w:tc>
        <w:tc>
          <w:tcPr>
            <w:tcW w:w="60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18.08</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18.08</w:t>
            </w: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79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5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21011</w:t>
            </w:r>
          </w:p>
        </w:tc>
        <w:tc>
          <w:tcPr>
            <w:tcW w:w="63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行政事业单位医疗</w:t>
            </w:r>
          </w:p>
        </w:tc>
        <w:tc>
          <w:tcPr>
            <w:tcW w:w="60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18.08</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18.08</w:t>
            </w: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79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5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2101101</w:t>
            </w:r>
          </w:p>
        </w:tc>
        <w:tc>
          <w:tcPr>
            <w:tcW w:w="63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行政单位医疗</w:t>
            </w:r>
          </w:p>
        </w:tc>
        <w:tc>
          <w:tcPr>
            <w:tcW w:w="60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18.08</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18.08</w:t>
            </w: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79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5000" w:type="pct"/>
            <w:gridSpan w:val="10"/>
            <w:tcBorders>
              <w:top w:val="single" w:color="000000" w:themeColor="text1" w:sz="8" w:space="0"/>
              <w:left w:val="nil"/>
              <w:bottom w:val="nil"/>
              <w:right w:val="nil"/>
            </w:tcBorders>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注：本表反映部门本年度各项支出情况。</w:t>
            </w:r>
          </w:p>
        </w:tc>
      </w:tr>
    </w:tbl>
    <w:p>
      <w:pPr>
        <w:keepNext w:val="0"/>
        <w:keepLines w:val="0"/>
        <w:pageBreakBefore w:val="0"/>
        <w:widowControl w:val="0"/>
        <w:kinsoku/>
        <w:wordWrap/>
        <w:overflowPunct/>
        <w:topLinePunct w:val="0"/>
        <w:autoSpaceDE/>
        <w:autoSpaceDN/>
        <w:bidi w:val="0"/>
        <w:adjustRightInd/>
        <w:snapToGrid/>
        <w:spacing w:line="240" w:lineRule="auto"/>
        <w:jc w:val="both"/>
        <w:textAlignment w:val="auto"/>
        <w:outlineLvl w:val="9"/>
        <w:rPr>
          <w:rFonts w:hint="eastAsia" w:ascii="仿宋_GB2312" w:hAnsi="宋体" w:eastAsia="仿宋_GB2312"/>
          <w:b/>
          <w:color w:val="auto"/>
          <w:kern w:val="0"/>
          <w:sz w:val="32"/>
          <w:szCs w:val="32"/>
          <w:highlight w:val="none"/>
        </w:rPr>
      </w:pPr>
    </w:p>
    <w:p>
      <w:pPr>
        <w:rPr>
          <w:rFonts w:hint="eastAsia" w:ascii="仿宋_GB2312" w:hAnsi="宋体" w:eastAsia="仿宋_GB2312"/>
          <w:b/>
          <w:color w:val="auto"/>
          <w:kern w:val="0"/>
          <w:sz w:val="32"/>
          <w:szCs w:val="32"/>
          <w:highlight w:val="none"/>
        </w:rPr>
      </w:pPr>
      <w:r>
        <w:rPr>
          <w:rFonts w:hint="eastAsia" w:ascii="仿宋_GB2312" w:hAnsi="宋体" w:eastAsia="仿宋_GB2312"/>
          <w:b/>
          <w:color w:val="auto"/>
          <w:kern w:val="0"/>
          <w:sz w:val="32"/>
          <w:szCs w:val="32"/>
          <w:highlight w:val="none"/>
        </w:rPr>
        <w:br w:type="page"/>
      </w:r>
    </w:p>
    <w:tbl>
      <w:tblPr>
        <w:tblStyle w:val="11"/>
        <w:tblW w:w="7281" w:type="pct"/>
        <w:tblInd w:w="-1857"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1984"/>
        <w:gridCol w:w="624"/>
        <w:gridCol w:w="1427"/>
        <w:gridCol w:w="1659"/>
        <w:gridCol w:w="439"/>
        <w:gridCol w:w="624"/>
        <w:gridCol w:w="458"/>
        <w:gridCol w:w="837"/>
        <w:gridCol w:w="1219"/>
        <w:gridCol w:w="1219"/>
        <w:gridCol w:w="1219"/>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trHeight w:val="550" w:hRule="atLeast"/>
        </w:trPr>
        <w:tc>
          <w:tcPr>
            <w:tcW w:w="5000" w:type="pct"/>
            <w:gridSpan w:val="11"/>
            <w:tcBorders>
              <w:top w:val="nil"/>
              <w:left w:val="nil"/>
              <w:bottom w:val="nil"/>
              <w:right w:val="nil"/>
            </w:tcBorders>
            <w:noWrap/>
            <w:vAlign w:val="bottom"/>
          </w:tcPr>
          <w:p>
            <w:pPr>
              <w:keepNext w:val="0"/>
              <w:keepLines w:val="0"/>
              <w:widowControl/>
              <w:suppressLineNumbers w:val="0"/>
              <w:jc w:val="center"/>
              <w:textAlignment w:val="bottom"/>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b w:val="0"/>
                <w:bCs/>
                <w:color w:val="auto"/>
                <w:kern w:val="0"/>
                <w:sz w:val="32"/>
                <w:szCs w:val="32"/>
                <w:highlight w:val="none"/>
                <w:lang w:val="en-US" w:eastAsia="zh-CN"/>
              </w:rPr>
              <w:t>财政拨款收入支出决算总表</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5000" w:type="pct"/>
            <w:gridSpan w:val="11"/>
            <w:tcBorders>
              <w:top w:val="nil"/>
              <w:left w:val="nil"/>
              <w:bottom w:val="nil"/>
              <w:right w:val="nil"/>
            </w:tcBorders>
            <w:noWrap/>
            <w:vAlign w:val="bottom"/>
          </w:tcPr>
          <w:p>
            <w:pPr>
              <w:keepNext w:val="0"/>
              <w:keepLines w:val="0"/>
              <w:widowControl/>
              <w:suppressLineNumbers w:val="0"/>
              <w:jc w:val="right"/>
              <w:textAlignment w:val="bottom"/>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公开</w:t>
            </w:r>
            <w:r>
              <w:rPr>
                <w:rFonts w:hint="default" w:ascii="Times New Roman" w:hAnsi="Times New Roman" w:eastAsia="方正仿宋_GB2312" w:cs="Times New Roman"/>
                <w:i w:val="0"/>
                <w:iCs w:val="0"/>
                <w:color w:val="000000"/>
                <w:kern w:val="0"/>
                <w:sz w:val="20"/>
                <w:szCs w:val="20"/>
                <w:highlight w:val="none"/>
                <w:u w:val="none"/>
                <w:lang w:val="en-US" w:eastAsia="zh-CN" w:bidi="ar"/>
              </w:rPr>
              <w:t>04</w:t>
            </w: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表</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trHeight w:val="300" w:hRule="atLeast"/>
        </w:trPr>
        <w:tc>
          <w:tcPr>
            <w:tcW w:w="2431" w:type="pct"/>
            <w:gridSpan w:val="4"/>
            <w:tcBorders>
              <w:top w:val="nil"/>
              <w:left w:val="nil"/>
              <w:bottom w:val="single" w:color="000000" w:themeColor="text1" w:sz="8" w:space="0"/>
              <w:right w:val="nil"/>
            </w:tcBorders>
            <w:noWrap/>
            <w:vAlign w:val="bottom"/>
          </w:tcPr>
          <w:p>
            <w:pPr>
              <w:rPr>
                <w:rFonts w:hint="eastAsia" w:ascii="仿宋" w:hAnsi="仿宋" w:eastAsia="仿宋" w:cs="仿宋"/>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 xml:space="preserve">部门（单位）：中国人民政治协商会议无极县委员会办公室(本级) </w:t>
            </w:r>
            <w:r>
              <w:rPr>
                <w:rFonts w:hint="eastAsia" w:asciiTheme="minorEastAsia" w:hAnsiTheme="minorEastAsia" w:eastAsiaTheme="minorEastAsia" w:cstheme="minorEastAsia"/>
                <w:i w:val="0"/>
                <w:iCs w:val="0"/>
                <w:color w:val="000000"/>
                <w:kern w:val="0"/>
                <w:sz w:val="20"/>
                <w:szCs w:val="20"/>
                <w:highlight w:val="none"/>
                <w:u w:val="none"/>
                <w:lang w:val="en-US" w:eastAsia="zh-CN" w:bidi="ar"/>
              </w:rPr>
              <w:t xml:space="preserve">                                                                                                   </w:t>
            </w:r>
          </w:p>
        </w:tc>
        <w:tc>
          <w:tcPr>
            <w:tcW w:w="649" w:type="pct"/>
            <w:gridSpan w:val="3"/>
            <w:tcBorders>
              <w:top w:val="nil"/>
              <w:left w:val="nil"/>
              <w:bottom w:val="single" w:color="000000" w:themeColor="text1" w:sz="8" w:space="0"/>
              <w:right w:val="nil"/>
            </w:tcBorders>
            <w:noWrap/>
            <w:vAlign w:val="bottom"/>
          </w:tcPr>
          <w:p>
            <w:pPr>
              <w:jc w:val="center"/>
              <w:rPr>
                <w:rFonts w:hint="default" w:asciiTheme="minorEastAsia" w:hAnsiTheme="minorEastAsia" w:eastAsiaTheme="minorEastAsia" w:cstheme="minorEastAsia"/>
                <w:i w:val="0"/>
                <w:iCs w:val="0"/>
                <w:color w:val="000000"/>
                <w:kern w:val="0"/>
                <w:sz w:val="20"/>
                <w:szCs w:val="20"/>
                <w:highlight w:val="none"/>
                <w:u w:val="none"/>
                <w:lang w:val="en-US" w:eastAsia="zh-CN" w:bidi="ar"/>
              </w:rPr>
            </w:pPr>
            <w:r>
              <w:rPr>
                <w:rFonts w:hint="default" w:ascii="Times New Roman" w:hAnsi="Times New Roman" w:cs="Times New Roman"/>
                <w:i w:val="0"/>
                <w:iCs w:val="0"/>
                <w:color w:val="000000"/>
                <w:kern w:val="0"/>
                <w:sz w:val="20"/>
                <w:szCs w:val="20"/>
                <w:highlight w:val="none"/>
                <w:u w:val="none"/>
                <w:lang w:val="en-US" w:eastAsia="zh-CN" w:bidi="ar"/>
              </w:rPr>
              <w:t>202</w:t>
            </w:r>
            <w:r>
              <w:rPr>
                <w:rFonts w:hint="eastAsia" w:ascii="Times New Roman" w:hAnsi="Times New Roman" w:cs="Times New Roman"/>
                <w:i w:val="0"/>
                <w:iCs w:val="0"/>
                <w:color w:val="000000"/>
                <w:kern w:val="0"/>
                <w:sz w:val="20"/>
                <w:szCs w:val="20"/>
                <w:highlight w:val="none"/>
                <w:u w:val="none"/>
                <w:lang w:val="en-US" w:eastAsia="zh-CN" w:bidi="ar"/>
              </w:rPr>
              <w:t>5</w:t>
            </w: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年度</w:t>
            </w:r>
          </w:p>
        </w:tc>
        <w:tc>
          <w:tcPr>
            <w:tcW w:w="1919" w:type="pct"/>
            <w:gridSpan w:val="4"/>
            <w:tcBorders>
              <w:top w:val="nil"/>
              <w:left w:val="nil"/>
              <w:bottom w:val="single" w:color="000000" w:themeColor="text1" w:sz="8" w:space="0"/>
              <w:right w:val="nil"/>
            </w:tcBorders>
            <w:noWrap/>
            <w:vAlign w:val="bottom"/>
          </w:tcPr>
          <w:p>
            <w:pPr>
              <w:jc w:val="right"/>
              <w:rPr>
                <w:rFonts w:hint="default" w:asciiTheme="minorEastAsia" w:hAnsiTheme="minorEastAsia" w:eastAsiaTheme="minorEastAsia" w:cstheme="minorEastAsia"/>
                <w:i w:val="0"/>
                <w:iCs w:val="0"/>
                <w:color w:val="000000"/>
                <w:kern w:val="0"/>
                <w:sz w:val="20"/>
                <w:szCs w:val="20"/>
                <w:highlight w:val="none"/>
                <w:u w:val="none"/>
                <w:lang w:val="en-US" w:eastAsia="zh-CN" w:bidi="ar"/>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金额单位：万元</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1723" w:type="pct"/>
            <w:gridSpan w:val="3"/>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方正仿宋_GB2312" w:hAnsi="方正仿宋_GB2312" w:eastAsia="方正仿宋_GB2312" w:cs="方正仿宋_GB2312"/>
                <w:i w:val="0"/>
                <w:iCs w:val="0"/>
                <w:color w:val="000000"/>
                <w:sz w:val="20"/>
                <w:szCs w:val="20"/>
                <w:highlight w:val="none"/>
                <w:u w:val="none"/>
                <w:lang w:val="en-US" w:eastAsia="zh-CN"/>
              </w:rPr>
            </w:pPr>
            <w:r>
              <w:rPr>
                <w:rFonts w:hint="eastAsia" w:ascii="方正仿宋_GB2312" w:hAnsi="方正仿宋_GB2312" w:eastAsia="方正仿宋_GB2312" w:cs="方正仿宋_GB2312"/>
                <w:i w:val="0"/>
                <w:iCs w:val="0"/>
                <w:color w:val="000000"/>
                <w:sz w:val="20"/>
                <w:szCs w:val="20"/>
                <w:highlight w:val="none"/>
                <w:u w:val="none"/>
                <w:lang w:val="en-US" w:eastAsia="zh-CN"/>
              </w:rPr>
              <w:t>收入</w:t>
            </w:r>
          </w:p>
        </w:tc>
        <w:tc>
          <w:tcPr>
            <w:tcW w:w="3276" w:type="pct"/>
            <w:gridSpan w:val="8"/>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方正仿宋_GB2312" w:hAnsi="方正仿宋_GB2312" w:eastAsia="方正仿宋_GB2312" w:cs="方正仿宋_GB2312"/>
                <w:i w:val="0"/>
                <w:iCs w:val="0"/>
                <w:color w:val="000000"/>
                <w:sz w:val="20"/>
                <w:szCs w:val="20"/>
                <w:highlight w:val="none"/>
                <w:u w:val="none"/>
                <w:lang w:val="en-US" w:eastAsia="zh-CN"/>
              </w:rPr>
            </w:pPr>
            <w:r>
              <w:rPr>
                <w:rFonts w:hint="eastAsia" w:ascii="方正仿宋_GB2312" w:hAnsi="方正仿宋_GB2312" w:eastAsia="方正仿宋_GB2312" w:cs="方正仿宋_GB2312"/>
                <w:i w:val="0"/>
                <w:iCs w:val="0"/>
                <w:color w:val="000000"/>
                <w:sz w:val="20"/>
                <w:szCs w:val="20"/>
                <w:highlight w:val="none"/>
                <w:u w:val="none"/>
                <w:lang w:val="en-US" w:eastAsia="zh-CN"/>
              </w:rPr>
              <w:t>支出</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trPr>
        <w:tc>
          <w:tcPr>
            <w:tcW w:w="847" w:type="pct"/>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项    目</w:t>
            </w:r>
          </w:p>
        </w:tc>
        <w:tc>
          <w:tcPr>
            <w:tcW w:w="266" w:type="pct"/>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行次</w:t>
            </w:r>
          </w:p>
        </w:tc>
        <w:tc>
          <w:tcPr>
            <w:tcW w:w="609" w:type="pct"/>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keepNext w:val="0"/>
              <w:keepLines w:val="0"/>
              <w:widowControl/>
              <w:suppressLineNumbers w:val="0"/>
              <w:jc w:val="center"/>
              <w:textAlignment w:val="center"/>
              <w:rPr>
                <w:rFonts w:hint="default" w:ascii="方正仿宋_GB2312" w:hAnsi="方正仿宋_GB2312" w:eastAsia="方正仿宋_GB2312" w:cs="方正仿宋_GB2312"/>
                <w:i w:val="0"/>
                <w:iCs w:val="0"/>
                <w:color w:val="000000"/>
                <w:sz w:val="20"/>
                <w:szCs w:val="20"/>
                <w:highlight w:val="none"/>
                <w:u w:val="none"/>
                <w:lang w:val="en-US" w:eastAsia="zh-CN"/>
              </w:rPr>
            </w:pPr>
            <w:r>
              <w:rPr>
                <w:rFonts w:hint="eastAsia" w:ascii="方正仿宋_GB2312" w:hAnsi="方正仿宋_GB2312" w:eastAsia="方正仿宋_GB2312" w:cs="方正仿宋_GB2312"/>
                <w:i w:val="0"/>
                <w:iCs w:val="0"/>
                <w:color w:val="000000"/>
                <w:sz w:val="20"/>
                <w:szCs w:val="20"/>
                <w:highlight w:val="none"/>
                <w:u w:val="none"/>
                <w:lang w:val="en-US" w:eastAsia="zh-CN"/>
              </w:rPr>
              <w:t>金额</w:t>
            </w:r>
          </w:p>
        </w:tc>
        <w:tc>
          <w:tcPr>
            <w:tcW w:w="895" w:type="pct"/>
            <w:gridSpan w:val="2"/>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项目</w:t>
            </w:r>
          </w:p>
        </w:tc>
        <w:tc>
          <w:tcPr>
            <w:tcW w:w="266" w:type="pct"/>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行次</w:t>
            </w:r>
          </w:p>
        </w:tc>
        <w:tc>
          <w:tcPr>
            <w:tcW w:w="552" w:type="pct"/>
            <w:gridSpan w:val="2"/>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rPr>
              <w:t>合计</w:t>
            </w:r>
          </w:p>
        </w:tc>
        <w:tc>
          <w:tcPr>
            <w:tcW w:w="520" w:type="pct"/>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rPr>
              <w:t>一般公共预算财政拨款</w:t>
            </w:r>
          </w:p>
        </w:tc>
        <w:tc>
          <w:tcPr>
            <w:tcW w:w="520" w:type="pct"/>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rPr>
              <w:t>政府性基金预算财政拨款</w:t>
            </w:r>
          </w:p>
        </w:tc>
        <w:tc>
          <w:tcPr>
            <w:tcW w:w="520" w:type="pct"/>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rPr>
              <w:t>国有资本经营预算财政拨款</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trPr>
        <w:tc>
          <w:tcPr>
            <w:tcW w:w="847"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jc w:val="center"/>
              <w:rPr>
                <w:rFonts w:hint="eastAsia" w:ascii="方正仿宋_GB2312" w:hAnsi="方正仿宋_GB2312" w:eastAsia="方正仿宋_GB2312" w:cs="方正仿宋_GB2312"/>
                <w:i w:val="0"/>
                <w:iCs w:val="0"/>
                <w:color w:val="000000"/>
                <w:sz w:val="20"/>
                <w:szCs w:val="20"/>
                <w:highlight w:val="none"/>
                <w:u w:val="none"/>
              </w:rPr>
            </w:pPr>
          </w:p>
        </w:tc>
        <w:tc>
          <w:tcPr>
            <w:tcW w:w="266"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jc w:val="center"/>
              <w:rPr>
                <w:rFonts w:hint="eastAsia" w:ascii="方正仿宋_GB2312" w:hAnsi="方正仿宋_GB2312" w:eastAsia="方正仿宋_GB2312" w:cs="方正仿宋_GB2312"/>
                <w:i w:val="0"/>
                <w:iCs w:val="0"/>
                <w:color w:val="000000"/>
                <w:sz w:val="20"/>
                <w:szCs w:val="20"/>
                <w:highlight w:val="none"/>
                <w:u w:val="none"/>
              </w:rPr>
            </w:pPr>
          </w:p>
        </w:tc>
        <w:tc>
          <w:tcPr>
            <w:tcW w:w="609"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jc w:val="center"/>
              <w:rPr>
                <w:rFonts w:hint="eastAsia" w:ascii="方正仿宋_GB2312" w:hAnsi="方正仿宋_GB2312" w:eastAsia="方正仿宋_GB2312" w:cs="方正仿宋_GB2312"/>
                <w:i w:val="0"/>
                <w:iCs w:val="0"/>
                <w:color w:val="000000"/>
                <w:sz w:val="20"/>
                <w:szCs w:val="20"/>
                <w:highlight w:val="none"/>
                <w:u w:val="none"/>
              </w:rPr>
            </w:pPr>
          </w:p>
        </w:tc>
        <w:tc>
          <w:tcPr>
            <w:tcW w:w="895" w:type="pct"/>
            <w:gridSpan w:val="2"/>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jc w:val="center"/>
              <w:rPr>
                <w:rFonts w:hint="eastAsia" w:ascii="方正仿宋_GB2312" w:hAnsi="方正仿宋_GB2312" w:eastAsia="方正仿宋_GB2312" w:cs="方正仿宋_GB2312"/>
                <w:i w:val="0"/>
                <w:iCs w:val="0"/>
                <w:color w:val="000000"/>
                <w:sz w:val="20"/>
                <w:szCs w:val="20"/>
                <w:highlight w:val="none"/>
                <w:u w:val="none"/>
              </w:rPr>
            </w:pPr>
          </w:p>
        </w:tc>
        <w:tc>
          <w:tcPr>
            <w:tcW w:w="266"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jc w:val="center"/>
              <w:rPr>
                <w:rFonts w:hint="eastAsia" w:ascii="方正仿宋_GB2312" w:hAnsi="方正仿宋_GB2312" w:eastAsia="方正仿宋_GB2312" w:cs="方正仿宋_GB2312"/>
                <w:i w:val="0"/>
                <w:iCs w:val="0"/>
                <w:color w:val="000000"/>
                <w:sz w:val="20"/>
                <w:szCs w:val="20"/>
                <w:highlight w:val="none"/>
                <w:u w:val="none"/>
              </w:rPr>
            </w:pPr>
          </w:p>
        </w:tc>
        <w:tc>
          <w:tcPr>
            <w:tcW w:w="552" w:type="pct"/>
            <w:gridSpan w:val="2"/>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p>
        </w:tc>
        <w:tc>
          <w:tcPr>
            <w:tcW w:w="520"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p>
        </w:tc>
        <w:tc>
          <w:tcPr>
            <w:tcW w:w="520"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p>
        </w:tc>
        <w:tc>
          <w:tcPr>
            <w:tcW w:w="520"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84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栏    次</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center"/>
              <w:rPr>
                <w:rFonts w:hint="eastAsia" w:ascii="宋体" w:hAnsi="宋体" w:eastAsia="宋体" w:cs="宋体"/>
                <w:i w:val="0"/>
                <w:iCs w:val="0"/>
                <w:color w:val="000000"/>
                <w:sz w:val="20"/>
                <w:szCs w:val="20"/>
                <w:highlight w:val="none"/>
                <w:u w:val="none"/>
              </w:rPr>
            </w:pPr>
          </w:p>
        </w:tc>
        <w:tc>
          <w:tcPr>
            <w:tcW w:w="60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宋体" w:hAnsi="宋体" w:eastAsia="宋体" w:cs="宋体"/>
                <w:i w:val="0"/>
                <w:iCs w:val="0"/>
                <w:color w:val="000000"/>
                <w:kern w:val="0"/>
                <w:sz w:val="20"/>
                <w:szCs w:val="20"/>
                <w:highlight w:val="none"/>
                <w:u w:val="none"/>
                <w:lang w:val="en-US" w:eastAsia="zh-CN" w:bidi="ar"/>
              </w:rPr>
              <w:t>1</w:t>
            </w:r>
          </w:p>
        </w:tc>
        <w:tc>
          <w:tcPr>
            <w:tcW w:w="89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栏    次</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center"/>
              <w:rPr>
                <w:rFonts w:hint="eastAsia" w:ascii="宋体" w:hAnsi="宋体" w:eastAsia="宋体" w:cs="宋体"/>
                <w:i w:val="0"/>
                <w:iCs w:val="0"/>
                <w:color w:val="000000"/>
                <w:sz w:val="20"/>
                <w:szCs w:val="20"/>
                <w:highlight w:val="none"/>
                <w:u w:val="none"/>
              </w:rPr>
            </w:pPr>
          </w:p>
        </w:tc>
        <w:tc>
          <w:tcPr>
            <w:tcW w:w="55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宋体" w:hAnsi="宋体" w:eastAsia="宋体" w:cs="宋体"/>
                <w:i w:val="0"/>
                <w:iCs w:val="0"/>
                <w:color w:val="000000"/>
                <w:kern w:val="0"/>
                <w:sz w:val="20"/>
                <w:szCs w:val="20"/>
                <w:highlight w:val="none"/>
                <w:u w:val="none"/>
                <w:lang w:val="en-US" w:eastAsia="zh-CN" w:bidi="ar"/>
              </w:rPr>
              <w:t>2</w:t>
            </w: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宋体" w:hAnsi="宋体" w:eastAsia="宋体" w:cs="宋体"/>
                <w:i w:val="0"/>
                <w:iCs w:val="0"/>
                <w:color w:val="000000"/>
                <w:kern w:val="0"/>
                <w:sz w:val="20"/>
                <w:szCs w:val="20"/>
                <w:highlight w:val="none"/>
                <w:u w:val="none"/>
                <w:lang w:val="en-US" w:eastAsia="zh-CN" w:bidi="ar"/>
              </w:rPr>
              <w:t>3</w:t>
            </w: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宋体" w:hAnsi="宋体" w:eastAsia="宋体" w:cs="宋体"/>
                <w:i w:val="0"/>
                <w:iCs w:val="0"/>
                <w:color w:val="000000"/>
                <w:kern w:val="0"/>
                <w:sz w:val="20"/>
                <w:szCs w:val="20"/>
                <w:highlight w:val="none"/>
                <w:u w:val="none"/>
                <w:lang w:val="en-US" w:eastAsia="zh-CN" w:bidi="ar"/>
              </w:rPr>
              <w:t>4</w:t>
            </w: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宋体" w:hAnsi="宋体" w:eastAsia="宋体" w:cs="宋体"/>
                <w:i w:val="0"/>
                <w:iCs w:val="0"/>
                <w:color w:val="000000"/>
                <w:kern w:val="0"/>
                <w:sz w:val="20"/>
                <w:szCs w:val="20"/>
                <w:highlight w:val="none"/>
                <w:u w:val="none"/>
                <w:lang w:val="en-US" w:eastAsia="zh-CN" w:bidi="ar"/>
              </w:rPr>
              <w:t>5</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84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一、一般公共预算财政拨款</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1</w:t>
            </w:r>
          </w:p>
        </w:tc>
        <w:tc>
          <w:tcPr>
            <w:tcW w:w="60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544.68</w:t>
            </w:r>
          </w:p>
        </w:tc>
        <w:tc>
          <w:tcPr>
            <w:tcW w:w="89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一、一般公共服务支出</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33</w:t>
            </w:r>
          </w:p>
        </w:tc>
        <w:tc>
          <w:tcPr>
            <w:tcW w:w="55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455.23</w:t>
            </w: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455.23</w:t>
            </w: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84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二、政府性基金预算财政拨款</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2</w:t>
            </w:r>
          </w:p>
        </w:tc>
        <w:tc>
          <w:tcPr>
            <w:tcW w:w="60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89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二、外交支出</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34</w:t>
            </w:r>
          </w:p>
        </w:tc>
        <w:tc>
          <w:tcPr>
            <w:tcW w:w="55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84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三、国有资本经营预算财政拨款</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3</w:t>
            </w:r>
          </w:p>
        </w:tc>
        <w:tc>
          <w:tcPr>
            <w:tcW w:w="60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89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三、国防支出</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35</w:t>
            </w:r>
          </w:p>
        </w:tc>
        <w:tc>
          <w:tcPr>
            <w:tcW w:w="55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84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宋体" w:hAnsi="宋体" w:eastAsia="宋体" w:cs="宋体"/>
                <w:i w:val="0"/>
                <w:iCs w:val="0"/>
                <w:color w:val="000000"/>
                <w:sz w:val="20"/>
                <w:szCs w:val="20"/>
                <w:highlight w:val="none"/>
                <w:u w:val="none"/>
              </w:rPr>
            </w:pP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4</w:t>
            </w:r>
          </w:p>
        </w:tc>
        <w:tc>
          <w:tcPr>
            <w:tcW w:w="60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89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四、公共安全支出</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36</w:t>
            </w:r>
          </w:p>
        </w:tc>
        <w:tc>
          <w:tcPr>
            <w:tcW w:w="55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84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宋体" w:hAnsi="宋体" w:eastAsia="宋体" w:cs="宋体"/>
                <w:i w:val="0"/>
                <w:iCs w:val="0"/>
                <w:color w:val="000000"/>
                <w:sz w:val="20"/>
                <w:szCs w:val="20"/>
                <w:highlight w:val="none"/>
                <w:u w:val="none"/>
              </w:rPr>
            </w:pP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5</w:t>
            </w:r>
          </w:p>
        </w:tc>
        <w:tc>
          <w:tcPr>
            <w:tcW w:w="60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89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五、教育支出</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37</w:t>
            </w:r>
          </w:p>
        </w:tc>
        <w:tc>
          <w:tcPr>
            <w:tcW w:w="55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trHeight w:val="308" w:hRule="atLeast"/>
        </w:trPr>
        <w:tc>
          <w:tcPr>
            <w:tcW w:w="84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宋体" w:hAnsi="宋体" w:eastAsia="宋体" w:cs="宋体"/>
                <w:i w:val="0"/>
                <w:iCs w:val="0"/>
                <w:color w:val="000000"/>
                <w:sz w:val="20"/>
                <w:szCs w:val="20"/>
                <w:highlight w:val="none"/>
                <w:u w:val="none"/>
              </w:rPr>
            </w:pP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6</w:t>
            </w:r>
          </w:p>
        </w:tc>
        <w:tc>
          <w:tcPr>
            <w:tcW w:w="60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89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六、科学技术支出</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38</w:t>
            </w:r>
          </w:p>
        </w:tc>
        <w:tc>
          <w:tcPr>
            <w:tcW w:w="55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84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宋体" w:hAnsi="宋体" w:eastAsia="宋体" w:cs="宋体"/>
                <w:i w:val="0"/>
                <w:iCs w:val="0"/>
                <w:color w:val="000000"/>
                <w:sz w:val="20"/>
                <w:szCs w:val="20"/>
                <w:highlight w:val="none"/>
                <w:u w:val="none"/>
              </w:rPr>
            </w:pP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7</w:t>
            </w:r>
          </w:p>
        </w:tc>
        <w:tc>
          <w:tcPr>
            <w:tcW w:w="60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89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七、文化旅游体育与传媒支出</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39</w:t>
            </w:r>
          </w:p>
        </w:tc>
        <w:tc>
          <w:tcPr>
            <w:tcW w:w="55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84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宋体" w:hAnsi="宋体" w:eastAsia="宋体" w:cs="宋体"/>
                <w:i w:val="0"/>
                <w:iCs w:val="0"/>
                <w:color w:val="000000"/>
                <w:sz w:val="20"/>
                <w:szCs w:val="20"/>
                <w:highlight w:val="none"/>
                <w:u w:val="none"/>
              </w:rPr>
            </w:pP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8</w:t>
            </w:r>
          </w:p>
        </w:tc>
        <w:tc>
          <w:tcPr>
            <w:tcW w:w="60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89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八、社会保障和就业支出</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40</w:t>
            </w:r>
          </w:p>
        </w:tc>
        <w:tc>
          <w:tcPr>
            <w:tcW w:w="55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71.37</w:t>
            </w: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71.37</w:t>
            </w: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84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宋体" w:hAnsi="宋体" w:eastAsia="宋体" w:cs="宋体"/>
                <w:i w:val="0"/>
                <w:iCs w:val="0"/>
                <w:color w:val="000000"/>
                <w:sz w:val="20"/>
                <w:szCs w:val="20"/>
                <w:highlight w:val="none"/>
                <w:u w:val="none"/>
              </w:rPr>
            </w:pP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9</w:t>
            </w:r>
          </w:p>
        </w:tc>
        <w:tc>
          <w:tcPr>
            <w:tcW w:w="60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89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九、卫生健康支出</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41</w:t>
            </w:r>
          </w:p>
        </w:tc>
        <w:tc>
          <w:tcPr>
            <w:tcW w:w="55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18.08</w:t>
            </w: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18.08</w:t>
            </w: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84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宋体" w:hAnsi="宋体" w:eastAsia="宋体" w:cs="宋体"/>
                <w:i w:val="0"/>
                <w:iCs w:val="0"/>
                <w:color w:val="000000"/>
                <w:sz w:val="20"/>
                <w:szCs w:val="20"/>
                <w:highlight w:val="none"/>
                <w:u w:val="none"/>
              </w:rPr>
            </w:pP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10</w:t>
            </w:r>
          </w:p>
        </w:tc>
        <w:tc>
          <w:tcPr>
            <w:tcW w:w="60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89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十、节能环保支出</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42</w:t>
            </w:r>
          </w:p>
        </w:tc>
        <w:tc>
          <w:tcPr>
            <w:tcW w:w="55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84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宋体" w:hAnsi="宋体" w:eastAsia="宋体" w:cs="宋体"/>
                <w:i w:val="0"/>
                <w:iCs w:val="0"/>
                <w:color w:val="000000"/>
                <w:sz w:val="20"/>
                <w:szCs w:val="20"/>
                <w:highlight w:val="none"/>
                <w:u w:val="none"/>
              </w:rPr>
            </w:pP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11</w:t>
            </w:r>
          </w:p>
        </w:tc>
        <w:tc>
          <w:tcPr>
            <w:tcW w:w="60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89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十一、城乡社区支出</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43</w:t>
            </w:r>
          </w:p>
        </w:tc>
        <w:tc>
          <w:tcPr>
            <w:tcW w:w="55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trHeight w:val="308" w:hRule="atLeast"/>
        </w:trPr>
        <w:tc>
          <w:tcPr>
            <w:tcW w:w="84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宋体" w:hAnsi="宋体" w:eastAsia="宋体" w:cs="宋体"/>
                <w:i w:val="0"/>
                <w:iCs w:val="0"/>
                <w:color w:val="000000"/>
                <w:sz w:val="20"/>
                <w:szCs w:val="20"/>
                <w:highlight w:val="none"/>
                <w:u w:val="none"/>
              </w:rPr>
            </w:pP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12</w:t>
            </w:r>
          </w:p>
        </w:tc>
        <w:tc>
          <w:tcPr>
            <w:tcW w:w="60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89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十二、农林水支出</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44</w:t>
            </w:r>
          </w:p>
        </w:tc>
        <w:tc>
          <w:tcPr>
            <w:tcW w:w="55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84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宋体" w:hAnsi="宋体" w:eastAsia="宋体" w:cs="宋体"/>
                <w:i w:val="0"/>
                <w:iCs w:val="0"/>
                <w:color w:val="000000"/>
                <w:sz w:val="20"/>
                <w:szCs w:val="20"/>
                <w:highlight w:val="none"/>
                <w:u w:val="none"/>
              </w:rPr>
            </w:pP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13</w:t>
            </w:r>
          </w:p>
        </w:tc>
        <w:tc>
          <w:tcPr>
            <w:tcW w:w="60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89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十三、交通运输支出</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45</w:t>
            </w:r>
          </w:p>
        </w:tc>
        <w:tc>
          <w:tcPr>
            <w:tcW w:w="55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trHeight w:val="308" w:hRule="atLeast"/>
        </w:trPr>
        <w:tc>
          <w:tcPr>
            <w:tcW w:w="84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宋体" w:hAnsi="宋体" w:eastAsia="宋体" w:cs="宋体"/>
                <w:i w:val="0"/>
                <w:iCs w:val="0"/>
                <w:color w:val="000000"/>
                <w:sz w:val="20"/>
                <w:szCs w:val="20"/>
                <w:highlight w:val="none"/>
                <w:u w:val="none"/>
              </w:rPr>
            </w:pP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14</w:t>
            </w:r>
          </w:p>
        </w:tc>
        <w:tc>
          <w:tcPr>
            <w:tcW w:w="60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89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十四、资源勘探工业信息等支出</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46</w:t>
            </w:r>
          </w:p>
        </w:tc>
        <w:tc>
          <w:tcPr>
            <w:tcW w:w="55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84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宋体" w:hAnsi="宋体" w:eastAsia="宋体" w:cs="宋体"/>
                <w:i w:val="0"/>
                <w:iCs w:val="0"/>
                <w:color w:val="000000"/>
                <w:sz w:val="20"/>
                <w:szCs w:val="20"/>
                <w:highlight w:val="none"/>
                <w:u w:val="none"/>
              </w:rPr>
            </w:pP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15</w:t>
            </w:r>
          </w:p>
        </w:tc>
        <w:tc>
          <w:tcPr>
            <w:tcW w:w="60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89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十五、商业服务业等支出</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47</w:t>
            </w:r>
          </w:p>
        </w:tc>
        <w:tc>
          <w:tcPr>
            <w:tcW w:w="55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6" w:hRule="atLeast"/>
        </w:trPr>
        <w:tc>
          <w:tcPr>
            <w:tcW w:w="84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宋体" w:hAnsi="宋体" w:eastAsia="宋体" w:cs="宋体"/>
                <w:i w:val="0"/>
                <w:iCs w:val="0"/>
                <w:color w:val="000000"/>
                <w:sz w:val="20"/>
                <w:szCs w:val="20"/>
                <w:highlight w:val="none"/>
                <w:u w:val="none"/>
              </w:rPr>
            </w:pP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16</w:t>
            </w:r>
          </w:p>
        </w:tc>
        <w:tc>
          <w:tcPr>
            <w:tcW w:w="60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89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十六、金融支出</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48</w:t>
            </w:r>
          </w:p>
        </w:tc>
        <w:tc>
          <w:tcPr>
            <w:tcW w:w="55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41" w:hRule="atLeast"/>
        </w:trPr>
        <w:tc>
          <w:tcPr>
            <w:tcW w:w="84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宋体" w:hAnsi="宋体" w:eastAsia="宋体" w:cs="宋体"/>
                <w:i w:val="0"/>
                <w:iCs w:val="0"/>
                <w:color w:val="000000"/>
                <w:sz w:val="20"/>
                <w:szCs w:val="20"/>
                <w:highlight w:val="none"/>
                <w:u w:val="none"/>
              </w:rPr>
            </w:pP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17</w:t>
            </w:r>
          </w:p>
        </w:tc>
        <w:tc>
          <w:tcPr>
            <w:tcW w:w="60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89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十七、援助其他地区支出</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49</w:t>
            </w:r>
          </w:p>
        </w:tc>
        <w:tc>
          <w:tcPr>
            <w:tcW w:w="55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84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宋体" w:hAnsi="宋体" w:eastAsia="宋体" w:cs="宋体"/>
                <w:i w:val="0"/>
                <w:iCs w:val="0"/>
                <w:color w:val="000000"/>
                <w:sz w:val="20"/>
                <w:szCs w:val="20"/>
                <w:highlight w:val="none"/>
                <w:u w:val="none"/>
              </w:rPr>
            </w:pP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18</w:t>
            </w:r>
          </w:p>
        </w:tc>
        <w:tc>
          <w:tcPr>
            <w:tcW w:w="60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89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十八、自然资源海洋气象等支出</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50</w:t>
            </w:r>
          </w:p>
        </w:tc>
        <w:tc>
          <w:tcPr>
            <w:tcW w:w="55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trHeight w:val="308" w:hRule="atLeast"/>
        </w:trPr>
        <w:tc>
          <w:tcPr>
            <w:tcW w:w="84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宋体" w:hAnsi="宋体" w:eastAsia="宋体" w:cs="宋体"/>
                <w:i w:val="0"/>
                <w:iCs w:val="0"/>
                <w:color w:val="000000"/>
                <w:sz w:val="20"/>
                <w:szCs w:val="20"/>
                <w:highlight w:val="none"/>
                <w:u w:val="none"/>
              </w:rPr>
            </w:pP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19</w:t>
            </w:r>
          </w:p>
        </w:tc>
        <w:tc>
          <w:tcPr>
            <w:tcW w:w="60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89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十九、住房保障支出</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51</w:t>
            </w:r>
          </w:p>
        </w:tc>
        <w:tc>
          <w:tcPr>
            <w:tcW w:w="55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84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宋体" w:hAnsi="宋体" w:eastAsia="宋体" w:cs="宋体"/>
                <w:i w:val="0"/>
                <w:iCs w:val="0"/>
                <w:color w:val="000000"/>
                <w:sz w:val="20"/>
                <w:szCs w:val="20"/>
                <w:highlight w:val="none"/>
                <w:u w:val="none"/>
              </w:rPr>
            </w:pP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20</w:t>
            </w:r>
          </w:p>
        </w:tc>
        <w:tc>
          <w:tcPr>
            <w:tcW w:w="60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89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二十、粮油物资储备支出</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52</w:t>
            </w:r>
          </w:p>
        </w:tc>
        <w:tc>
          <w:tcPr>
            <w:tcW w:w="55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84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宋体" w:hAnsi="宋体" w:eastAsia="宋体" w:cs="宋体"/>
                <w:i w:val="0"/>
                <w:iCs w:val="0"/>
                <w:color w:val="000000"/>
                <w:sz w:val="20"/>
                <w:szCs w:val="20"/>
                <w:highlight w:val="none"/>
                <w:u w:val="none"/>
              </w:rPr>
            </w:pP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21</w:t>
            </w:r>
          </w:p>
        </w:tc>
        <w:tc>
          <w:tcPr>
            <w:tcW w:w="60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89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二十一、国有资本经营预算支出</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53</w:t>
            </w:r>
          </w:p>
        </w:tc>
        <w:tc>
          <w:tcPr>
            <w:tcW w:w="55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84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宋体" w:hAnsi="宋体" w:eastAsia="宋体" w:cs="宋体"/>
                <w:i w:val="0"/>
                <w:iCs w:val="0"/>
                <w:color w:val="000000"/>
                <w:sz w:val="20"/>
                <w:szCs w:val="20"/>
                <w:highlight w:val="none"/>
                <w:u w:val="none"/>
              </w:rPr>
            </w:pP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22</w:t>
            </w:r>
          </w:p>
        </w:tc>
        <w:tc>
          <w:tcPr>
            <w:tcW w:w="60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89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二十二、灾害防治及应急管理支出</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54</w:t>
            </w:r>
          </w:p>
        </w:tc>
        <w:tc>
          <w:tcPr>
            <w:tcW w:w="55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84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宋体" w:hAnsi="宋体" w:eastAsia="宋体" w:cs="宋体"/>
                <w:i w:val="0"/>
                <w:iCs w:val="0"/>
                <w:color w:val="000000"/>
                <w:sz w:val="20"/>
                <w:szCs w:val="20"/>
                <w:highlight w:val="none"/>
                <w:u w:val="none"/>
              </w:rPr>
            </w:pP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23</w:t>
            </w:r>
          </w:p>
        </w:tc>
        <w:tc>
          <w:tcPr>
            <w:tcW w:w="60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89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二十三、其他支出</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55</w:t>
            </w:r>
          </w:p>
        </w:tc>
        <w:tc>
          <w:tcPr>
            <w:tcW w:w="55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trHeight w:val="308" w:hRule="atLeast"/>
        </w:trPr>
        <w:tc>
          <w:tcPr>
            <w:tcW w:w="84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宋体" w:hAnsi="宋体" w:eastAsia="宋体" w:cs="宋体"/>
                <w:i w:val="0"/>
                <w:iCs w:val="0"/>
                <w:color w:val="000000"/>
                <w:sz w:val="20"/>
                <w:szCs w:val="20"/>
                <w:highlight w:val="none"/>
                <w:u w:val="none"/>
              </w:rPr>
            </w:pP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24</w:t>
            </w:r>
          </w:p>
        </w:tc>
        <w:tc>
          <w:tcPr>
            <w:tcW w:w="60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89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二十四、债务还本支出</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56</w:t>
            </w:r>
          </w:p>
        </w:tc>
        <w:tc>
          <w:tcPr>
            <w:tcW w:w="55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84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center"/>
              <w:rPr>
                <w:rFonts w:hint="eastAsia" w:ascii="宋体" w:hAnsi="宋体" w:eastAsia="宋体" w:cs="宋体"/>
                <w:b/>
                <w:bCs/>
                <w:i w:val="0"/>
                <w:iCs w:val="0"/>
                <w:color w:val="000000"/>
                <w:sz w:val="20"/>
                <w:szCs w:val="20"/>
                <w:highlight w:val="none"/>
                <w:u w:val="none"/>
              </w:rPr>
            </w:pP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25</w:t>
            </w:r>
          </w:p>
        </w:tc>
        <w:tc>
          <w:tcPr>
            <w:tcW w:w="60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89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二十五、债务付息支出</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57</w:t>
            </w:r>
          </w:p>
        </w:tc>
        <w:tc>
          <w:tcPr>
            <w:tcW w:w="55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84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center"/>
              <w:rPr>
                <w:rFonts w:hint="eastAsia" w:ascii="宋体" w:hAnsi="宋体" w:eastAsia="宋体" w:cs="宋体"/>
                <w:i w:val="0"/>
                <w:iCs w:val="0"/>
                <w:color w:val="000000"/>
                <w:sz w:val="20"/>
                <w:szCs w:val="20"/>
                <w:highlight w:val="none"/>
                <w:u w:val="none"/>
              </w:rPr>
            </w:pP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26</w:t>
            </w:r>
          </w:p>
        </w:tc>
        <w:tc>
          <w:tcPr>
            <w:tcW w:w="60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89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二十六、抗疫特别国债安排的支出</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58</w:t>
            </w:r>
          </w:p>
        </w:tc>
        <w:tc>
          <w:tcPr>
            <w:tcW w:w="55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84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eastAsia" w:ascii="方正仿宋_GB2312" w:hAnsi="方正仿宋_GB2312" w:eastAsia="方正仿宋_GB2312" w:cs="方正仿宋_GB2312"/>
                <w:b/>
                <w:bCs/>
                <w:i w:val="0"/>
                <w:iCs w:val="0"/>
                <w:color w:val="000000"/>
                <w:sz w:val="20"/>
                <w:szCs w:val="20"/>
                <w:highlight w:val="none"/>
                <w:u w:val="none"/>
              </w:rPr>
            </w:pPr>
            <w:r>
              <w:rPr>
                <w:rFonts w:hint="eastAsia" w:ascii="方正仿宋_GB2312" w:hAnsi="方正仿宋_GB2312" w:eastAsia="方正仿宋_GB2312" w:cs="方正仿宋_GB2312"/>
                <w:b/>
                <w:bCs/>
                <w:i w:val="0"/>
                <w:iCs w:val="0"/>
                <w:color w:val="000000"/>
                <w:kern w:val="0"/>
                <w:sz w:val="20"/>
                <w:szCs w:val="20"/>
                <w:highlight w:val="none"/>
                <w:u w:val="none"/>
                <w:lang w:val="en-US" w:eastAsia="zh-CN" w:bidi="ar"/>
              </w:rPr>
              <w:t>本年收入合计</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27</w:t>
            </w:r>
          </w:p>
        </w:tc>
        <w:tc>
          <w:tcPr>
            <w:tcW w:w="60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544.68</w:t>
            </w:r>
          </w:p>
        </w:tc>
        <w:tc>
          <w:tcPr>
            <w:tcW w:w="89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eastAsia" w:ascii="方正仿宋_GB2312" w:hAnsi="方正仿宋_GB2312" w:eastAsia="方正仿宋_GB2312" w:cs="方正仿宋_GB2312"/>
                <w:b/>
                <w:bCs/>
                <w:i w:val="0"/>
                <w:iCs w:val="0"/>
                <w:color w:val="000000"/>
                <w:sz w:val="20"/>
                <w:szCs w:val="20"/>
                <w:highlight w:val="none"/>
                <w:u w:val="none"/>
              </w:rPr>
            </w:pPr>
            <w:r>
              <w:rPr>
                <w:rFonts w:hint="eastAsia" w:ascii="方正仿宋_GB2312" w:hAnsi="方正仿宋_GB2312" w:eastAsia="方正仿宋_GB2312" w:cs="方正仿宋_GB2312"/>
                <w:b/>
                <w:bCs/>
                <w:i w:val="0"/>
                <w:iCs w:val="0"/>
                <w:color w:val="000000"/>
                <w:kern w:val="0"/>
                <w:sz w:val="20"/>
                <w:szCs w:val="20"/>
                <w:highlight w:val="none"/>
                <w:u w:val="none"/>
                <w:lang w:val="en-US" w:eastAsia="zh-CN" w:bidi="ar"/>
              </w:rPr>
              <w:t>本年支出合计</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59</w:t>
            </w:r>
          </w:p>
        </w:tc>
        <w:tc>
          <w:tcPr>
            <w:tcW w:w="55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544.68</w:t>
            </w: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544.68</w:t>
            </w: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84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年初财政拨款结转和结余</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28</w:t>
            </w:r>
          </w:p>
        </w:tc>
        <w:tc>
          <w:tcPr>
            <w:tcW w:w="60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89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年末财政拨款结转和结余</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60</w:t>
            </w:r>
          </w:p>
        </w:tc>
        <w:tc>
          <w:tcPr>
            <w:tcW w:w="55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both"/>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both"/>
              <w:rPr>
                <w:rFonts w:hint="default" w:ascii="Times New Roman" w:hAnsi="Times New Roman" w:eastAsia="宋体" w:cs="Times New Roman"/>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84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一、一般公共预算财政拨款</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29</w:t>
            </w:r>
          </w:p>
        </w:tc>
        <w:tc>
          <w:tcPr>
            <w:tcW w:w="60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89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000000"/>
                <w:sz w:val="20"/>
                <w:szCs w:val="20"/>
                <w:highlight w:val="none"/>
                <w:u w:val="none"/>
              </w:rPr>
            </w:pP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61</w:t>
            </w:r>
          </w:p>
        </w:tc>
        <w:tc>
          <w:tcPr>
            <w:tcW w:w="55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default" w:ascii="Times New Roman" w:hAnsi="Times New Roman" w:eastAsia="宋体" w:cs="Times New Roman"/>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84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二、政府性基金预算财政拨款</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30</w:t>
            </w:r>
          </w:p>
        </w:tc>
        <w:tc>
          <w:tcPr>
            <w:tcW w:w="60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89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000000"/>
                <w:sz w:val="20"/>
                <w:szCs w:val="20"/>
                <w:highlight w:val="none"/>
                <w:u w:val="none"/>
              </w:rPr>
            </w:pP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62</w:t>
            </w:r>
          </w:p>
        </w:tc>
        <w:tc>
          <w:tcPr>
            <w:tcW w:w="55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default" w:ascii="Times New Roman" w:hAnsi="Times New Roman" w:eastAsia="宋体" w:cs="Times New Roman"/>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84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三、国有资本经营预算财政拨款</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31</w:t>
            </w:r>
          </w:p>
        </w:tc>
        <w:tc>
          <w:tcPr>
            <w:tcW w:w="60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89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000000"/>
                <w:sz w:val="20"/>
                <w:szCs w:val="20"/>
                <w:highlight w:val="none"/>
                <w:u w:val="none"/>
              </w:rPr>
            </w:pP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63</w:t>
            </w:r>
          </w:p>
        </w:tc>
        <w:tc>
          <w:tcPr>
            <w:tcW w:w="55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default" w:ascii="Times New Roman" w:hAnsi="Times New Roman" w:eastAsia="宋体" w:cs="Times New Roman"/>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84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eastAsia" w:ascii="方正仿宋_GB2312" w:hAnsi="方正仿宋_GB2312" w:eastAsia="方正仿宋_GB2312" w:cs="方正仿宋_GB2312"/>
                <w:b/>
                <w:bCs/>
                <w:i w:val="0"/>
                <w:iCs w:val="0"/>
                <w:color w:val="000000"/>
                <w:sz w:val="20"/>
                <w:szCs w:val="20"/>
                <w:highlight w:val="none"/>
                <w:u w:val="none"/>
              </w:rPr>
            </w:pPr>
            <w:r>
              <w:rPr>
                <w:rFonts w:hint="eastAsia" w:ascii="方正仿宋_GB2312" w:hAnsi="方正仿宋_GB2312" w:eastAsia="方正仿宋_GB2312" w:cs="方正仿宋_GB2312"/>
                <w:b/>
                <w:bCs/>
                <w:i w:val="0"/>
                <w:iCs w:val="0"/>
                <w:color w:val="000000"/>
                <w:kern w:val="0"/>
                <w:sz w:val="20"/>
                <w:szCs w:val="20"/>
                <w:highlight w:val="none"/>
                <w:u w:val="none"/>
                <w:lang w:val="en-US" w:eastAsia="zh-CN" w:bidi="ar"/>
              </w:rPr>
              <w:t>总计</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32</w:t>
            </w:r>
          </w:p>
        </w:tc>
        <w:tc>
          <w:tcPr>
            <w:tcW w:w="60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544.68</w:t>
            </w:r>
          </w:p>
        </w:tc>
        <w:tc>
          <w:tcPr>
            <w:tcW w:w="89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eastAsia" w:ascii="方正仿宋_GB2312" w:hAnsi="方正仿宋_GB2312" w:eastAsia="方正仿宋_GB2312" w:cs="方正仿宋_GB2312"/>
                <w:b/>
                <w:bCs/>
                <w:i w:val="0"/>
                <w:iCs w:val="0"/>
                <w:color w:val="000000"/>
                <w:sz w:val="20"/>
                <w:szCs w:val="20"/>
                <w:highlight w:val="none"/>
                <w:u w:val="none"/>
              </w:rPr>
            </w:pPr>
            <w:r>
              <w:rPr>
                <w:rFonts w:hint="eastAsia" w:ascii="方正仿宋_GB2312" w:hAnsi="方正仿宋_GB2312" w:eastAsia="方正仿宋_GB2312" w:cs="方正仿宋_GB2312"/>
                <w:b/>
                <w:bCs/>
                <w:i w:val="0"/>
                <w:iCs w:val="0"/>
                <w:color w:val="000000"/>
                <w:kern w:val="0"/>
                <w:sz w:val="20"/>
                <w:szCs w:val="20"/>
                <w:highlight w:val="none"/>
                <w:u w:val="none"/>
                <w:lang w:val="en-US" w:eastAsia="zh-CN" w:bidi="ar"/>
              </w:rPr>
              <w:t>总计</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64</w:t>
            </w:r>
          </w:p>
        </w:tc>
        <w:tc>
          <w:tcPr>
            <w:tcW w:w="55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544.68</w:t>
            </w: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cs="Times New Roman"/>
                <w:sz w:val="20"/>
                <w:szCs w:val="20"/>
                <w:highlight w:val="none"/>
              </w:rPr>
            </w:pPr>
          </w:p>
          <w:p>
            <w:pPr>
              <w:jc w:val="right"/>
              <w:rPr>
                <w:rFonts w:hint="default" w:ascii="Times New Roman" w:hAnsi="Times New Roman" w:cs="Times New Roman"/>
                <w:sz w:val="20"/>
                <w:szCs w:val="20"/>
                <w:highlight w:val="none"/>
              </w:rPr>
            </w:pPr>
            <w:r>
              <w:rPr>
                <w:rFonts w:hint="default" w:ascii="Times New Roman" w:hAnsi="Times New Roman" w:cs="Times New Roman"/>
                <w:sz w:val="20"/>
                <w:szCs w:val="20"/>
                <w:highlight w:val="none"/>
              </w:rPr>
              <w:t>544.68</w:t>
            </w:r>
          </w:p>
          <w:p>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5000" w:type="pct"/>
            <w:gridSpan w:val="11"/>
            <w:tcBorders>
              <w:top w:val="single" w:color="000000" w:themeColor="text1" w:sz="8" w:space="0"/>
              <w:left w:val="nil"/>
              <w:bottom w:val="nil"/>
              <w:right w:val="nil"/>
            </w:tcBorders>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注：本表反映部门本年度一般公共预算财政拨款、政府性基金预算财政拨款和国有资本经营预算财政拨款的总收支和年末结转结余情况。</w:t>
            </w:r>
          </w:p>
        </w:tc>
      </w:tr>
    </w:tbl>
    <w:p>
      <w:pPr>
        <w:keepNext w:val="0"/>
        <w:keepLines w:val="0"/>
        <w:pageBreakBefore w:val="0"/>
        <w:widowControl w:val="0"/>
        <w:kinsoku/>
        <w:wordWrap/>
        <w:overflowPunct/>
        <w:topLinePunct w:val="0"/>
        <w:autoSpaceDE/>
        <w:autoSpaceDN/>
        <w:bidi w:val="0"/>
        <w:adjustRightInd/>
        <w:snapToGrid/>
        <w:spacing w:line="240" w:lineRule="auto"/>
        <w:jc w:val="both"/>
        <w:textAlignment w:val="auto"/>
        <w:outlineLvl w:val="9"/>
        <w:rPr>
          <w:rFonts w:hint="eastAsia" w:ascii="仿宋_GB2312" w:hAnsi="宋体" w:eastAsia="仿宋_GB2312"/>
          <w:b/>
          <w:color w:val="auto"/>
          <w:kern w:val="0"/>
          <w:sz w:val="32"/>
          <w:szCs w:val="32"/>
          <w:highlight w:val="none"/>
        </w:rPr>
      </w:pPr>
    </w:p>
    <w:p>
      <w:pPr>
        <w:rPr>
          <w:rFonts w:hint="eastAsia" w:ascii="仿宋_GB2312" w:hAnsi="宋体" w:eastAsia="仿宋_GB2312"/>
          <w:b/>
          <w:color w:val="auto"/>
          <w:kern w:val="0"/>
          <w:sz w:val="32"/>
          <w:szCs w:val="32"/>
          <w:highlight w:val="none"/>
        </w:rPr>
      </w:pPr>
      <w:r>
        <w:rPr>
          <w:rFonts w:hint="eastAsia" w:ascii="仿宋_GB2312" w:hAnsi="宋体" w:eastAsia="仿宋_GB2312"/>
          <w:b/>
          <w:color w:val="auto"/>
          <w:kern w:val="0"/>
          <w:sz w:val="32"/>
          <w:szCs w:val="32"/>
          <w:highlight w:val="none"/>
        </w:rPr>
        <w:br w:type="page"/>
      </w:r>
    </w:p>
    <w:tbl>
      <w:tblPr>
        <w:tblStyle w:val="11"/>
        <w:tblW w:w="5348" w:type="pct"/>
        <w:tblInd w:w="-657"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1924"/>
        <w:gridCol w:w="2913"/>
        <w:gridCol w:w="1105"/>
        <w:gridCol w:w="658"/>
        <w:gridCol w:w="690"/>
        <w:gridCol w:w="329"/>
        <w:gridCol w:w="1078"/>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57" w:hRule="atLeast"/>
        </w:trPr>
        <w:tc>
          <w:tcPr>
            <w:tcW w:w="5000" w:type="pct"/>
            <w:gridSpan w:val="7"/>
            <w:tcBorders>
              <w:top w:val="nil"/>
              <w:left w:val="nil"/>
              <w:bottom w:val="nil"/>
              <w:right w:val="nil"/>
            </w:tcBorders>
            <w:noWrap/>
            <w:vAlign w:val="bottom"/>
          </w:tcPr>
          <w:p>
            <w:pPr>
              <w:keepNext w:val="0"/>
              <w:keepLines w:val="0"/>
              <w:widowControl/>
              <w:suppressLineNumbers w:val="0"/>
              <w:jc w:val="center"/>
              <w:textAlignment w:val="bottom"/>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b w:val="0"/>
                <w:bCs/>
                <w:color w:val="auto"/>
                <w:kern w:val="0"/>
                <w:sz w:val="32"/>
                <w:szCs w:val="32"/>
                <w:highlight w:val="none"/>
                <w:lang w:val="en-US" w:eastAsia="zh-CN"/>
              </w:rPr>
              <w:t>一般公共预算财政拨款支出决算表</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9" w:hRule="atLeast"/>
        </w:trPr>
        <w:tc>
          <w:tcPr>
            <w:tcW w:w="5000" w:type="pct"/>
            <w:gridSpan w:val="7"/>
            <w:tcBorders>
              <w:top w:val="nil"/>
              <w:left w:val="nil"/>
              <w:bottom w:val="nil"/>
              <w:right w:val="nil"/>
            </w:tcBorders>
            <w:noWrap/>
            <w:vAlign w:val="bottom"/>
          </w:tcPr>
          <w:p>
            <w:pPr>
              <w:keepNext w:val="0"/>
              <w:keepLines w:val="0"/>
              <w:widowControl/>
              <w:suppressLineNumbers w:val="0"/>
              <w:jc w:val="right"/>
              <w:textAlignment w:val="bottom"/>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公开</w:t>
            </w:r>
            <w:r>
              <w:rPr>
                <w:rFonts w:hint="default" w:ascii="Times New Roman" w:hAnsi="Times New Roman" w:eastAsia="方正仿宋_GB2312" w:cs="Times New Roman"/>
                <w:i w:val="0"/>
                <w:iCs w:val="0"/>
                <w:color w:val="000000"/>
                <w:kern w:val="0"/>
                <w:sz w:val="20"/>
                <w:szCs w:val="20"/>
                <w:highlight w:val="none"/>
                <w:u w:val="none"/>
                <w:lang w:val="en-US" w:eastAsia="zh-CN" w:bidi="ar"/>
              </w:rPr>
              <w:t>05</w:t>
            </w: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表</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9" w:hRule="atLeast"/>
        </w:trPr>
        <w:tc>
          <w:tcPr>
            <w:tcW w:w="1868" w:type="pct"/>
            <w:gridSpan w:val="3"/>
            <w:tcBorders>
              <w:top w:val="nil"/>
              <w:left w:val="nil"/>
              <w:bottom w:val="single" w:color="000000" w:themeColor="text1" w:sz="8" w:space="0"/>
              <w:right w:val="nil"/>
            </w:tcBorders>
            <w:noWrap/>
            <w:vAlign w:val="bottom"/>
          </w:tcPr>
          <w:p>
            <w:pPr>
              <w:keepNext w:val="0"/>
              <w:keepLines w:val="0"/>
              <w:widowControl/>
              <w:suppressLineNumbers w:val="0"/>
              <w:jc w:val="left"/>
              <w:textAlignment w:val="bottom"/>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部门（单位）：中国人民政治协商会议无极县委员会办公室(本级)</w:t>
            </w:r>
          </w:p>
        </w:tc>
        <w:tc>
          <w:tcPr>
            <w:tcW w:w="1541" w:type="pct"/>
            <w:gridSpan w:val="2"/>
            <w:tcBorders>
              <w:top w:val="nil"/>
              <w:left w:val="nil"/>
              <w:bottom w:val="single" w:color="000000" w:themeColor="text1" w:sz="8" w:space="0"/>
              <w:right w:val="nil"/>
            </w:tcBorders>
            <w:noWrap/>
            <w:vAlign w:val="bottom"/>
          </w:tcPr>
          <w:p>
            <w:pPr>
              <w:keepNext w:val="0"/>
              <w:keepLines w:val="0"/>
              <w:widowControl/>
              <w:suppressLineNumbers w:val="0"/>
              <w:jc w:val="center"/>
              <w:textAlignment w:val="bottom"/>
              <w:rPr>
                <w:rFonts w:hint="default" w:asciiTheme="minorEastAsia" w:hAnsiTheme="minorEastAsia" w:eastAsiaTheme="minorEastAsia" w:cstheme="minorEastAsia"/>
                <w:i w:val="0"/>
                <w:iCs w:val="0"/>
                <w:color w:val="000000"/>
                <w:kern w:val="0"/>
                <w:sz w:val="20"/>
                <w:szCs w:val="20"/>
                <w:highlight w:val="none"/>
                <w:u w:val="none"/>
                <w:lang w:val="en-US" w:eastAsia="zh-CN" w:bidi="ar"/>
              </w:rPr>
            </w:pPr>
            <w:r>
              <w:rPr>
                <w:rFonts w:hint="default" w:ascii="Times New Roman" w:hAnsi="Times New Roman" w:cs="Times New Roman"/>
                <w:i w:val="0"/>
                <w:iCs w:val="0"/>
                <w:color w:val="000000"/>
                <w:kern w:val="0"/>
                <w:sz w:val="20"/>
                <w:szCs w:val="20"/>
                <w:highlight w:val="none"/>
                <w:u w:val="none"/>
                <w:lang w:val="en-US" w:eastAsia="zh-CN" w:bidi="ar"/>
              </w:rPr>
              <w:t>202</w:t>
            </w:r>
            <w:r>
              <w:rPr>
                <w:rFonts w:hint="eastAsia" w:ascii="Times New Roman" w:hAnsi="Times New Roman" w:cs="Times New Roman"/>
                <w:i w:val="0"/>
                <w:iCs w:val="0"/>
                <w:color w:val="000000"/>
                <w:kern w:val="0"/>
                <w:sz w:val="20"/>
                <w:szCs w:val="20"/>
                <w:highlight w:val="none"/>
                <w:u w:val="none"/>
                <w:lang w:val="en-US" w:eastAsia="zh-CN" w:bidi="ar"/>
              </w:rPr>
              <w:t>5</w:t>
            </w: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年度</w:t>
            </w:r>
          </w:p>
        </w:tc>
        <w:tc>
          <w:tcPr>
            <w:tcW w:w="1590" w:type="pct"/>
            <w:gridSpan w:val="2"/>
            <w:tcBorders>
              <w:top w:val="nil"/>
              <w:left w:val="nil"/>
              <w:bottom w:val="single" w:color="000000" w:themeColor="text1" w:sz="8" w:space="0"/>
              <w:right w:val="nil"/>
            </w:tcBorders>
            <w:noWrap/>
            <w:vAlign w:val="bottom"/>
          </w:tcPr>
          <w:p>
            <w:pPr>
              <w:keepNext w:val="0"/>
              <w:keepLines w:val="0"/>
              <w:widowControl/>
              <w:suppressLineNumbers w:val="0"/>
              <w:jc w:val="right"/>
              <w:textAlignment w:val="bottom"/>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金额单位：万元</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0" w:hRule="atLeast"/>
        </w:trPr>
        <w:tc>
          <w:tcPr>
            <w:tcW w:w="1461" w:type="pct"/>
            <w:gridSpan w:val="2"/>
            <w:tcBorders>
              <w:top w:val="single" w:color="000000" w:themeColor="text1" w:sz="8" w:space="0"/>
              <w:left w:val="single" w:color="auto" w:sz="8" w:space="0"/>
              <w:bottom w:val="single" w:color="000000" w:themeColor="text1" w:sz="8" w:space="0"/>
              <w:right w:val="single" w:color="000000" w:themeColor="text1" w:sz="8" w:space="0"/>
            </w:tcBorders>
            <w:noWrap w:val="0"/>
            <w:vAlign w:val="center"/>
          </w:tcPr>
          <w:p>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项目</w:t>
            </w:r>
          </w:p>
        </w:tc>
        <w:tc>
          <w:tcPr>
            <w:tcW w:w="3538" w:type="pct"/>
            <w:gridSpan w:val="5"/>
            <w:tcBorders>
              <w:top w:val="single" w:color="000000" w:themeColor="text1" w:sz="8" w:space="0"/>
              <w:left w:val="single" w:color="000000" w:themeColor="text1" w:sz="8" w:space="0"/>
              <w:bottom w:val="single" w:color="000000" w:themeColor="text1" w:sz="8" w:space="0"/>
              <w:right w:val="single" w:color="auto" w:sz="8" w:space="0"/>
            </w:tcBorders>
            <w:noWrap w:val="0"/>
            <w:vAlign w:val="center"/>
          </w:tcPr>
          <w:p>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本年支出</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9" w:hRule="atLeast"/>
        </w:trPr>
        <w:tc>
          <w:tcPr>
            <w:tcW w:w="704" w:type="pct"/>
            <w:vMerge w:val="restart"/>
            <w:tcBorders>
              <w:top w:val="single" w:color="000000" w:themeColor="text1" w:sz="8" w:space="0"/>
              <w:left w:val="single" w:color="auto" w:sz="8" w:space="0"/>
              <w:bottom w:val="single" w:color="000000" w:themeColor="text1" w:sz="8" w:space="0"/>
              <w:right w:val="single" w:color="000000" w:themeColor="text1" w:sz="8" w:space="0"/>
            </w:tcBorders>
            <w:noWrap w:val="0"/>
            <w:vAlign w:val="center"/>
          </w:tcPr>
          <w:p>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科目代码</w:t>
            </w:r>
          </w:p>
        </w:tc>
        <w:tc>
          <w:tcPr>
            <w:tcW w:w="756" w:type="pct"/>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科目名称</w:t>
            </w:r>
          </w:p>
        </w:tc>
        <w:tc>
          <w:tcPr>
            <w:tcW w:w="1160" w:type="pct"/>
            <w:gridSpan w:val="2"/>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lang w:val="en-US" w:eastAsia="zh-CN"/>
              </w:rPr>
            </w:pPr>
            <w:r>
              <w:rPr>
                <w:rFonts w:hint="eastAsia" w:ascii="方正仿宋_GB2312" w:hAnsi="方正仿宋_GB2312" w:eastAsia="方正仿宋_GB2312" w:cs="方正仿宋_GB2312"/>
                <w:i w:val="0"/>
                <w:iCs w:val="0"/>
                <w:color w:val="000000"/>
                <w:sz w:val="20"/>
                <w:szCs w:val="20"/>
                <w:highlight w:val="none"/>
                <w:u w:val="none"/>
                <w:lang w:val="en-US" w:eastAsia="zh-CN"/>
              </w:rPr>
              <w:t>小计</w:t>
            </w:r>
          </w:p>
        </w:tc>
        <w:tc>
          <w:tcPr>
            <w:tcW w:w="1160" w:type="pct"/>
            <w:gridSpan w:val="2"/>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基本支出</w:t>
            </w:r>
          </w:p>
        </w:tc>
        <w:tc>
          <w:tcPr>
            <w:tcW w:w="1218" w:type="pct"/>
            <w:vMerge w:val="restart"/>
            <w:tcBorders>
              <w:top w:val="single" w:color="000000" w:themeColor="text1" w:sz="8" w:space="0"/>
              <w:left w:val="single" w:color="000000" w:themeColor="text1" w:sz="8" w:space="0"/>
              <w:bottom w:val="single" w:color="000000" w:themeColor="text1" w:sz="8" w:space="0"/>
              <w:right w:val="single" w:color="auto" w:sz="8" w:space="0"/>
            </w:tcBorders>
            <w:noWrap w:val="0"/>
            <w:vAlign w:val="center"/>
          </w:tcPr>
          <w:p>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项目支出</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trHeight w:val="346" w:hRule="atLeast"/>
        </w:trPr>
        <w:tc>
          <w:tcPr>
            <w:tcW w:w="704" w:type="pct"/>
            <w:vMerge w:val="continue"/>
            <w:tcBorders>
              <w:top w:val="single" w:color="000000" w:themeColor="text1" w:sz="8" w:space="0"/>
              <w:left w:val="single" w:color="auto" w:sz="8" w:space="0"/>
              <w:bottom w:val="single" w:color="000000" w:themeColor="text1" w:sz="8" w:space="0"/>
              <w:right w:val="single" w:color="000000" w:themeColor="text1" w:sz="8" w:space="0"/>
            </w:tcBorders>
            <w:noWrap w:val="0"/>
            <w:vAlign w:val="center"/>
          </w:tcPr>
          <w:p>
            <w:pPr>
              <w:jc w:val="center"/>
              <w:rPr>
                <w:rFonts w:hint="eastAsia" w:ascii="宋体" w:hAnsi="宋体" w:eastAsia="宋体" w:cs="宋体"/>
                <w:i w:val="0"/>
                <w:iCs w:val="0"/>
                <w:color w:val="000000"/>
                <w:sz w:val="20"/>
                <w:szCs w:val="20"/>
                <w:highlight w:val="none"/>
                <w:u w:val="none"/>
              </w:rPr>
            </w:pPr>
          </w:p>
        </w:tc>
        <w:tc>
          <w:tcPr>
            <w:tcW w:w="756"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jc w:val="center"/>
              <w:rPr>
                <w:rFonts w:hint="eastAsia" w:ascii="宋体" w:hAnsi="宋体" w:eastAsia="宋体" w:cs="宋体"/>
                <w:i w:val="0"/>
                <w:iCs w:val="0"/>
                <w:color w:val="000000"/>
                <w:sz w:val="20"/>
                <w:szCs w:val="20"/>
                <w:highlight w:val="none"/>
                <w:u w:val="none"/>
              </w:rPr>
            </w:pPr>
          </w:p>
        </w:tc>
        <w:tc>
          <w:tcPr>
            <w:tcW w:w="1160" w:type="pct"/>
            <w:gridSpan w:val="2"/>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jc w:val="center"/>
              <w:rPr>
                <w:rFonts w:hint="eastAsia" w:ascii="宋体" w:hAnsi="宋体" w:eastAsia="宋体" w:cs="宋体"/>
                <w:i w:val="0"/>
                <w:iCs w:val="0"/>
                <w:color w:val="000000"/>
                <w:sz w:val="20"/>
                <w:szCs w:val="20"/>
                <w:highlight w:val="none"/>
                <w:u w:val="none"/>
              </w:rPr>
            </w:pPr>
          </w:p>
        </w:tc>
        <w:tc>
          <w:tcPr>
            <w:tcW w:w="1160" w:type="pct"/>
            <w:gridSpan w:val="2"/>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jc w:val="center"/>
              <w:rPr>
                <w:rFonts w:hint="eastAsia" w:ascii="宋体" w:hAnsi="宋体" w:eastAsia="宋体" w:cs="宋体"/>
                <w:i w:val="0"/>
                <w:iCs w:val="0"/>
                <w:color w:val="000000"/>
                <w:sz w:val="20"/>
                <w:szCs w:val="20"/>
                <w:highlight w:val="none"/>
                <w:u w:val="none"/>
              </w:rPr>
            </w:pPr>
          </w:p>
        </w:tc>
        <w:tc>
          <w:tcPr>
            <w:tcW w:w="1218" w:type="pct"/>
            <w:vMerge w:val="continue"/>
            <w:tcBorders>
              <w:top w:val="single" w:color="000000" w:themeColor="text1" w:sz="8" w:space="0"/>
              <w:left w:val="single" w:color="000000" w:themeColor="text1" w:sz="8" w:space="0"/>
              <w:bottom w:val="single" w:color="000000" w:themeColor="text1" w:sz="8" w:space="0"/>
              <w:right w:val="single" w:color="auto" w:sz="8" w:space="0"/>
            </w:tcBorders>
            <w:noWrap w:val="0"/>
            <w:vAlign w:val="center"/>
          </w:tcPr>
          <w:p>
            <w:pPr>
              <w:jc w:val="center"/>
              <w:rPr>
                <w:rFonts w:hint="eastAsia" w:ascii="宋体" w:hAnsi="宋体" w:eastAsia="宋体" w:cs="宋体"/>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9" w:hRule="atLeast"/>
        </w:trPr>
        <w:tc>
          <w:tcPr>
            <w:tcW w:w="704" w:type="pct"/>
            <w:vMerge w:val="continue"/>
            <w:tcBorders>
              <w:top w:val="single" w:color="000000" w:themeColor="text1" w:sz="8" w:space="0"/>
              <w:left w:val="single" w:color="auto" w:sz="8" w:space="0"/>
              <w:bottom w:val="single" w:color="000000" w:themeColor="text1" w:sz="8" w:space="0"/>
              <w:right w:val="single" w:color="000000" w:themeColor="text1" w:sz="8" w:space="0"/>
            </w:tcBorders>
            <w:noWrap w:val="0"/>
            <w:vAlign w:val="center"/>
          </w:tcPr>
          <w:p>
            <w:pPr>
              <w:jc w:val="center"/>
              <w:rPr>
                <w:rFonts w:hint="eastAsia" w:ascii="宋体" w:hAnsi="宋体" w:eastAsia="宋体" w:cs="宋体"/>
                <w:i w:val="0"/>
                <w:iCs w:val="0"/>
                <w:color w:val="000000"/>
                <w:sz w:val="20"/>
                <w:szCs w:val="20"/>
                <w:highlight w:val="none"/>
                <w:u w:val="none"/>
              </w:rPr>
            </w:pPr>
          </w:p>
        </w:tc>
        <w:tc>
          <w:tcPr>
            <w:tcW w:w="756"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jc w:val="center"/>
              <w:rPr>
                <w:rFonts w:hint="eastAsia" w:ascii="宋体" w:hAnsi="宋体" w:eastAsia="宋体" w:cs="宋体"/>
                <w:i w:val="0"/>
                <w:iCs w:val="0"/>
                <w:color w:val="000000"/>
                <w:sz w:val="20"/>
                <w:szCs w:val="20"/>
                <w:highlight w:val="none"/>
                <w:u w:val="none"/>
              </w:rPr>
            </w:pPr>
          </w:p>
        </w:tc>
        <w:tc>
          <w:tcPr>
            <w:tcW w:w="1160" w:type="pct"/>
            <w:gridSpan w:val="2"/>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jc w:val="center"/>
              <w:rPr>
                <w:rFonts w:hint="eastAsia" w:ascii="宋体" w:hAnsi="宋体" w:eastAsia="宋体" w:cs="宋体"/>
                <w:i w:val="0"/>
                <w:iCs w:val="0"/>
                <w:color w:val="000000"/>
                <w:sz w:val="20"/>
                <w:szCs w:val="20"/>
                <w:highlight w:val="none"/>
                <w:u w:val="none"/>
              </w:rPr>
            </w:pPr>
          </w:p>
        </w:tc>
        <w:tc>
          <w:tcPr>
            <w:tcW w:w="1160" w:type="pct"/>
            <w:gridSpan w:val="2"/>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jc w:val="center"/>
              <w:rPr>
                <w:rFonts w:hint="eastAsia" w:ascii="宋体" w:hAnsi="宋体" w:eastAsia="宋体" w:cs="宋体"/>
                <w:i w:val="0"/>
                <w:iCs w:val="0"/>
                <w:color w:val="000000"/>
                <w:sz w:val="20"/>
                <w:szCs w:val="20"/>
                <w:highlight w:val="none"/>
                <w:u w:val="none"/>
              </w:rPr>
            </w:pPr>
          </w:p>
        </w:tc>
        <w:tc>
          <w:tcPr>
            <w:tcW w:w="1218" w:type="pct"/>
            <w:vMerge w:val="continue"/>
            <w:tcBorders>
              <w:top w:val="single" w:color="000000" w:themeColor="text1" w:sz="8" w:space="0"/>
              <w:left w:val="single" w:color="000000" w:themeColor="text1" w:sz="8" w:space="0"/>
              <w:bottom w:val="single" w:color="000000" w:themeColor="text1" w:sz="8" w:space="0"/>
              <w:right w:val="single" w:color="auto" w:sz="8" w:space="0"/>
            </w:tcBorders>
            <w:noWrap w:val="0"/>
            <w:vAlign w:val="center"/>
          </w:tcPr>
          <w:p>
            <w:pPr>
              <w:jc w:val="center"/>
              <w:rPr>
                <w:rFonts w:hint="eastAsia" w:ascii="宋体" w:hAnsi="宋体" w:eastAsia="宋体" w:cs="宋体"/>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9" w:hRule="atLeast"/>
        </w:trPr>
        <w:tc>
          <w:tcPr>
            <w:tcW w:w="1461" w:type="pct"/>
            <w:gridSpan w:val="2"/>
            <w:tcBorders>
              <w:top w:val="single" w:color="000000" w:themeColor="text1" w:sz="8" w:space="0"/>
              <w:left w:val="single" w:color="auto" w:sz="8" w:space="0"/>
              <w:bottom w:val="single" w:color="000000" w:themeColor="text1" w:sz="8" w:space="0"/>
              <w:right w:val="single" w:color="000000" w:themeColor="text1" w:sz="8" w:space="0"/>
            </w:tcBorders>
            <w:noWrap w:val="0"/>
            <w:vAlign w:val="center"/>
          </w:tcPr>
          <w:p>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栏次</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eastAsia="zh-CN"/>
              </w:rPr>
            </w:pPr>
            <w:r>
              <w:rPr>
                <w:rFonts w:hint="default" w:ascii="Times New Roman" w:hAnsi="Times New Roman" w:eastAsia="宋体" w:cs="Times New Roman"/>
                <w:i w:val="0"/>
                <w:iCs w:val="0"/>
                <w:color w:val="000000"/>
                <w:sz w:val="20"/>
                <w:szCs w:val="20"/>
                <w:highlight w:val="none"/>
                <w:u w:val="none"/>
                <w:lang w:val="en-US" w:eastAsia="zh-CN"/>
              </w:rPr>
              <w:t>1</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eastAsia="zh-CN"/>
              </w:rPr>
            </w:pPr>
            <w:r>
              <w:rPr>
                <w:rFonts w:hint="default" w:ascii="Times New Roman" w:hAnsi="Times New Roman" w:eastAsia="宋体" w:cs="Times New Roman"/>
                <w:i w:val="0"/>
                <w:iCs w:val="0"/>
                <w:color w:val="000000"/>
                <w:sz w:val="20"/>
                <w:szCs w:val="20"/>
                <w:highlight w:val="none"/>
                <w:u w:val="none"/>
                <w:lang w:val="en-US" w:eastAsia="zh-CN"/>
              </w:rPr>
              <w:t>2</w:t>
            </w:r>
          </w:p>
        </w:tc>
        <w:tc>
          <w:tcPr>
            <w:tcW w:w="1218" w:type="pct"/>
            <w:tcBorders>
              <w:top w:val="single" w:color="000000" w:themeColor="text1" w:sz="8" w:space="0"/>
              <w:left w:val="single" w:color="000000" w:themeColor="text1" w:sz="8" w:space="0"/>
              <w:bottom w:val="single" w:color="000000" w:themeColor="text1" w:sz="8" w:space="0"/>
              <w:right w:val="single" w:color="auto"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eastAsia="zh-CN"/>
              </w:rPr>
            </w:pPr>
            <w:r>
              <w:rPr>
                <w:rFonts w:hint="default" w:ascii="Times New Roman" w:hAnsi="Times New Roman" w:eastAsia="宋体" w:cs="Times New Roman"/>
                <w:i w:val="0"/>
                <w:iCs w:val="0"/>
                <w:color w:val="000000"/>
                <w:sz w:val="20"/>
                <w:szCs w:val="20"/>
                <w:highlight w:val="none"/>
                <w:u w:val="none"/>
                <w:lang w:val="en-US" w:eastAsia="zh-CN"/>
              </w:rPr>
              <w:t>3</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trHeight w:val="369" w:hRule="atLeast"/>
        </w:trPr>
        <w:tc>
          <w:tcPr>
            <w:tcW w:w="1461" w:type="pct"/>
            <w:gridSpan w:val="2"/>
            <w:tcBorders>
              <w:top w:val="single" w:color="000000" w:themeColor="text1" w:sz="8" w:space="0"/>
              <w:left w:val="single" w:color="auto" w:sz="8" w:space="0"/>
              <w:bottom w:val="single" w:color="000000" w:themeColor="text1" w:sz="8" w:space="0"/>
              <w:right w:val="single" w:color="000000" w:themeColor="text1" w:sz="8" w:space="0"/>
            </w:tcBorders>
            <w:noWrap w:val="0"/>
            <w:vAlign w:val="center"/>
          </w:tcPr>
          <w:p>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合计</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544.68</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473.07</w:t>
            </w:r>
          </w:p>
        </w:tc>
        <w:tc>
          <w:tcPr>
            <w:tcW w:w="1218" w:type="pct"/>
            <w:tcBorders>
              <w:top w:val="single" w:color="000000" w:themeColor="text1" w:sz="8" w:space="0"/>
              <w:left w:val="single" w:color="000000" w:themeColor="text1" w:sz="8" w:space="0"/>
              <w:bottom w:val="single" w:color="000000" w:themeColor="text1" w:sz="8" w:space="0"/>
              <w:right w:val="single" w:color="auto"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71.61</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1" w:hRule="atLeast"/>
        </w:trPr>
        <w:tc>
          <w:tcPr>
            <w:tcW w:w="704" w:type="pct"/>
            <w:tcBorders>
              <w:top w:val="single" w:color="000000" w:themeColor="text1" w:sz="8" w:space="0"/>
              <w:left w:val="single" w:color="auto"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201</w:t>
            </w:r>
          </w:p>
        </w:tc>
        <w:tc>
          <w:tcPr>
            <w:tcW w:w="7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一般公共服务支出</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455.23</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383.62</w:t>
            </w:r>
          </w:p>
        </w:tc>
        <w:tc>
          <w:tcPr>
            <w:tcW w:w="1218" w:type="pct"/>
            <w:tcBorders>
              <w:top w:val="single" w:color="000000" w:themeColor="text1" w:sz="8" w:space="0"/>
              <w:left w:val="single" w:color="000000" w:themeColor="text1" w:sz="8" w:space="0"/>
              <w:bottom w:val="single" w:color="000000" w:themeColor="text1" w:sz="8" w:space="0"/>
              <w:right w:val="single" w:color="auto"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71.61</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1" w:hRule="atLeast"/>
        </w:trPr>
        <w:tc>
          <w:tcPr>
            <w:tcW w:w="704" w:type="pct"/>
            <w:tcBorders>
              <w:top w:val="single" w:color="000000" w:themeColor="text1" w:sz="8" w:space="0"/>
              <w:left w:val="single" w:color="auto"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20102</w:t>
            </w:r>
          </w:p>
        </w:tc>
        <w:tc>
          <w:tcPr>
            <w:tcW w:w="7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政协事务</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455.23</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383.62</w:t>
            </w:r>
          </w:p>
        </w:tc>
        <w:tc>
          <w:tcPr>
            <w:tcW w:w="1218" w:type="pct"/>
            <w:tcBorders>
              <w:top w:val="single" w:color="000000" w:themeColor="text1" w:sz="8" w:space="0"/>
              <w:left w:val="single" w:color="000000" w:themeColor="text1" w:sz="8" w:space="0"/>
              <w:bottom w:val="single" w:color="000000" w:themeColor="text1" w:sz="8" w:space="0"/>
              <w:right w:val="single" w:color="auto"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71.61</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1" w:hRule="atLeast"/>
        </w:trPr>
        <w:tc>
          <w:tcPr>
            <w:tcW w:w="704" w:type="pct"/>
            <w:tcBorders>
              <w:top w:val="single" w:color="000000" w:themeColor="text1" w:sz="8" w:space="0"/>
              <w:left w:val="single" w:color="auto"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2010201</w:t>
            </w:r>
          </w:p>
        </w:tc>
        <w:tc>
          <w:tcPr>
            <w:tcW w:w="7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行政运行</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383.62</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383.62</w:t>
            </w:r>
          </w:p>
        </w:tc>
        <w:tc>
          <w:tcPr>
            <w:tcW w:w="1218" w:type="pct"/>
            <w:tcBorders>
              <w:top w:val="single" w:color="000000" w:themeColor="text1" w:sz="8" w:space="0"/>
              <w:left w:val="single" w:color="000000" w:themeColor="text1" w:sz="8" w:space="0"/>
              <w:bottom w:val="single" w:color="000000" w:themeColor="text1" w:sz="8" w:space="0"/>
              <w:right w:val="single" w:color="auto"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1" w:hRule="atLeast"/>
        </w:trPr>
        <w:tc>
          <w:tcPr>
            <w:tcW w:w="704" w:type="pct"/>
            <w:tcBorders>
              <w:top w:val="single" w:color="000000" w:themeColor="text1" w:sz="8" w:space="0"/>
              <w:left w:val="single" w:color="auto"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2010204</w:t>
            </w:r>
          </w:p>
        </w:tc>
        <w:tc>
          <w:tcPr>
            <w:tcW w:w="7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政协会议</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33.63</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1218" w:type="pct"/>
            <w:tcBorders>
              <w:top w:val="single" w:color="000000" w:themeColor="text1" w:sz="8" w:space="0"/>
              <w:left w:val="single" w:color="000000" w:themeColor="text1" w:sz="8" w:space="0"/>
              <w:bottom w:val="single" w:color="000000" w:themeColor="text1" w:sz="8" w:space="0"/>
              <w:right w:val="single" w:color="auto"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33.63</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1" w:hRule="atLeast"/>
        </w:trPr>
        <w:tc>
          <w:tcPr>
            <w:tcW w:w="704" w:type="pct"/>
            <w:tcBorders>
              <w:top w:val="single" w:color="000000" w:themeColor="text1" w:sz="8" w:space="0"/>
              <w:left w:val="single" w:color="auto"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2010299</w:t>
            </w:r>
          </w:p>
        </w:tc>
        <w:tc>
          <w:tcPr>
            <w:tcW w:w="7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其他政协事务支出</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37.99</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1218" w:type="pct"/>
            <w:tcBorders>
              <w:top w:val="single" w:color="000000" w:themeColor="text1" w:sz="8" w:space="0"/>
              <w:left w:val="single" w:color="000000" w:themeColor="text1" w:sz="8" w:space="0"/>
              <w:bottom w:val="single" w:color="000000" w:themeColor="text1" w:sz="8" w:space="0"/>
              <w:right w:val="single" w:color="auto"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37.99</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1" w:hRule="atLeast"/>
        </w:trPr>
        <w:tc>
          <w:tcPr>
            <w:tcW w:w="704" w:type="pct"/>
            <w:tcBorders>
              <w:top w:val="single" w:color="000000" w:themeColor="text1" w:sz="8" w:space="0"/>
              <w:left w:val="single" w:color="auto"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208</w:t>
            </w:r>
          </w:p>
        </w:tc>
        <w:tc>
          <w:tcPr>
            <w:tcW w:w="7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社会保障和就业支出</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71.37</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71.37</w:t>
            </w:r>
          </w:p>
        </w:tc>
        <w:tc>
          <w:tcPr>
            <w:tcW w:w="1218" w:type="pct"/>
            <w:tcBorders>
              <w:top w:val="single" w:color="000000" w:themeColor="text1" w:sz="8" w:space="0"/>
              <w:left w:val="single" w:color="000000" w:themeColor="text1" w:sz="8" w:space="0"/>
              <w:bottom w:val="single" w:color="000000" w:themeColor="text1" w:sz="8" w:space="0"/>
              <w:right w:val="single" w:color="auto"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1" w:hRule="atLeast"/>
        </w:trPr>
        <w:tc>
          <w:tcPr>
            <w:tcW w:w="704" w:type="pct"/>
            <w:tcBorders>
              <w:top w:val="single" w:color="000000" w:themeColor="text1" w:sz="8" w:space="0"/>
              <w:left w:val="single" w:color="auto"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20805</w:t>
            </w:r>
          </w:p>
        </w:tc>
        <w:tc>
          <w:tcPr>
            <w:tcW w:w="7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行政事业单位养老支出</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63.63</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63.63</w:t>
            </w:r>
          </w:p>
        </w:tc>
        <w:tc>
          <w:tcPr>
            <w:tcW w:w="1218" w:type="pct"/>
            <w:tcBorders>
              <w:top w:val="single" w:color="000000" w:themeColor="text1" w:sz="8" w:space="0"/>
              <w:left w:val="single" w:color="000000" w:themeColor="text1" w:sz="8" w:space="0"/>
              <w:bottom w:val="single" w:color="000000" w:themeColor="text1" w:sz="8" w:space="0"/>
              <w:right w:val="single" w:color="auto"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1" w:hRule="atLeast"/>
        </w:trPr>
        <w:tc>
          <w:tcPr>
            <w:tcW w:w="704" w:type="pct"/>
            <w:tcBorders>
              <w:top w:val="single" w:color="000000" w:themeColor="text1" w:sz="8" w:space="0"/>
              <w:left w:val="single" w:color="auto"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2080505</w:t>
            </w:r>
          </w:p>
        </w:tc>
        <w:tc>
          <w:tcPr>
            <w:tcW w:w="7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机关事业单位基本养老保险缴费支出</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54.56</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54.56</w:t>
            </w:r>
          </w:p>
        </w:tc>
        <w:tc>
          <w:tcPr>
            <w:tcW w:w="1218" w:type="pct"/>
            <w:tcBorders>
              <w:top w:val="single" w:color="000000" w:themeColor="text1" w:sz="8" w:space="0"/>
              <w:left w:val="single" w:color="000000" w:themeColor="text1" w:sz="8" w:space="0"/>
              <w:bottom w:val="single" w:color="000000" w:themeColor="text1" w:sz="8" w:space="0"/>
              <w:right w:val="single" w:color="auto"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1" w:hRule="atLeast"/>
        </w:trPr>
        <w:tc>
          <w:tcPr>
            <w:tcW w:w="704" w:type="pct"/>
            <w:tcBorders>
              <w:top w:val="single" w:color="000000" w:themeColor="text1" w:sz="8" w:space="0"/>
              <w:left w:val="single" w:color="auto"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2080506</w:t>
            </w:r>
          </w:p>
        </w:tc>
        <w:tc>
          <w:tcPr>
            <w:tcW w:w="7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机关事业单位职业年金缴费支出</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9.07</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9.07</w:t>
            </w:r>
          </w:p>
        </w:tc>
        <w:tc>
          <w:tcPr>
            <w:tcW w:w="1218" w:type="pct"/>
            <w:tcBorders>
              <w:top w:val="single" w:color="000000" w:themeColor="text1" w:sz="8" w:space="0"/>
              <w:left w:val="single" w:color="000000" w:themeColor="text1" w:sz="8" w:space="0"/>
              <w:bottom w:val="single" w:color="000000" w:themeColor="text1" w:sz="8" w:space="0"/>
              <w:right w:val="single" w:color="auto"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1" w:hRule="atLeast"/>
        </w:trPr>
        <w:tc>
          <w:tcPr>
            <w:tcW w:w="704" w:type="pct"/>
            <w:tcBorders>
              <w:top w:val="single" w:color="000000" w:themeColor="text1" w:sz="8" w:space="0"/>
              <w:left w:val="single" w:color="auto"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20808</w:t>
            </w:r>
          </w:p>
        </w:tc>
        <w:tc>
          <w:tcPr>
            <w:tcW w:w="7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抚恤</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7.74</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7.74</w:t>
            </w:r>
          </w:p>
        </w:tc>
        <w:tc>
          <w:tcPr>
            <w:tcW w:w="1218" w:type="pct"/>
            <w:tcBorders>
              <w:top w:val="single" w:color="000000" w:themeColor="text1" w:sz="8" w:space="0"/>
              <w:left w:val="single" w:color="000000" w:themeColor="text1" w:sz="8" w:space="0"/>
              <w:bottom w:val="single" w:color="000000" w:themeColor="text1" w:sz="8" w:space="0"/>
              <w:right w:val="single" w:color="auto"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1" w:hRule="atLeast"/>
        </w:trPr>
        <w:tc>
          <w:tcPr>
            <w:tcW w:w="704" w:type="pct"/>
            <w:tcBorders>
              <w:top w:val="single" w:color="000000" w:themeColor="text1" w:sz="8" w:space="0"/>
              <w:left w:val="single" w:color="auto"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2080801</w:t>
            </w:r>
          </w:p>
        </w:tc>
        <w:tc>
          <w:tcPr>
            <w:tcW w:w="7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死亡抚恤</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7.74</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7.74</w:t>
            </w:r>
          </w:p>
        </w:tc>
        <w:tc>
          <w:tcPr>
            <w:tcW w:w="1218" w:type="pct"/>
            <w:tcBorders>
              <w:top w:val="single" w:color="000000" w:themeColor="text1" w:sz="8" w:space="0"/>
              <w:left w:val="single" w:color="000000" w:themeColor="text1" w:sz="8" w:space="0"/>
              <w:bottom w:val="single" w:color="000000" w:themeColor="text1" w:sz="8" w:space="0"/>
              <w:right w:val="single" w:color="auto"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1" w:hRule="atLeast"/>
        </w:trPr>
        <w:tc>
          <w:tcPr>
            <w:tcW w:w="704" w:type="pct"/>
            <w:tcBorders>
              <w:top w:val="single" w:color="000000" w:themeColor="text1" w:sz="8" w:space="0"/>
              <w:left w:val="single" w:color="auto"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210</w:t>
            </w:r>
          </w:p>
        </w:tc>
        <w:tc>
          <w:tcPr>
            <w:tcW w:w="7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卫生健康支出</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18.08</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18.08</w:t>
            </w:r>
          </w:p>
        </w:tc>
        <w:tc>
          <w:tcPr>
            <w:tcW w:w="1218" w:type="pct"/>
            <w:tcBorders>
              <w:top w:val="single" w:color="000000" w:themeColor="text1" w:sz="8" w:space="0"/>
              <w:left w:val="single" w:color="000000" w:themeColor="text1" w:sz="8" w:space="0"/>
              <w:bottom w:val="single" w:color="000000" w:themeColor="text1" w:sz="8" w:space="0"/>
              <w:right w:val="single" w:color="auto"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1" w:hRule="atLeast"/>
        </w:trPr>
        <w:tc>
          <w:tcPr>
            <w:tcW w:w="704" w:type="pct"/>
            <w:tcBorders>
              <w:top w:val="single" w:color="000000" w:themeColor="text1" w:sz="8" w:space="0"/>
              <w:left w:val="single" w:color="auto"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21011</w:t>
            </w:r>
          </w:p>
        </w:tc>
        <w:tc>
          <w:tcPr>
            <w:tcW w:w="7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行政事业单位医疗</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18.08</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18.08</w:t>
            </w:r>
          </w:p>
        </w:tc>
        <w:tc>
          <w:tcPr>
            <w:tcW w:w="1218" w:type="pct"/>
            <w:tcBorders>
              <w:top w:val="single" w:color="000000" w:themeColor="text1" w:sz="8" w:space="0"/>
              <w:left w:val="single" w:color="000000" w:themeColor="text1" w:sz="8" w:space="0"/>
              <w:bottom w:val="single" w:color="000000" w:themeColor="text1" w:sz="8" w:space="0"/>
              <w:right w:val="single" w:color="auto"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1" w:hRule="atLeast"/>
        </w:trPr>
        <w:tc>
          <w:tcPr>
            <w:tcW w:w="704" w:type="pct"/>
            <w:tcBorders>
              <w:top w:val="single" w:color="000000" w:themeColor="text1" w:sz="8" w:space="0"/>
              <w:left w:val="single" w:color="auto"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2101101</w:t>
            </w:r>
          </w:p>
        </w:tc>
        <w:tc>
          <w:tcPr>
            <w:tcW w:w="7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行政单位医疗</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18.08</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18.08</w:t>
            </w:r>
          </w:p>
        </w:tc>
        <w:tc>
          <w:tcPr>
            <w:tcW w:w="1218" w:type="pct"/>
            <w:tcBorders>
              <w:top w:val="single" w:color="000000" w:themeColor="text1" w:sz="8" w:space="0"/>
              <w:left w:val="single" w:color="000000" w:themeColor="text1" w:sz="8" w:space="0"/>
              <w:bottom w:val="single" w:color="000000" w:themeColor="text1" w:sz="8" w:space="0"/>
              <w:right w:val="single" w:color="auto"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1" w:hRule="atLeast"/>
        </w:trPr>
        <w:tc>
          <w:tcPr>
            <w:tcW w:w="5000" w:type="pct"/>
            <w:gridSpan w:val="7"/>
            <w:tcBorders>
              <w:top w:val="single" w:color="000000" w:themeColor="text1" w:sz="8" w:space="0"/>
              <w:left w:val="nil"/>
              <w:bottom w:val="nil"/>
              <w:right w:val="nil"/>
            </w:tcBorders>
            <w:noWrap/>
            <w:vAlign w:val="center"/>
          </w:tcPr>
          <w:p>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注：本表反映部门本年度一般公共预算财政拨款支出情况。</w:t>
            </w:r>
          </w:p>
        </w:tc>
      </w:tr>
    </w:tbl>
    <w:p>
      <w:pPr>
        <w:keepNext w:val="0"/>
        <w:keepLines w:val="0"/>
        <w:pageBreakBefore w:val="0"/>
        <w:widowControl w:val="0"/>
        <w:kinsoku/>
        <w:wordWrap/>
        <w:overflowPunct/>
        <w:topLinePunct w:val="0"/>
        <w:autoSpaceDE/>
        <w:autoSpaceDN/>
        <w:bidi w:val="0"/>
        <w:adjustRightInd/>
        <w:snapToGrid/>
        <w:spacing w:line="240" w:lineRule="auto"/>
        <w:jc w:val="both"/>
        <w:textAlignment w:val="auto"/>
        <w:outlineLvl w:val="9"/>
        <w:rPr>
          <w:rFonts w:hint="eastAsia" w:ascii="仿宋_GB2312" w:hAnsi="宋体" w:eastAsia="仿宋_GB2312"/>
          <w:b/>
          <w:color w:val="auto"/>
          <w:kern w:val="0"/>
          <w:sz w:val="32"/>
          <w:szCs w:val="32"/>
          <w:highlight w:val="none"/>
        </w:rPr>
      </w:pPr>
    </w:p>
    <w:p>
      <w:pPr>
        <w:rPr>
          <w:rFonts w:hint="eastAsia" w:ascii="仿宋_GB2312" w:hAnsi="宋体" w:eastAsia="仿宋_GB2312"/>
          <w:b/>
          <w:color w:val="auto"/>
          <w:kern w:val="0"/>
          <w:sz w:val="32"/>
          <w:szCs w:val="32"/>
          <w:highlight w:val="none"/>
        </w:rPr>
      </w:pPr>
      <w:r>
        <w:rPr>
          <w:rFonts w:hint="eastAsia" w:ascii="仿宋_GB2312" w:hAnsi="宋体" w:eastAsia="仿宋_GB2312"/>
          <w:b/>
          <w:color w:val="auto"/>
          <w:kern w:val="0"/>
          <w:sz w:val="32"/>
          <w:szCs w:val="32"/>
          <w:highlight w:val="none"/>
        </w:rPr>
        <w:br w:type="page"/>
      </w:r>
    </w:p>
    <w:tbl>
      <w:tblPr>
        <w:tblStyle w:val="11"/>
        <w:tblW w:w="11601" w:type="dxa"/>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
      <w:tblGrid>
        <w:gridCol w:w="666"/>
        <w:gridCol w:w="1332"/>
        <w:gridCol w:w="1896"/>
        <w:gridCol w:w="666"/>
        <w:gridCol w:w="933"/>
        <w:gridCol w:w="122"/>
        <w:gridCol w:w="1774"/>
        <w:gridCol w:w="666"/>
        <w:gridCol w:w="1650"/>
        <w:gridCol w:w="1896"/>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11601" w:type="dxa"/>
            <w:gridSpan w:val="10"/>
            <w:tcBorders>
              <w:top w:val="nil"/>
              <w:left w:val="nil"/>
              <w:bottom w:val="nil"/>
              <w:right w:val="nil"/>
            </w:tcBorders>
            <w:shd w:val="clear" w:color="auto" w:fill="auto"/>
            <w:noWrap/>
            <w:vAlign w:val="bottom"/>
          </w:tcPr>
          <w:p>
            <w:pPr>
              <w:keepNext w:val="0"/>
              <w:keepLines w:val="0"/>
              <w:widowControl/>
              <w:suppressLineNumbers w:val="0"/>
              <w:snapToGrid w:val="0"/>
              <w:jc w:val="center"/>
              <w:textAlignment w:val="bottom"/>
              <w:rPr>
                <w:rFonts w:ascii="方正仿宋_GB2312" w:hAnsi="方正仿宋_GB2312" w:eastAsia="方正仿宋_GB2312" w:cs="方正仿宋_GB2312"/>
                <w:i w:val="0"/>
                <w:iCs w:val="0"/>
                <w:color w:val="000000"/>
                <w:sz w:val="32"/>
                <w:szCs w:val="32"/>
                <w:u w:val="none"/>
              </w:rPr>
            </w:pPr>
            <w:r>
              <w:rPr>
                <w:rFonts w:hint="eastAsia" w:ascii="方正仿宋_GB2312" w:hAnsi="方正仿宋_GB2312" w:eastAsia="方正仿宋_GB2312" w:cs="方正仿宋_GB2312"/>
                <w:i w:val="0"/>
                <w:iCs w:val="0"/>
                <w:color w:val="000000"/>
                <w:kern w:val="0"/>
                <w:sz w:val="32"/>
                <w:szCs w:val="32"/>
                <w:u w:val="none"/>
                <w:lang w:val="en-US" w:eastAsia="zh-CN" w:bidi="ar"/>
              </w:rPr>
              <w:t>一般公共预算财政拨款基本支出决算明细表</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11601" w:type="dxa"/>
            <w:gridSpan w:val="10"/>
            <w:tcBorders>
              <w:top w:val="nil"/>
              <w:left w:val="nil"/>
              <w:bottom w:val="nil"/>
              <w:right w:val="nil"/>
            </w:tcBorders>
            <w:shd w:val="clear" w:color="auto" w:fill="auto"/>
            <w:noWrap/>
            <w:vAlign w:val="bottom"/>
          </w:tcPr>
          <w:p>
            <w:pPr>
              <w:keepNext w:val="0"/>
              <w:keepLines w:val="0"/>
              <w:widowControl/>
              <w:suppressLineNumbers w:val="0"/>
              <w:snapToGrid w:val="0"/>
              <w:jc w:val="right"/>
              <w:textAlignment w:val="bottom"/>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公开</w:t>
            </w:r>
            <w:r>
              <w:rPr>
                <w:rFonts w:hint="default" w:ascii="Times New Roman" w:hAnsi="Times New Roman" w:eastAsia="方正仿宋_GB2312" w:cs="Times New Roman"/>
                <w:i w:val="0"/>
                <w:iCs w:val="0"/>
                <w:color w:val="000000"/>
                <w:kern w:val="0"/>
                <w:sz w:val="18"/>
                <w:szCs w:val="18"/>
                <w:u w:val="none"/>
                <w:lang w:val="en-US" w:eastAsia="zh-CN" w:bidi="ar"/>
              </w:rPr>
              <w:t>06</w:t>
            </w:r>
            <w:r>
              <w:rPr>
                <w:rStyle w:val="25"/>
                <w:lang w:val="en-US" w:eastAsia="zh-CN" w:bidi="ar"/>
              </w:rPr>
              <w:t>表</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5615" w:type="dxa"/>
            <w:gridSpan w:val="6"/>
            <w:tcBorders>
              <w:top w:val="nil"/>
              <w:left w:val="nil"/>
              <w:bottom w:val="single" w:color="000000" w:sz="8" w:space="0"/>
              <w:right w:val="nil"/>
            </w:tcBorders>
            <w:shd w:val="clear" w:color="auto" w:fill="auto"/>
            <w:noWrap/>
            <w:vAlign w:val="bottom"/>
          </w:tcPr>
          <w:p>
            <w:pPr>
              <w:keepNext w:val="0"/>
              <w:keepLines w:val="0"/>
              <w:widowControl/>
              <w:suppressLineNumbers w:val="0"/>
              <w:snapToGrid w:val="0"/>
              <w:jc w:val="both"/>
              <w:textAlignment w:val="bottom"/>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 xml:space="preserve">部门（单位）：中国人民政治协商会议无极县委员会办公室(本级) </w:t>
            </w:r>
            <w:r>
              <w:rPr>
                <w:rFonts w:hint="eastAsia" w:ascii="宋体" w:hAnsi="宋体" w:eastAsia="宋体" w:cs="宋体"/>
                <w:i w:val="0"/>
                <w:iCs w:val="0"/>
                <w:color w:val="000000"/>
                <w:kern w:val="0"/>
                <w:sz w:val="18"/>
                <w:szCs w:val="18"/>
                <w:u w:val="none"/>
                <w:lang w:val="en-US" w:eastAsia="zh-CN" w:bidi="ar"/>
              </w:rPr>
              <w:t xml:space="preserve">                                                                   </w:t>
            </w:r>
          </w:p>
        </w:tc>
        <w:tc>
          <w:tcPr>
            <w:tcW w:w="1774" w:type="dxa"/>
            <w:tcBorders>
              <w:top w:val="nil"/>
              <w:left w:val="nil"/>
              <w:bottom w:val="single" w:color="000000" w:sz="8" w:space="0"/>
              <w:right w:val="nil"/>
            </w:tcBorders>
            <w:shd w:val="clear" w:color="auto" w:fill="auto"/>
            <w:noWrap/>
            <w:vAlign w:val="bottom"/>
          </w:tcPr>
          <w:p>
            <w:pPr>
              <w:keepNext w:val="0"/>
              <w:keepLines w:val="0"/>
              <w:widowControl/>
              <w:suppressLineNumbers w:val="0"/>
              <w:snapToGrid w:val="0"/>
              <w:jc w:val="center"/>
              <w:textAlignment w:val="bottom"/>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2025</w:t>
            </w:r>
            <w:r>
              <w:rPr>
                <w:rStyle w:val="25"/>
                <w:lang w:val="en-US" w:eastAsia="zh-CN" w:bidi="ar"/>
              </w:rPr>
              <w:t>年度</w:t>
            </w:r>
          </w:p>
        </w:tc>
        <w:tc>
          <w:tcPr>
            <w:tcW w:w="4212" w:type="dxa"/>
            <w:gridSpan w:val="3"/>
            <w:tcBorders>
              <w:top w:val="nil"/>
              <w:left w:val="nil"/>
              <w:bottom w:val="single" w:color="000000" w:sz="8" w:space="0"/>
              <w:right w:val="nil"/>
            </w:tcBorders>
            <w:shd w:val="clear" w:color="auto" w:fill="auto"/>
            <w:noWrap/>
            <w:vAlign w:val="bottom"/>
          </w:tcPr>
          <w:p>
            <w:pPr>
              <w:keepNext w:val="0"/>
              <w:keepLines w:val="0"/>
              <w:widowControl/>
              <w:suppressLineNumbers w:val="0"/>
              <w:snapToGrid w:val="0"/>
              <w:jc w:val="right"/>
              <w:textAlignment w:val="bottom"/>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金额单位：万元</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3894" w:type="dxa"/>
            <w:gridSpan w:val="3"/>
            <w:tcBorders>
              <w:top w:val="nil"/>
              <w:left w:val="single" w:color="000000" w:sz="8" w:space="0"/>
              <w:bottom w:val="single" w:color="000000" w:sz="8" w:space="0"/>
              <w:right w:val="single" w:color="000000" w:sz="8" w:space="0"/>
            </w:tcBorders>
            <w:shd w:val="clear" w:color="auto" w:fill="auto"/>
            <w:noWrap/>
            <w:vAlign w:val="center"/>
          </w:tcPr>
          <w:p>
            <w:pPr>
              <w:keepNext w:val="0"/>
              <w:keepLines w:val="0"/>
              <w:widowControl/>
              <w:suppressLineNumbers w:val="0"/>
              <w:snapToGrid w:val="0"/>
              <w:jc w:val="center"/>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人员经费</w:t>
            </w:r>
          </w:p>
        </w:tc>
        <w:tc>
          <w:tcPr>
            <w:tcW w:w="7707" w:type="dxa"/>
            <w:gridSpan w:val="7"/>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center"/>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公用经费</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666" w:type="dxa"/>
            <w:tcBorders>
              <w:top w:val="nil"/>
              <w:left w:val="single" w:color="000000" w:sz="8" w:space="0"/>
              <w:bottom w:val="single" w:color="000000" w:sz="8" w:space="0"/>
              <w:right w:val="single" w:color="000000" w:sz="8" w:space="0"/>
            </w:tcBorders>
            <w:shd w:val="clear" w:color="auto" w:fill="auto"/>
            <w:vAlign w:val="center"/>
          </w:tcPr>
          <w:p>
            <w:pPr>
              <w:keepNext w:val="0"/>
              <w:keepLines w:val="0"/>
              <w:widowControl/>
              <w:suppressLineNumbers w:val="0"/>
              <w:snapToGrid w:val="0"/>
              <w:jc w:val="center"/>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科目代码</w:t>
            </w:r>
          </w:p>
        </w:tc>
        <w:tc>
          <w:tcPr>
            <w:tcW w:w="1332"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center"/>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科目名称</w:t>
            </w:r>
          </w:p>
        </w:tc>
        <w:tc>
          <w:tcPr>
            <w:tcW w:w="1896" w:type="dxa"/>
            <w:tcBorders>
              <w:top w:val="single" w:color="000000" w:sz="8" w:space="0"/>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center"/>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金额</w:t>
            </w:r>
          </w:p>
        </w:tc>
        <w:tc>
          <w:tcPr>
            <w:tcW w:w="666" w:type="dxa"/>
            <w:tcBorders>
              <w:top w:val="single" w:color="000000" w:sz="8" w:space="0"/>
              <w:left w:val="nil"/>
              <w:bottom w:val="single" w:color="000000" w:sz="8" w:space="0"/>
              <w:right w:val="single" w:color="000000" w:sz="8" w:space="0"/>
            </w:tcBorders>
            <w:shd w:val="clear" w:color="auto" w:fill="auto"/>
            <w:vAlign w:val="center"/>
          </w:tcPr>
          <w:p>
            <w:pPr>
              <w:keepNext w:val="0"/>
              <w:keepLines w:val="0"/>
              <w:widowControl/>
              <w:suppressLineNumbers w:val="0"/>
              <w:snapToGrid w:val="0"/>
              <w:jc w:val="center"/>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科目代码</w:t>
            </w:r>
          </w:p>
        </w:tc>
        <w:tc>
          <w:tcPr>
            <w:tcW w:w="1055" w:type="dxa"/>
            <w:gridSpan w:val="2"/>
            <w:tcBorders>
              <w:top w:val="single" w:color="000000" w:sz="8" w:space="0"/>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center"/>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科目名称</w:t>
            </w:r>
          </w:p>
        </w:tc>
        <w:tc>
          <w:tcPr>
            <w:tcW w:w="1774" w:type="dxa"/>
            <w:tcBorders>
              <w:top w:val="single" w:color="000000" w:sz="8" w:space="0"/>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center"/>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金额</w:t>
            </w:r>
          </w:p>
        </w:tc>
        <w:tc>
          <w:tcPr>
            <w:tcW w:w="666" w:type="dxa"/>
            <w:tcBorders>
              <w:top w:val="single" w:color="000000" w:sz="8" w:space="0"/>
              <w:left w:val="nil"/>
              <w:bottom w:val="single" w:color="000000" w:sz="8" w:space="0"/>
              <w:right w:val="single" w:color="000000" w:sz="8" w:space="0"/>
            </w:tcBorders>
            <w:shd w:val="clear" w:color="auto" w:fill="auto"/>
            <w:vAlign w:val="center"/>
          </w:tcPr>
          <w:p>
            <w:pPr>
              <w:keepNext w:val="0"/>
              <w:keepLines w:val="0"/>
              <w:widowControl/>
              <w:suppressLineNumbers w:val="0"/>
              <w:snapToGrid w:val="0"/>
              <w:jc w:val="center"/>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科目代码</w:t>
            </w:r>
          </w:p>
        </w:tc>
        <w:tc>
          <w:tcPr>
            <w:tcW w:w="1650" w:type="dxa"/>
            <w:tcBorders>
              <w:top w:val="single" w:color="000000" w:sz="8" w:space="0"/>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center"/>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科目名称</w:t>
            </w:r>
          </w:p>
        </w:tc>
        <w:tc>
          <w:tcPr>
            <w:tcW w:w="1896" w:type="dxa"/>
            <w:tcBorders>
              <w:top w:val="single" w:color="000000" w:sz="8" w:space="0"/>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center"/>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金额</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666" w:type="dxa"/>
            <w:tcBorders>
              <w:top w:val="nil"/>
              <w:left w:val="single" w:color="000000" w:sz="8" w:space="0"/>
              <w:bottom w:val="single" w:color="000000" w:sz="8" w:space="0"/>
              <w:right w:val="single" w:color="000000" w:sz="8" w:space="0"/>
            </w:tcBorders>
            <w:shd w:val="clear" w:color="auto" w:fill="auto"/>
            <w:noWrap/>
            <w:vAlign w:val="center"/>
          </w:tcPr>
          <w:p>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301</w:t>
            </w:r>
          </w:p>
        </w:tc>
        <w:tc>
          <w:tcPr>
            <w:tcW w:w="1332"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工资福利支出</w:t>
            </w:r>
          </w:p>
        </w:tc>
        <w:tc>
          <w:tcPr>
            <w:tcW w:w="1896"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340.48</w:t>
            </w:r>
          </w:p>
        </w:tc>
        <w:tc>
          <w:tcPr>
            <w:tcW w:w="666"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302</w:t>
            </w:r>
          </w:p>
        </w:tc>
        <w:tc>
          <w:tcPr>
            <w:tcW w:w="1055" w:type="dxa"/>
            <w:gridSpan w:val="2"/>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商品和服务支出</w:t>
            </w:r>
          </w:p>
        </w:tc>
        <w:tc>
          <w:tcPr>
            <w:tcW w:w="1774"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70.85</w:t>
            </w:r>
          </w:p>
        </w:tc>
        <w:tc>
          <w:tcPr>
            <w:tcW w:w="666"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307</w:t>
            </w:r>
          </w:p>
        </w:tc>
        <w:tc>
          <w:tcPr>
            <w:tcW w:w="1650"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债务利息及费用支出</w:t>
            </w:r>
          </w:p>
        </w:tc>
        <w:tc>
          <w:tcPr>
            <w:tcW w:w="1896"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666" w:type="dxa"/>
            <w:tcBorders>
              <w:top w:val="nil"/>
              <w:left w:val="single" w:color="000000" w:sz="8" w:space="0"/>
              <w:bottom w:val="single" w:color="000000" w:sz="8" w:space="0"/>
              <w:right w:val="single" w:color="000000" w:sz="8" w:space="0"/>
            </w:tcBorders>
            <w:shd w:val="clear" w:color="auto" w:fill="auto"/>
            <w:noWrap/>
            <w:vAlign w:val="center"/>
          </w:tcPr>
          <w:p>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30101</w:t>
            </w:r>
          </w:p>
        </w:tc>
        <w:tc>
          <w:tcPr>
            <w:tcW w:w="1332"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 xml:space="preserve">  </w:t>
            </w:r>
            <w:r>
              <w:rPr>
                <w:rStyle w:val="25"/>
                <w:lang w:val="en-US" w:eastAsia="zh-CN" w:bidi="ar"/>
              </w:rPr>
              <w:t>基本工资</w:t>
            </w:r>
          </w:p>
        </w:tc>
        <w:tc>
          <w:tcPr>
            <w:tcW w:w="1896"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126.87</w:t>
            </w:r>
          </w:p>
        </w:tc>
        <w:tc>
          <w:tcPr>
            <w:tcW w:w="666"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30201</w:t>
            </w:r>
          </w:p>
        </w:tc>
        <w:tc>
          <w:tcPr>
            <w:tcW w:w="1055" w:type="dxa"/>
            <w:gridSpan w:val="2"/>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办公费</w:t>
            </w:r>
          </w:p>
        </w:tc>
        <w:tc>
          <w:tcPr>
            <w:tcW w:w="1774"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25.72</w:t>
            </w:r>
          </w:p>
        </w:tc>
        <w:tc>
          <w:tcPr>
            <w:tcW w:w="666"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30701</w:t>
            </w:r>
          </w:p>
        </w:tc>
        <w:tc>
          <w:tcPr>
            <w:tcW w:w="1650"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国内债务付息</w:t>
            </w:r>
          </w:p>
        </w:tc>
        <w:tc>
          <w:tcPr>
            <w:tcW w:w="1896"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666" w:type="dxa"/>
            <w:tcBorders>
              <w:top w:val="nil"/>
              <w:left w:val="single" w:color="000000" w:sz="8" w:space="0"/>
              <w:bottom w:val="single" w:color="000000" w:sz="8" w:space="0"/>
              <w:right w:val="single" w:color="000000" w:sz="8" w:space="0"/>
            </w:tcBorders>
            <w:shd w:val="clear" w:color="auto" w:fill="auto"/>
            <w:noWrap/>
            <w:vAlign w:val="center"/>
          </w:tcPr>
          <w:p>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30102</w:t>
            </w:r>
          </w:p>
        </w:tc>
        <w:tc>
          <w:tcPr>
            <w:tcW w:w="1332"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 xml:space="preserve">  </w:t>
            </w:r>
            <w:r>
              <w:rPr>
                <w:rStyle w:val="25"/>
                <w:lang w:val="en-US" w:eastAsia="zh-CN" w:bidi="ar"/>
              </w:rPr>
              <w:t>津贴补贴</w:t>
            </w:r>
          </w:p>
        </w:tc>
        <w:tc>
          <w:tcPr>
            <w:tcW w:w="1896"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66.04</w:t>
            </w:r>
          </w:p>
        </w:tc>
        <w:tc>
          <w:tcPr>
            <w:tcW w:w="666"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30202</w:t>
            </w:r>
          </w:p>
        </w:tc>
        <w:tc>
          <w:tcPr>
            <w:tcW w:w="1055" w:type="dxa"/>
            <w:gridSpan w:val="2"/>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印刷费</w:t>
            </w:r>
          </w:p>
        </w:tc>
        <w:tc>
          <w:tcPr>
            <w:tcW w:w="1774"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c>
          <w:tcPr>
            <w:tcW w:w="666"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30702</w:t>
            </w:r>
          </w:p>
        </w:tc>
        <w:tc>
          <w:tcPr>
            <w:tcW w:w="1650"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国外债务付息</w:t>
            </w:r>
          </w:p>
        </w:tc>
        <w:tc>
          <w:tcPr>
            <w:tcW w:w="1896"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666" w:type="dxa"/>
            <w:tcBorders>
              <w:top w:val="nil"/>
              <w:left w:val="single" w:color="000000" w:sz="8" w:space="0"/>
              <w:bottom w:val="single" w:color="000000" w:sz="8" w:space="0"/>
              <w:right w:val="single" w:color="000000" w:sz="8" w:space="0"/>
            </w:tcBorders>
            <w:shd w:val="clear" w:color="auto" w:fill="auto"/>
            <w:noWrap/>
            <w:vAlign w:val="center"/>
          </w:tcPr>
          <w:p>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30103</w:t>
            </w:r>
          </w:p>
        </w:tc>
        <w:tc>
          <w:tcPr>
            <w:tcW w:w="1332"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 xml:space="preserve">  </w:t>
            </w:r>
            <w:r>
              <w:rPr>
                <w:rStyle w:val="25"/>
                <w:lang w:val="en-US" w:eastAsia="zh-CN" w:bidi="ar"/>
              </w:rPr>
              <w:t>奖金</w:t>
            </w:r>
          </w:p>
        </w:tc>
        <w:tc>
          <w:tcPr>
            <w:tcW w:w="1896"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63.25</w:t>
            </w:r>
          </w:p>
        </w:tc>
        <w:tc>
          <w:tcPr>
            <w:tcW w:w="666"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30204</w:t>
            </w:r>
          </w:p>
        </w:tc>
        <w:tc>
          <w:tcPr>
            <w:tcW w:w="1055" w:type="dxa"/>
            <w:gridSpan w:val="2"/>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手续费</w:t>
            </w:r>
          </w:p>
        </w:tc>
        <w:tc>
          <w:tcPr>
            <w:tcW w:w="1774"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c>
          <w:tcPr>
            <w:tcW w:w="666"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310</w:t>
            </w:r>
          </w:p>
        </w:tc>
        <w:tc>
          <w:tcPr>
            <w:tcW w:w="1650"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资本性支出</w:t>
            </w:r>
          </w:p>
        </w:tc>
        <w:tc>
          <w:tcPr>
            <w:tcW w:w="1896"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666" w:type="dxa"/>
            <w:tcBorders>
              <w:top w:val="nil"/>
              <w:left w:val="single" w:color="000000" w:sz="8" w:space="0"/>
              <w:bottom w:val="single" w:color="000000" w:sz="8" w:space="0"/>
              <w:right w:val="single" w:color="000000" w:sz="8" w:space="0"/>
            </w:tcBorders>
            <w:shd w:val="clear" w:color="auto" w:fill="auto"/>
            <w:noWrap/>
            <w:vAlign w:val="center"/>
          </w:tcPr>
          <w:p>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30106</w:t>
            </w:r>
          </w:p>
        </w:tc>
        <w:tc>
          <w:tcPr>
            <w:tcW w:w="1332"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 xml:space="preserve">  </w:t>
            </w:r>
            <w:r>
              <w:rPr>
                <w:rStyle w:val="25"/>
                <w:lang w:val="en-US" w:eastAsia="zh-CN" w:bidi="ar"/>
              </w:rPr>
              <w:t>伙食补助费</w:t>
            </w:r>
          </w:p>
        </w:tc>
        <w:tc>
          <w:tcPr>
            <w:tcW w:w="1896"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c>
          <w:tcPr>
            <w:tcW w:w="666"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30205</w:t>
            </w:r>
          </w:p>
        </w:tc>
        <w:tc>
          <w:tcPr>
            <w:tcW w:w="1055" w:type="dxa"/>
            <w:gridSpan w:val="2"/>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水费</w:t>
            </w:r>
          </w:p>
        </w:tc>
        <w:tc>
          <w:tcPr>
            <w:tcW w:w="1774"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c>
          <w:tcPr>
            <w:tcW w:w="666"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31001</w:t>
            </w:r>
          </w:p>
        </w:tc>
        <w:tc>
          <w:tcPr>
            <w:tcW w:w="1650"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房屋建筑物购建</w:t>
            </w:r>
          </w:p>
        </w:tc>
        <w:tc>
          <w:tcPr>
            <w:tcW w:w="1896"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666" w:type="dxa"/>
            <w:tcBorders>
              <w:top w:val="nil"/>
              <w:left w:val="single" w:color="000000" w:sz="8" w:space="0"/>
              <w:bottom w:val="single" w:color="000000" w:sz="8" w:space="0"/>
              <w:right w:val="single" w:color="000000" w:sz="8" w:space="0"/>
            </w:tcBorders>
            <w:shd w:val="clear" w:color="auto" w:fill="auto"/>
            <w:noWrap/>
            <w:vAlign w:val="center"/>
          </w:tcPr>
          <w:p>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30107</w:t>
            </w:r>
          </w:p>
        </w:tc>
        <w:tc>
          <w:tcPr>
            <w:tcW w:w="1332"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 xml:space="preserve">  </w:t>
            </w:r>
            <w:r>
              <w:rPr>
                <w:rStyle w:val="25"/>
                <w:lang w:val="en-US" w:eastAsia="zh-CN" w:bidi="ar"/>
              </w:rPr>
              <w:t>绩效工资</w:t>
            </w:r>
          </w:p>
        </w:tc>
        <w:tc>
          <w:tcPr>
            <w:tcW w:w="1896"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1.64</w:t>
            </w:r>
          </w:p>
        </w:tc>
        <w:tc>
          <w:tcPr>
            <w:tcW w:w="666"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30206</w:t>
            </w:r>
          </w:p>
        </w:tc>
        <w:tc>
          <w:tcPr>
            <w:tcW w:w="1055" w:type="dxa"/>
            <w:gridSpan w:val="2"/>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电费</w:t>
            </w:r>
          </w:p>
        </w:tc>
        <w:tc>
          <w:tcPr>
            <w:tcW w:w="1774"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c>
          <w:tcPr>
            <w:tcW w:w="666"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31002</w:t>
            </w:r>
          </w:p>
        </w:tc>
        <w:tc>
          <w:tcPr>
            <w:tcW w:w="1650"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办公设备购置</w:t>
            </w:r>
          </w:p>
        </w:tc>
        <w:tc>
          <w:tcPr>
            <w:tcW w:w="1896"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666" w:type="dxa"/>
            <w:tcBorders>
              <w:top w:val="nil"/>
              <w:left w:val="single" w:color="000000" w:sz="8" w:space="0"/>
              <w:bottom w:val="single" w:color="000000" w:sz="8" w:space="0"/>
              <w:right w:val="single" w:color="000000" w:sz="8" w:space="0"/>
            </w:tcBorders>
            <w:shd w:val="clear" w:color="auto" w:fill="auto"/>
            <w:noWrap/>
            <w:vAlign w:val="center"/>
          </w:tcPr>
          <w:p>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30108</w:t>
            </w:r>
          </w:p>
        </w:tc>
        <w:tc>
          <w:tcPr>
            <w:tcW w:w="1332"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机关事业单位基本养老保险缴费</w:t>
            </w:r>
          </w:p>
        </w:tc>
        <w:tc>
          <w:tcPr>
            <w:tcW w:w="1896"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54.56</w:t>
            </w:r>
          </w:p>
        </w:tc>
        <w:tc>
          <w:tcPr>
            <w:tcW w:w="666"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30207</w:t>
            </w:r>
          </w:p>
        </w:tc>
        <w:tc>
          <w:tcPr>
            <w:tcW w:w="1055" w:type="dxa"/>
            <w:gridSpan w:val="2"/>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邮电费</w:t>
            </w:r>
          </w:p>
        </w:tc>
        <w:tc>
          <w:tcPr>
            <w:tcW w:w="1774"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11.49</w:t>
            </w:r>
          </w:p>
        </w:tc>
        <w:tc>
          <w:tcPr>
            <w:tcW w:w="666"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31003</w:t>
            </w:r>
          </w:p>
        </w:tc>
        <w:tc>
          <w:tcPr>
            <w:tcW w:w="1650"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专用设备购置</w:t>
            </w:r>
          </w:p>
        </w:tc>
        <w:tc>
          <w:tcPr>
            <w:tcW w:w="1896"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666" w:type="dxa"/>
            <w:tcBorders>
              <w:top w:val="nil"/>
              <w:left w:val="single" w:color="000000" w:sz="8" w:space="0"/>
              <w:bottom w:val="single" w:color="000000" w:sz="8" w:space="0"/>
              <w:right w:val="single" w:color="000000" w:sz="8" w:space="0"/>
            </w:tcBorders>
            <w:shd w:val="clear" w:color="auto" w:fill="auto"/>
            <w:noWrap/>
            <w:vAlign w:val="center"/>
          </w:tcPr>
          <w:p>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30109</w:t>
            </w:r>
          </w:p>
        </w:tc>
        <w:tc>
          <w:tcPr>
            <w:tcW w:w="1332"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职业年金缴费</w:t>
            </w:r>
          </w:p>
        </w:tc>
        <w:tc>
          <w:tcPr>
            <w:tcW w:w="1896"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9.07</w:t>
            </w:r>
          </w:p>
        </w:tc>
        <w:tc>
          <w:tcPr>
            <w:tcW w:w="666"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30208</w:t>
            </w:r>
          </w:p>
        </w:tc>
        <w:tc>
          <w:tcPr>
            <w:tcW w:w="1055" w:type="dxa"/>
            <w:gridSpan w:val="2"/>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取暖费</w:t>
            </w:r>
          </w:p>
        </w:tc>
        <w:tc>
          <w:tcPr>
            <w:tcW w:w="1774"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c>
          <w:tcPr>
            <w:tcW w:w="666"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31005</w:t>
            </w:r>
          </w:p>
        </w:tc>
        <w:tc>
          <w:tcPr>
            <w:tcW w:w="1650"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基础设施建设</w:t>
            </w:r>
          </w:p>
        </w:tc>
        <w:tc>
          <w:tcPr>
            <w:tcW w:w="1896"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666" w:type="dxa"/>
            <w:tcBorders>
              <w:top w:val="nil"/>
              <w:left w:val="single" w:color="000000" w:sz="8" w:space="0"/>
              <w:bottom w:val="single" w:color="000000" w:sz="8" w:space="0"/>
              <w:right w:val="single" w:color="000000" w:sz="8" w:space="0"/>
            </w:tcBorders>
            <w:shd w:val="clear" w:color="auto" w:fill="auto"/>
            <w:noWrap/>
            <w:vAlign w:val="center"/>
          </w:tcPr>
          <w:p>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30110</w:t>
            </w:r>
          </w:p>
        </w:tc>
        <w:tc>
          <w:tcPr>
            <w:tcW w:w="1332"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职工基本医疗保险缴费</w:t>
            </w:r>
          </w:p>
        </w:tc>
        <w:tc>
          <w:tcPr>
            <w:tcW w:w="1896"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18.08</w:t>
            </w:r>
          </w:p>
        </w:tc>
        <w:tc>
          <w:tcPr>
            <w:tcW w:w="666"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30209</w:t>
            </w:r>
          </w:p>
        </w:tc>
        <w:tc>
          <w:tcPr>
            <w:tcW w:w="1055" w:type="dxa"/>
            <w:gridSpan w:val="2"/>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物业管理费</w:t>
            </w:r>
          </w:p>
        </w:tc>
        <w:tc>
          <w:tcPr>
            <w:tcW w:w="1774"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c>
          <w:tcPr>
            <w:tcW w:w="666"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31006</w:t>
            </w:r>
          </w:p>
        </w:tc>
        <w:tc>
          <w:tcPr>
            <w:tcW w:w="1650"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大型修缮</w:t>
            </w:r>
          </w:p>
        </w:tc>
        <w:tc>
          <w:tcPr>
            <w:tcW w:w="1896"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666" w:type="dxa"/>
            <w:tcBorders>
              <w:top w:val="nil"/>
              <w:left w:val="single" w:color="000000" w:sz="8" w:space="0"/>
              <w:bottom w:val="single" w:color="000000" w:sz="8" w:space="0"/>
              <w:right w:val="single" w:color="000000" w:sz="8" w:space="0"/>
            </w:tcBorders>
            <w:shd w:val="clear" w:color="auto" w:fill="auto"/>
            <w:noWrap/>
            <w:vAlign w:val="center"/>
          </w:tcPr>
          <w:p>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30111</w:t>
            </w:r>
          </w:p>
        </w:tc>
        <w:tc>
          <w:tcPr>
            <w:tcW w:w="1332"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公务员医疗补助缴费</w:t>
            </w:r>
          </w:p>
        </w:tc>
        <w:tc>
          <w:tcPr>
            <w:tcW w:w="1896"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c>
          <w:tcPr>
            <w:tcW w:w="666"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30211</w:t>
            </w:r>
          </w:p>
        </w:tc>
        <w:tc>
          <w:tcPr>
            <w:tcW w:w="1055" w:type="dxa"/>
            <w:gridSpan w:val="2"/>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差旅费</w:t>
            </w:r>
          </w:p>
        </w:tc>
        <w:tc>
          <w:tcPr>
            <w:tcW w:w="1774"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c>
          <w:tcPr>
            <w:tcW w:w="666"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31007</w:t>
            </w:r>
          </w:p>
        </w:tc>
        <w:tc>
          <w:tcPr>
            <w:tcW w:w="1650"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信息网络及软件购置更新</w:t>
            </w:r>
          </w:p>
        </w:tc>
        <w:tc>
          <w:tcPr>
            <w:tcW w:w="1896"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666" w:type="dxa"/>
            <w:tcBorders>
              <w:top w:val="nil"/>
              <w:left w:val="single" w:color="000000" w:sz="8" w:space="0"/>
              <w:bottom w:val="single" w:color="000000" w:sz="8" w:space="0"/>
              <w:right w:val="single" w:color="000000" w:sz="8" w:space="0"/>
            </w:tcBorders>
            <w:shd w:val="clear" w:color="auto" w:fill="auto"/>
            <w:noWrap/>
            <w:vAlign w:val="center"/>
          </w:tcPr>
          <w:p>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30112</w:t>
            </w:r>
          </w:p>
        </w:tc>
        <w:tc>
          <w:tcPr>
            <w:tcW w:w="1332"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其他社会保障缴费</w:t>
            </w:r>
          </w:p>
        </w:tc>
        <w:tc>
          <w:tcPr>
            <w:tcW w:w="1896"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0.97</w:t>
            </w:r>
          </w:p>
        </w:tc>
        <w:tc>
          <w:tcPr>
            <w:tcW w:w="666"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30212</w:t>
            </w:r>
          </w:p>
        </w:tc>
        <w:tc>
          <w:tcPr>
            <w:tcW w:w="1055" w:type="dxa"/>
            <w:gridSpan w:val="2"/>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因公出国（境）费用</w:t>
            </w:r>
          </w:p>
        </w:tc>
        <w:tc>
          <w:tcPr>
            <w:tcW w:w="1774"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c>
          <w:tcPr>
            <w:tcW w:w="666"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31008</w:t>
            </w:r>
          </w:p>
        </w:tc>
        <w:tc>
          <w:tcPr>
            <w:tcW w:w="1650"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物资储备</w:t>
            </w:r>
          </w:p>
        </w:tc>
        <w:tc>
          <w:tcPr>
            <w:tcW w:w="1896"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666" w:type="dxa"/>
            <w:tcBorders>
              <w:top w:val="nil"/>
              <w:left w:val="single" w:color="000000" w:sz="8" w:space="0"/>
              <w:bottom w:val="single" w:color="000000" w:sz="8" w:space="0"/>
              <w:right w:val="single" w:color="000000" w:sz="8" w:space="0"/>
            </w:tcBorders>
            <w:shd w:val="clear" w:color="auto" w:fill="auto"/>
            <w:noWrap/>
            <w:vAlign w:val="center"/>
          </w:tcPr>
          <w:p>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30113</w:t>
            </w:r>
          </w:p>
        </w:tc>
        <w:tc>
          <w:tcPr>
            <w:tcW w:w="1332"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住房公积金</w:t>
            </w:r>
          </w:p>
        </w:tc>
        <w:tc>
          <w:tcPr>
            <w:tcW w:w="1896"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c>
          <w:tcPr>
            <w:tcW w:w="666"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30213</w:t>
            </w:r>
          </w:p>
        </w:tc>
        <w:tc>
          <w:tcPr>
            <w:tcW w:w="1055" w:type="dxa"/>
            <w:gridSpan w:val="2"/>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维修（护）费</w:t>
            </w:r>
          </w:p>
        </w:tc>
        <w:tc>
          <w:tcPr>
            <w:tcW w:w="1774"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c>
          <w:tcPr>
            <w:tcW w:w="666"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31009</w:t>
            </w:r>
          </w:p>
        </w:tc>
        <w:tc>
          <w:tcPr>
            <w:tcW w:w="1650"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土地补偿</w:t>
            </w:r>
          </w:p>
        </w:tc>
        <w:tc>
          <w:tcPr>
            <w:tcW w:w="1896"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97" w:hRule="atLeast"/>
          <w:jc w:val="center"/>
        </w:trPr>
        <w:tc>
          <w:tcPr>
            <w:tcW w:w="666" w:type="dxa"/>
            <w:tcBorders>
              <w:top w:val="nil"/>
              <w:left w:val="single" w:color="000000" w:sz="8" w:space="0"/>
              <w:bottom w:val="single" w:color="000000" w:sz="8" w:space="0"/>
              <w:right w:val="single" w:color="000000" w:sz="8" w:space="0"/>
            </w:tcBorders>
            <w:shd w:val="clear" w:color="auto" w:fill="auto"/>
            <w:noWrap/>
            <w:vAlign w:val="center"/>
          </w:tcPr>
          <w:p>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30114</w:t>
            </w:r>
          </w:p>
        </w:tc>
        <w:tc>
          <w:tcPr>
            <w:tcW w:w="1332"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医疗费</w:t>
            </w:r>
          </w:p>
        </w:tc>
        <w:tc>
          <w:tcPr>
            <w:tcW w:w="1896"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c>
          <w:tcPr>
            <w:tcW w:w="666"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30214</w:t>
            </w:r>
          </w:p>
        </w:tc>
        <w:tc>
          <w:tcPr>
            <w:tcW w:w="1055" w:type="dxa"/>
            <w:gridSpan w:val="2"/>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 xml:space="preserve">  </w:t>
            </w:r>
            <w:r>
              <w:rPr>
                <w:rStyle w:val="25"/>
                <w:lang w:val="en-US" w:eastAsia="zh-CN" w:bidi="ar"/>
              </w:rPr>
              <w:t>租赁费</w:t>
            </w:r>
          </w:p>
        </w:tc>
        <w:tc>
          <w:tcPr>
            <w:tcW w:w="1774"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c>
          <w:tcPr>
            <w:tcW w:w="666"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31010</w:t>
            </w:r>
          </w:p>
        </w:tc>
        <w:tc>
          <w:tcPr>
            <w:tcW w:w="1650"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安置补助</w:t>
            </w:r>
          </w:p>
        </w:tc>
        <w:tc>
          <w:tcPr>
            <w:tcW w:w="1896"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5" w:hRule="atLeast"/>
          <w:jc w:val="center"/>
        </w:trPr>
        <w:tc>
          <w:tcPr>
            <w:tcW w:w="666" w:type="dxa"/>
            <w:tcBorders>
              <w:top w:val="nil"/>
              <w:left w:val="single" w:color="000000" w:sz="8" w:space="0"/>
              <w:bottom w:val="single" w:color="000000" w:sz="8" w:space="0"/>
              <w:right w:val="single" w:color="000000" w:sz="8" w:space="0"/>
            </w:tcBorders>
            <w:shd w:val="clear" w:color="auto" w:fill="auto"/>
            <w:noWrap/>
            <w:vAlign w:val="center"/>
          </w:tcPr>
          <w:p>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30199</w:t>
            </w:r>
          </w:p>
        </w:tc>
        <w:tc>
          <w:tcPr>
            <w:tcW w:w="1332"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其他工资福利支出</w:t>
            </w:r>
          </w:p>
        </w:tc>
        <w:tc>
          <w:tcPr>
            <w:tcW w:w="1896"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c>
          <w:tcPr>
            <w:tcW w:w="666"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30215</w:t>
            </w:r>
          </w:p>
        </w:tc>
        <w:tc>
          <w:tcPr>
            <w:tcW w:w="1055" w:type="dxa"/>
            <w:gridSpan w:val="2"/>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会议费</w:t>
            </w:r>
          </w:p>
        </w:tc>
        <w:tc>
          <w:tcPr>
            <w:tcW w:w="1774"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c>
          <w:tcPr>
            <w:tcW w:w="666"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31011</w:t>
            </w:r>
          </w:p>
        </w:tc>
        <w:tc>
          <w:tcPr>
            <w:tcW w:w="1650"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地上附着物和青苗补偿</w:t>
            </w:r>
          </w:p>
        </w:tc>
        <w:tc>
          <w:tcPr>
            <w:tcW w:w="1896"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666" w:type="dxa"/>
            <w:tcBorders>
              <w:top w:val="nil"/>
              <w:left w:val="single" w:color="000000" w:sz="8" w:space="0"/>
              <w:bottom w:val="single" w:color="000000" w:sz="8" w:space="0"/>
              <w:right w:val="single" w:color="000000" w:sz="8" w:space="0"/>
            </w:tcBorders>
            <w:shd w:val="clear" w:color="auto" w:fill="auto"/>
            <w:noWrap/>
            <w:vAlign w:val="center"/>
          </w:tcPr>
          <w:p>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303</w:t>
            </w:r>
          </w:p>
        </w:tc>
        <w:tc>
          <w:tcPr>
            <w:tcW w:w="1332"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对个人和家庭的补助</w:t>
            </w:r>
          </w:p>
        </w:tc>
        <w:tc>
          <w:tcPr>
            <w:tcW w:w="1896"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61.74</w:t>
            </w:r>
          </w:p>
        </w:tc>
        <w:tc>
          <w:tcPr>
            <w:tcW w:w="666"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30216</w:t>
            </w:r>
          </w:p>
        </w:tc>
        <w:tc>
          <w:tcPr>
            <w:tcW w:w="1055" w:type="dxa"/>
            <w:gridSpan w:val="2"/>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培训费</w:t>
            </w:r>
          </w:p>
        </w:tc>
        <w:tc>
          <w:tcPr>
            <w:tcW w:w="1774"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c>
          <w:tcPr>
            <w:tcW w:w="666"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31012</w:t>
            </w:r>
          </w:p>
        </w:tc>
        <w:tc>
          <w:tcPr>
            <w:tcW w:w="1650"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拆迁补偿</w:t>
            </w:r>
          </w:p>
        </w:tc>
        <w:tc>
          <w:tcPr>
            <w:tcW w:w="1896"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666" w:type="dxa"/>
            <w:tcBorders>
              <w:top w:val="nil"/>
              <w:left w:val="single" w:color="000000" w:sz="8" w:space="0"/>
              <w:bottom w:val="single" w:color="000000" w:sz="8" w:space="0"/>
              <w:right w:val="single" w:color="000000" w:sz="8" w:space="0"/>
            </w:tcBorders>
            <w:shd w:val="clear" w:color="auto" w:fill="auto"/>
            <w:noWrap/>
            <w:vAlign w:val="center"/>
          </w:tcPr>
          <w:p>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30301</w:t>
            </w:r>
          </w:p>
        </w:tc>
        <w:tc>
          <w:tcPr>
            <w:tcW w:w="1332"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离休费</w:t>
            </w:r>
          </w:p>
        </w:tc>
        <w:tc>
          <w:tcPr>
            <w:tcW w:w="1896"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c>
          <w:tcPr>
            <w:tcW w:w="666"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30217</w:t>
            </w:r>
          </w:p>
        </w:tc>
        <w:tc>
          <w:tcPr>
            <w:tcW w:w="1055" w:type="dxa"/>
            <w:gridSpan w:val="2"/>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公务接待费</w:t>
            </w:r>
          </w:p>
        </w:tc>
        <w:tc>
          <w:tcPr>
            <w:tcW w:w="1774"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c>
          <w:tcPr>
            <w:tcW w:w="666"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31013</w:t>
            </w:r>
          </w:p>
        </w:tc>
        <w:tc>
          <w:tcPr>
            <w:tcW w:w="1650"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公务用车购置</w:t>
            </w:r>
          </w:p>
        </w:tc>
        <w:tc>
          <w:tcPr>
            <w:tcW w:w="1896"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666" w:type="dxa"/>
            <w:tcBorders>
              <w:top w:val="nil"/>
              <w:left w:val="single" w:color="000000" w:sz="8" w:space="0"/>
              <w:bottom w:val="single" w:color="000000" w:sz="8" w:space="0"/>
              <w:right w:val="single" w:color="000000" w:sz="8" w:space="0"/>
            </w:tcBorders>
            <w:shd w:val="clear" w:color="auto" w:fill="auto"/>
            <w:noWrap/>
            <w:vAlign w:val="center"/>
          </w:tcPr>
          <w:p>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30302</w:t>
            </w:r>
          </w:p>
        </w:tc>
        <w:tc>
          <w:tcPr>
            <w:tcW w:w="1332"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退休费</w:t>
            </w:r>
          </w:p>
        </w:tc>
        <w:tc>
          <w:tcPr>
            <w:tcW w:w="1896"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54.00</w:t>
            </w:r>
          </w:p>
        </w:tc>
        <w:tc>
          <w:tcPr>
            <w:tcW w:w="666"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30218</w:t>
            </w:r>
          </w:p>
        </w:tc>
        <w:tc>
          <w:tcPr>
            <w:tcW w:w="1055" w:type="dxa"/>
            <w:gridSpan w:val="2"/>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专用材料费</w:t>
            </w:r>
          </w:p>
        </w:tc>
        <w:tc>
          <w:tcPr>
            <w:tcW w:w="1774"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c>
          <w:tcPr>
            <w:tcW w:w="666"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31019</w:t>
            </w:r>
          </w:p>
        </w:tc>
        <w:tc>
          <w:tcPr>
            <w:tcW w:w="1650"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其他交通工具购置</w:t>
            </w:r>
          </w:p>
        </w:tc>
        <w:tc>
          <w:tcPr>
            <w:tcW w:w="1896"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666" w:type="dxa"/>
            <w:tcBorders>
              <w:top w:val="nil"/>
              <w:left w:val="single" w:color="000000" w:sz="8" w:space="0"/>
              <w:bottom w:val="single" w:color="000000" w:sz="8" w:space="0"/>
              <w:right w:val="single" w:color="000000" w:sz="8" w:space="0"/>
            </w:tcBorders>
            <w:shd w:val="clear" w:color="auto" w:fill="auto"/>
            <w:noWrap/>
            <w:vAlign w:val="center"/>
          </w:tcPr>
          <w:p>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30303</w:t>
            </w:r>
          </w:p>
        </w:tc>
        <w:tc>
          <w:tcPr>
            <w:tcW w:w="1332"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退职（役）费</w:t>
            </w:r>
          </w:p>
        </w:tc>
        <w:tc>
          <w:tcPr>
            <w:tcW w:w="1896"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c>
          <w:tcPr>
            <w:tcW w:w="666"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30224</w:t>
            </w:r>
          </w:p>
        </w:tc>
        <w:tc>
          <w:tcPr>
            <w:tcW w:w="1055" w:type="dxa"/>
            <w:gridSpan w:val="2"/>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被装购置费</w:t>
            </w:r>
          </w:p>
        </w:tc>
        <w:tc>
          <w:tcPr>
            <w:tcW w:w="1774"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c>
          <w:tcPr>
            <w:tcW w:w="666"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31021</w:t>
            </w:r>
          </w:p>
        </w:tc>
        <w:tc>
          <w:tcPr>
            <w:tcW w:w="1650"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文物和陈列品购置</w:t>
            </w:r>
          </w:p>
        </w:tc>
        <w:tc>
          <w:tcPr>
            <w:tcW w:w="1896"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666" w:type="dxa"/>
            <w:tcBorders>
              <w:top w:val="nil"/>
              <w:left w:val="single" w:color="000000" w:sz="8" w:space="0"/>
              <w:bottom w:val="single" w:color="000000" w:sz="8" w:space="0"/>
              <w:right w:val="single" w:color="000000" w:sz="8" w:space="0"/>
            </w:tcBorders>
            <w:shd w:val="clear" w:color="auto" w:fill="auto"/>
            <w:noWrap/>
            <w:vAlign w:val="center"/>
          </w:tcPr>
          <w:p>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30304</w:t>
            </w:r>
          </w:p>
        </w:tc>
        <w:tc>
          <w:tcPr>
            <w:tcW w:w="1332"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抚恤金</w:t>
            </w:r>
          </w:p>
        </w:tc>
        <w:tc>
          <w:tcPr>
            <w:tcW w:w="1896"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7.74</w:t>
            </w:r>
          </w:p>
        </w:tc>
        <w:tc>
          <w:tcPr>
            <w:tcW w:w="666"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30225</w:t>
            </w:r>
          </w:p>
        </w:tc>
        <w:tc>
          <w:tcPr>
            <w:tcW w:w="1055" w:type="dxa"/>
            <w:gridSpan w:val="2"/>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专用燃料费</w:t>
            </w:r>
          </w:p>
        </w:tc>
        <w:tc>
          <w:tcPr>
            <w:tcW w:w="1774"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c>
          <w:tcPr>
            <w:tcW w:w="666"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31022</w:t>
            </w:r>
          </w:p>
        </w:tc>
        <w:tc>
          <w:tcPr>
            <w:tcW w:w="1650"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无形资产购置</w:t>
            </w:r>
          </w:p>
        </w:tc>
        <w:tc>
          <w:tcPr>
            <w:tcW w:w="1896"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30" w:hRule="atLeast"/>
          <w:jc w:val="center"/>
        </w:trPr>
        <w:tc>
          <w:tcPr>
            <w:tcW w:w="666" w:type="dxa"/>
            <w:tcBorders>
              <w:top w:val="nil"/>
              <w:left w:val="single" w:color="000000" w:sz="8" w:space="0"/>
              <w:bottom w:val="single" w:color="000000" w:sz="8" w:space="0"/>
              <w:right w:val="single" w:color="000000" w:sz="8" w:space="0"/>
            </w:tcBorders>
            <w:shd w:val="clear" w:color="auto" w:fill="auto"/>
            <w:noWrap/>
            <w:vAlign w:val="center"/>
          </w:tcPr>
          <w:p>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30305</w:t>
            </w:r>
          </w:p>
        </w:tc>
        <w:tc>
          <w:tcPr>
            <w:tcW w:w="1332"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生活补助</w:t>
            </w:r>
          </w:p>
        </w:tc>
        <w:tc>
          <w:tcPr>
            <w:tcW w:w="1896"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c>
          <w:tcPr>
            <w:tcW w:w="666"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30226</w:t>
            </w:r>
          </w:p>
        </w:tc>
        <w:tc>
          <w:tcPr>
            <w:tcW w:w="1055" w:type="dxa"/>
            <w:gridSpan w:val="2"/>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劳务费</w:t>
            </w:r>
          </w:p>
        </w:tc>
        <w:tc>
          <w:tcPr>
            <w:tcW w:w="1774"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c>
          <w:tcPr>
            <w:tcW w:w="666"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31099</w:t>
            </w:r>
          </w:p>
        </w:tc>
        <w:tc>
          <w:tcPr>
            <w:tcW w:w="1650"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其他资本性支出</w:t>
            </w:r>
          </w:p>
        </w:tc>
        <w:tc>
          <w:tcPr>
            <w:tcW w:w="1896"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5" w:hRule="atLeast"/>
          <w:jc w:val="center"/>
        </w:trPr>
        <w:tc>
          <w:tcPr>
            <w:tcW w:w="666" w:type="dxa"/>
            <w:tcBorders>
              <w:top w:val="nil"/>
              <w:left w:val="single" w:color="000000" w:sz="8" w:space="0"/>
              <w:bottom w:val="single" w:color="000000" w:sz="8" w:space="0"/>
              <w:right w:val="single" w:color="000000" w:sz="8" w:space="0"/>
            </w:tcBorders>
            <w:shd w:val="clear" w:color="auto" w:fill="auto"/>
            <w:noWrap/>
            <w:vAlign w:val="center"/>
          </w:tcPr>
          <w:p>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30306</w:t>
            </w:r>
          </w:p>
        </w:tc>
        <w:tc>
          <w:tcPr>
            <w:tcW w:w="1332"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救济费</w:t>
            </w:r>
          </w:p>
        </w:tc>
        <w:tc>
          <w:tcPr>
            <w:tcW w:w="1896"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c>
          <w:tcPr>
            <w:tcW w:w="666"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30227</w:t>
            </w:r>
          </w:p>
        </w:tc>
        <w:tc>
          <w:tcPr>
            <w:tcW w:w="1055" w:type="dxa"/>
            <w:gridSpan w:val="2"/>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委托业务费</w:t>
            </w:r>
          </w:p>
        </w:tc>
        <w:tc>
          <w:tcPr>
            <w:tcW w:w="1774"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c>
          <w:tcPr>
            <w:tcW w:w="666"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399</w:t>
            </w:r>
          </w:p>
        </w:tc>
        <w:tc>
          <w:tcPr>
            <w:tcW w:w="1650"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其他支出</w:t>
            </w:r>
          </w:p>
        </w:tc>
        <w:tc>
          <w:tcPr>
            <w:tcW w:w="1896"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36" w:hRule="atLeast"/>
          <w:jc w:val="center"/>
        </w:trPr>
        <w:tc>
          <w:tcPr>
            <w:tcW w:w="666" w:type="dxa"/>
            <w:tcBorders>
              <w:top w:val="nil"/>
              <w:left w:val="single" w:color="000000" w:sz="8" w:space="0"/>
              <w:bottom w:val="single" w:color="000000" w:sz="8" w:space="0"/>
              <w:right w:val="single" w:color="000000" w:sz="8" w:space="0"/>
            </w:tcBorders>
            <w:shd w:val="clear" w:color="auto" w:fill="auto"/>
            <w:noWrap/>
            <w:vAlign w:val="center"/>
          </w:tcPr>
          <w:p>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30307</w:t>
            </w:r>
          </w:p>
        </w:tc>
        <w:tc>
          <w:tcPr>
            <w:tcW w:w="1332"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医疗费补助</w:t>
            </w:r>
          </w:p>
        </w:tc>
        <w:tc>
          <w:tcPr>
            <w:tcW w:w="1896"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c>
          <w:tcPr>
            <w:tcW w:w="666"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30228</w:t>
            </w:r>
          </w:p>
        </w:tc>
        <w:tc>
          <w:tcPr>
            <w:tcW w:w="1055" w:type="dxa"/>
            <w:gridSpan w:val="2"/>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工会经费</w:t>
            </w:r>
          </w:p>
        </w:tc>
        <w:tc>
          <w:tcPr>
            <w:tcW w:w="1774"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c>
          <w:tcPr>
            <w:tcW w:w="666"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39907</w:t>
            </w:r>
          </w:p>
        </w:tc>
        <w:tc>
          <w:tcPr>
            <w:tcW w:w="1650"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国家赔偿费用支出</w:t>
            </w:r>
          </w:p>
        </w:tc>
        <w:tc>
          <w:tcPr>
            <w:tcW w:w="1896"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 w:hRule="atLeast"/>
          <w:jc w:val="center"/>
        </w:trPr>
        <w:tc>
          <w:tcPr>
            <w:tcW w:w="666" w:type="dxa"/>
            <w:tcBorders>
              <w:top w:val="nil"/>
              <w:left w:val="single" w:color="000000" w:sz="8" w:space="0"/>
              <w:bottom w:val="single" w:color="000000" w:sz="8" w:space="0"/>
              <w:right w:val="single" w:color="000000" w:sz="8" w:space="0"/>
            </w:tcBorders>
            <w:shd w:val="clear" w:color="auto" w:fill="auto"/>
            <w:noWrap/>
            <w:vAlign w:val="center"/>
          </w:tcPr>
          <w:p>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30308</w:t>
            </w:r>
          </w:p>
        </w:tc>
        <w:tc>
          <w:tcPr>
            <w:tcW w:w="1332"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助学金</w:t>
            </w:r>
          </w:p>
        </w:tc>
        <w:tc>
          <w:tcPr>
            <w:tcW w:w="1896"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c>
          <w:tcPr>
            <w:tcW w:w="666"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30229</w:t>
            </w:r>
          </w:p>
        </w:tc>
        <w:tc>
          <w:tcPr>
            <w:tcW w:w="1055" w:type="dxa"/>
            <w:gridSpan w:val="2"/>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福利费</w:t>
            </w:r>
          </w:p>
        </w:tc>
        <w:tc>
          <w:tcPr>
            <w:tcW w:w="1774"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c>
          <w:tcPr>
            <w:tcW w:w="666"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39908</w:t>
            </w:r>
          </w:p>
        </w:tc>
        <w:tc>
          <w:tcPr>
            <w:tcW w:w="1650"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对民间非营利组织和群众性自治组织补贴</w:t>
            </w:r>
          </w:p>
        </w:tc>
        <w:tc>
          <w:tcPr>
            <w:tcW w:w="1896"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666" w:type="dxa"/>
            <w:tcBorders>
              <w:top w:val="nil"/>
              <w:left w:val="single" w:color="000000" w:sz="8" w:space="0"/>
              <w:bottom w:val="single" w:color="000000" w:sz="8" w:space="0"/>
              <w:right w:val="single" w:color="000000" w:sz="8" w:space="0"/>
            </w:tcBorders>
            <w:shd w:val="clear" w:color="auto" w:fill="auto"/>
            <w:noWrap/>
            <w:vAlign w:val="center"/>
          </w:tcPr>
          <w:p>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30309</w:t>
            </w:r>
          </w:p>
        </w:tc>
        <w:tc>
          <w:tcPr>
            <w:tcW w:w="1332"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奖励金</w:t>
            </w:r>
          </w:p>
        </w:tc>
        <w:tc>
          <w:tcPr>
            <w:tcW w:w="1896"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c>
          <w:tcPr>
            <w:tcW w:w="666"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30231</w:t>
            </w:r>
          </w:p>
        </w:tc>
        <w:tc>
          <w:tcPr>
            <w:tcW w:w="933"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公务用车运行维护费</w:t>
            </w:r>
          </w:p>
        </w:tc>
        <w:tc>
          <w:tcPr>
            <w:tcW w:w="1896" w:type="dxa"/>
            <w:gridSpan w:val="2"/>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7.02</w:t>
            </w:r>
          </w:p>
        </w:tc>
        <w:tc>
          <w:tcPr>
            <w:tcW w:w="666"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39909</w:t>
            </w:r>
          </w:p>
        </w:tc>
        <w:tc>
          <w:tcPr>
            <w:tcW w:w="1650"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经常性赠与</w:t>
            </w:r>
          </w:p>
        </w:tc>
        <w:tc>
          <w:tcPr>
            <w:tcW w:w="1896"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666" w:type="dxa"/>
            <w:tcBorders>
              <w:top w:val="nil"/>
              <w:left w:val="single" w:color="000000" w:sz="8" w:space="0"/>
              <w:bottom w:val="single" w:color="000000" w:sz="8" w:space="0"/>
              <w:right w:val="single" w:color="000000" w:sz="8" w:space="0"/>
            </w:tcBorders>
            <w:shd w:val="clear" w:color="auto" w:fill="auto"/>
            <w:noWrap/>
            <w:vAlign w:val="center"/>
          </w:tcPr>
          <w:p>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30310</w:t>
            </w:r>
          </w:p>
        </w:tc>
        <w:tc>
          <w:tcPr>
            <w:tcW w:w="1332"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个人农业生产补贴</w:t>
            </w:r>
          </w:p>
        </w:tc>
        <w:tc>
          <w:tcPr>
            <w:tcW w:w="1896"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c>
          <w:tcPr>
            <w:tcW w:w="666"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30239</w:t>
            </w:r>
          </w:p>
        </w:tc>
        <w:tc>
          <w:tcPr>
            <w:tcW w:w="933"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其他交通费用</w:t>
            </w:r>
          </w:p>
        </w:tc>
        <w:tc>
          <w:tcPr>
            <w:tcW w:w="1896" w:type="dxa"/>
            <w:gridSpan w:val="2"/>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18.10</w:t>
            </w:r>
          </w:p>
        </w:tc>
        <w:tc>
          <w:tcPr>
            <w:tcW w:w="666"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39910</w:t>
            </w:r>
          </w:p>
        </w:tc>
        <w:tc>
          <w:tcPr>
            <w:tcW w:w="1650"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资本性赠与</w:t>
            </w:r>
          </w:p>
        </w:tc>
        <w:tc>
          <w:tcPr>
            <w:tcW w:w="1896"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666" w:type="dxa"/>
            <w:tcBorders>
              <w:top w:val="nil"/>
              <w:left w:val="single" w:color="000000" w:sz="8" w:space="0"/>
              <w:bottom w:val="single" w:color="000000" w:sz="8" w:space="0"/>
              <w:right w:val="single" w:color="000000" w:sz="8" w:space="0"/>
            </w:tcBorders>
            <w:shd w:val="clear" w:color="auto" w:fill="auto"/>
            <w:noWrap/>
            <w:vAlign w:val="center"/>
          </w:tcPr>
          <w:p>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30311</w:t>
            </w:r>
          </w:p>
        </w:tc>
        <w:tc>
          <w:tcPr>
            <w:tcW w:w="1332"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代缴社会保险费</w:t>
            </w:r>
          </w:p>
        </w:tc>
        <w:tc>
          <w:tcPr>
            <w:tcW w:w="1896"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c>
          <w:tcPr>
            <w:tcW w:w="666"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30240</w:t>
            </w:r>
          </w:p>
        </w:tc>
        <w:tc>
          <w:tcPr>
            <w:tcW w:w="933"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税金及附加费用</w:t>
            </w:r>
          </w:p>
        </w:tc>
        <w:tc>
          <w:tcPr>
            <w:tcW w:w="1896" w:type="dxa"/>
            <w:gridSpan w:val="2"/>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c>
          <w:tcPr>
            <w:tcW w:w="666"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39999</w:t>
            </w:r>
          </w:p>
        </w:tc>
        <w:tc>
          <w:tcPr>
            <w:tcW w:w="1650"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其他支出</w:t>
            </w:r>
          </w:p>
        </w:tc>
        <w:tc>
          <w:tcPr>
            <w:tcW w:w="1896"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666" w:type="dxa"/>
            <w:tcBorders>
              <w:top w:val="nil"/>
              <w:left w:val="single" w:color="000000" w:sz="8" w:space="0"/>
              <w:bottom w:val="single" w:color="000000" w:sz="8" w:space="0"/>
              <w:right w:val="single" w:color="000000" w:sz="8" w:space="0"/>
            </w:tcBorders>
            <w:shd w:val="clear" w:color="auto" w:fill="auto"/>
            <w:noWrap/>
            <w:vAlign w:val="center"/>
          </w:tcPr>
          <w:p>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30399</w:t>
            </w:r>
          </w:p>
        </w:tc>
        <w:tc>
          <w:tcPr>
            <w:tcW w:w="1332"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其他对个人和家庭的补助</w:t>
            </w:r>
          </w:p>
        </w:tc>
        <w:tc>
          <w:tcPr>
            <w:tcW w:w="1896"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c>
          <w:tcPr>
            <w:tcW w:w="666"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30299</w:t>
            </w:r>
          </w:p>
        </w:tc>
        <w:tc>
          <w:tcPr>
            <w:tcW w:w="933"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其他商品和服务支出</w:t>
            </w:r>
          </w:p>
        </w:tc>
        <w:tc>
          <w:tcPr>
            <w:tcW w:w="1896" w:type="dxa"/>
            <w:gridSpan w:val="2"/>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8.52</w:t>
            </w:r>
          </w:p>
        </w:tc>
        <w:tc>
          <w:tcPr>
            <w:tcW w:w="666" w:type="dxa"/>
            <w:tcBorders>
              <w:top w:val="nil"/>
              <w:left w:val="nil"/>
              <w:bottom w:val="single" w:color="000000" w:sz="8" w:space="0"/>
              <w:right w:val="single" w:color="000000" w:sz="8" w:space="0"/>
            </w:tcBorders>
            <w:shd w:val="clear" w:color="auto" w:fill="auto"/>
            <w:noWrap/>
            <w:vAlign w:val="center"/>
          </w:tcPr>
          <w:p>
            <w:pPr>
              <w:snapToGrid w:val="0"/>
              <w:jc w:val="center"/>
              <w:rPr>
                <w:rFonts w:hint="default" w:ascii="Times New Roman" w:hAnsi="Times New Roman" w:eastAsia="宋体" w:cs="Times New Roman"/>
                <w:i w:val="0"/>
                <w:iCs w:val="0"/>
                <w:color w:val="000000"/>
                <w:sz w:val="18"/>
                <w:szCs w:val="18"/>
                <w:u w:val="none"/>
              </w:rPr>
            </w:pPr>
          </w:p>
        </w:tc>
        <w:tc>
          <w:tcPr>
            <w:tcW w:w="1650" w:type="dxa"/>
            <w:tcBorders>
              <w:top w:val="nil"/>
              <w:left w:val="nil"/>
              <w:bottom w:val="single" w:color="000000" w:sz="8" w:space="0"/>
              <w:right w:val="single" w:color="000000" w:sz="8" w:space="0"/>
            </w:tcBorders>
            <w:shd w:val="clear" w:color="auto" w:fill="auto"/>
            <w:noWrap/>
            <w:vAlign w:val="center"/>
          </w:tcPr>
          <w:p>
            <w:pPr>
              <w:snapToGrid w:val="0"/>
              <w:jc w:val="left"/>
              <w:rPr>
                <w:rFonts w:hint="eastAsia" w:ascii="方正仿宋_GB2312" w:hAnsi="方正仿宋_GB2312" w:eastAsia="方正仿宋_GB2312" w:cs="方正仿宋_GB2312"/>
                <w:i w:val="0"/>
                <w:iCs w:val="0"/>
                <w:color w:val="000000"/>
                <w:sz w:val="18"/>
                <w:szCs w:val="18"/>
                <w:u w:val="none"/>
              </w:rPr>
            </w:pPr>
          </w:p>
        </w:tc>
        <w:tc>
          <w:tcPr>
            <w:tcW w:w="1896" w:type="dxa"/>
            <w:tcBorders>
              <w:top w:val="nil"/>
              <w:left w:val="nil"/>
              <w:bottom w:val="single" w:color="000000" w:sz="8" w:space="0"/>
              <w:right w:val="single" w:color="000000" w:sz="8" w:space="0"/>
            </w:tcBorders>
            <w:shd w:val="clear" w:color="auto" w:fill="auto"/>
            <w:noWrap/>
            <w:vAlign w:val="center"/>
          </w:tcPr>
          <w:p>
            <w:pPr>
              <w:snapToGrid w:val="0"/>
              <w:jc w:val="right"/>
              <w:rPr>
                <w:rFonts w:hint="default" w:ascii="Times New Roman" w:hAnsi="Times New Roman" w:eastAsia="宋体" w:cs="Times New Roman"/>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trHeight w:val="0" w:hRule="atLeast"/>
          <w:jc w:val="center"/>
        </w:trPr>
        <w:tc>
          <w:tcPr>
            <w:tcW w:w="1998" w:type="dxa"/>
            <w:gridSpan w:val="2"/>
            <w:tcBorders>
              <w:top w:val="nil"/>
              <w:left w:val="single" w:color="000000" w:sz="8" w:space="0"/>
              <w:bottom w:val="single" w:color="000000" w:sz="8" w:space="0"/>
              <w:right w:val="single" w:color="000000" w:sz="8" w:space="0"/>
            </w:tcBorders>
            <w:shd w:val="clear" w:color="auto" w:fill="auto"/>
            <w:noWrap/>
            <w:vAlign w:val="center"/>
          </w:tcPr>
          <w:p>
            <w:pPr>
              <w:keepNext w:val="0"/>
              <w:keepLines w:val="0"/>
              <w:widowControl/>
              <w:suppressLineNumbers w:val="0"/>
              <w:snapToGrid w:val="0"/>
              <w:jc w:val="center"/>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人员经费合计</w:t>
            </w:r>
          </w:p>
        </w:tc>
        <w:tc>
          <w:tcPr>
            <w:tcW w:w="1896"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402.22</w:t>
            </w:r>
          </w:p>
        </w:tc>
        <w:tc>
          <w:tcPr>
            <w:tcW w:w="5811" w:type="dxa"/>
            <w:gridSpan w:val="6"/>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center"/>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公用经费合计</w:t>
            </w:r>
          </w:p>
        </w:tc>
        <w:tc>
          <w:tcPr>
            <w:tcW w:w="1896"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70.85</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11601" w:type="dxa"/>
            <w:gridSpan w:val="10"/>
            <w:tcBorders>
              <w:top w:val="nil"/>
              <w:left w:val="nil"/>
              <w:bottom w:val="nil"/>
              <w:right w:val="nil"/>
            </w:tcBorders>
            <w:shd w:val="clear" w:color="auto" w:fill="auto"/>
            <w:noWrap/>
            <w:vAlign w:val="center"/>
          </w:tcPr>
          <w:p>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注：本表反映部门本年度一般公共预算财政拨款基本支出明细情况。</w:t>
            </w:r>
          </w:p>
        </w:tc>
      </w:tr>
    </w:tbl>
    <w:p>
      <w:pPr>
        <w:keepNext w:val="0"/>
        <w:keepLines w:val="0"/>
        <w:pageBreakBefore w:val="0"/>
        <w:widowControl w:val="0"/>
        <w:kinsoku/>
        <w:wordWrap/>
        <w:overflowPunct/>
        <w:topLinePunct w:val="0"/>
        <w:autoSpaceDE/>
        <w:autoSpaceDN/>
        <w:bidi w:val="0"/>
        <w:adjustRightInd/>
        <w:snapToGrid/>
        <w:spacing w:line="240" w:lineRule="auto"/>
        <w:jc w:val="both"/>
        <w:textAlignment w:val="auto"/>
        <w:outlineLvl w:val="9"/>
        <w:rPr>
          <w:rFonts w:hint="eastAsia" w:ascii="仿宋_GB2312" w:hAnsi="宋体" w:eastAsia="仿宋_GB2312"/>
          <w:b/>
          <w:color w:val="auto"/>
          <w:kern w:val="0"/>
          <w:sz w:val="32"/>
          <w:szCs w:val="32"/>
          <w:highlight w:val="none"/>
        </w:rPr>
      </w:pPr>
    </w:p>
    <w:p>
      <w:pPr>
        <w:rPr>
          <w:rFonts w:hint="eastAsia" w:ascii="仿宋_GB2312" w:hAnsi="宋体" w:eastAsia="仿宋_GB2312"/>
          <w:b/>
          <w:color w:val="auto"/>
          <w:kern w:val="0"/>
          <w:sz w:val="32"/>
          <w:szCs w:val="32"/>
          <w:highlight w:val="none"/>
        </w:rPr>
      </w:pPr>
      <w:r>
        <w:rPr>
          <w:rFonts w:hint="eastAsia" w:ascii="仿宋_GB2312" w:hAnsi="宋体" w:eastAsia="仿宋_GB2312"/>
          <w:b/>
          <w:color w:val="auto"/>
          <w:kern w:val="0"/>
          <w:sz w:val="32"/>
          <w:szCs w:val="32"/>
          <w:highlight w:val="none"/>
        </w:rPr>
        <w:br w:type="page"/>
      </w:r>
    </w:p>
    <w:tbl>
      <w:tblPr>
        <w:tblStyle w:val="11"/>
        <w:tblW w:w="6517" w:type="pct"/>
        <w:tblInd w:w="-1404"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1260"/>
        <w:gridCol w:w="1474"/>
        <w:gridCol w:w="1306"/>
        <w:gridCol w:w="1027"/>
        <w:gridCol w:w="1107"/>
        <w:gridCol w:w="418"/>
        <w:gridCol w:w="702"/>
        <w:gridCol w:w="1146"/>
        <w:gridCol w:w="2040"/>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50" w:hRule="atLeast"/>
        </w:trPr>
        <w:tc>
          <w:tcPr>
            <w:tcW w:w="5000" w:type="pct"/>
            <w:gridSpan w:val="9"/>
            <w:tcBorders>
              <w:top w:val="nil"/>
              <w:left w:val="nil"/>
              <w:bottom w:val="nil"/>
              <w:right w:val="nil"/>
            </w:tcBorders>
            <w:noWrap/>
            <w:vAlign w:val="bottom"/>
          </w:tcPr>
          <w:p>
            <w:pPr>
              <w:keepNext w:val="0"/>
              <w:keepLines w:val="0"/>
              <w:widowControl/>
              <w:suppressLineNumbers w:val="0"/>
              <w:jc w:val="center"/>
              <w:textAlignment w:val="bottom"/>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b w:val="0"/>
                <w:bCs/>
                <w:color w:val="auto"/>
                <w:kern w:val="0"/>
                <w:sz w:val="32"/>
                <w:szCs w:val="32"/>
                <w:highlight w:val="none"/>
                <w:lang w:val="en-US" w:eastAsia="zh-CN"/>
              </w:rPr>
              <w:t>政府性基金预算财政拨款收入支出决算表</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 w:hRule="atLeast"/>
        </w:trPr>
        <w:tc>
          <w:tcPr>
            <w:tcW w:w="5000" w:type="pct"/>
            <w:gridSpan w:val="9"/>
            <w:tcBorders>
              <w:top w:val="nil"/>
              <w:left w:val="nil"/>
              <w:bottom w:val="nil"/>
              <w:right w:val="nil"/>
            </w:tcBorders>
            <w:noWrap/>
            <w:vAlign w:val="bottom"/>
          </w:tcPr>
          <w:p>
            <w:pPr>
              <w:keepNext w:val="0"/>
              <w:keepLines w:val="0"/>
              <w:widowControl/>
              <w:suppressLineNumbers w:val="0"/>
              <w:jc w:val="right"/>
              <w:textAlignment w:val="bottom"/>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公开</w:t>
            </w:r>
            <w:r>
              <w:rPr>
                <w:rFonts w:hint="default" w:ascii="Times New Roman" w:hAnsi="Times New Roman" w:eastAsia="宋体" w:cs="Times New Roman"/>
                <w:i w:val="0"/>
                <w:iCs w:val="0"/>
                <w:color w:val="000000"/>
                <w:kern w:val="0"/>
                <w:sz w:val="20"/>
                <w:szCs w:val="20"/>
                <w:highlight w:val="none"/>
                <w:u w:val="none"/>
                <w:lang w:val="en-US" w:eastAsia="zh-CN" w:bidi="ar"/>
              </w:rPr>
              <w:t>07</w:t>
            </w: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表</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1927" w:type="pct"/>
            <w:gridSpan w:val="3"/>
            <w:tcBorders>
              <w:top w:val="nil"/>
              <w:left w:val="nil"/>
              <w:bottom w:val="single" w:color="000000" w:themeColor="text1" w:sz="8" w:space="0"/>
              <w:right w:val="nil"/>
            </w:tcBorders>
            <w:noWrap/>
            <w:vAlign w:val="bottom"/>
          </w:tcPr>
          <w:p>
            <w:pPr>
              <w:keepNext w:val="0"/>
              <w:keepLines w:val="0"/>
              <w:widowControl/>
              <w:suppressLineNumbers w:val="0"/>
              <w:jc w:val="left"/>
              <w:textAlignment w:val="bottom"/>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 xml:space="preserve">部门（单位）：中国人民政治协商会议无极县委员会办公室(本级) </w:t>
            </w:r>
            <w:r>
              <w:rPr>
                <w:rFonts w:hint="eastAsia" w:ascii="宋体" w:hAnsi="宋体" w:eastAsia="宋体" w:cs="宋体"/>
                <w:i w:val="0"/>
                <w:iCs w:val="0"/>
                <w:color w:val="000000"/>
                <w:kern w:val="0"/>
                <w:sz w:val="20"/>
                <w:szCs w:val="20"/>
                <w:highlight w:val="none"/>
                <w:u w:val="none"/>
                <w:lang w:val="en-US" w:eastAsia="zh-CN" w:bidi="ar"/>
              </w:rPr>
              <w:t xml:space="preserve">                                                                                     </w:t>
            </w:r>
          </w:p>
        </w:tc>
        <w:tc>
          <w:tcPr>
            <w:tcW w:w="1217" w:type="pct"/>
            <w:gridSpan w:val="3"/>
            <w:tcBorders>
              <w:top w:val="nil"/>
              <w:left w:val="nil"/>
              <w:bottom w:val="single" w:color="000000" w:themeColor="text1" w:sz="8" w:space="0"/>
              <w:right w:val="nil"/>
            </w:tcBorders>
            <w:noWrap/>
            <w:vAlign w:val="bottom"/>
          </w:tcPr>
          <w:p>
            <w:pPr>
              <w:keepNext w:val="0"/>
              <w:keepLines w:val="0"/>
              <w:widowControl/>
              <w:suppressLineNumbers w:val="0"/>
              <w:jc w:val="center"/>
              <w:textAlignment w:val="bottom"/>
              <w:rPr>
                <w:rFonts w:hint="default" w:ascii="宋体" w:hAnsi="宋体" w:eastAsia="宋体" w:cs="宋体"/>
                <w:i w:val="0"/>
                <w:iCs w:val="0"/>
                <w:color w:val="000000"/>
                <w:kern w:val="0"/>
                <w:sz w:val="20"/>
                <w:szCs w:val="20"/>
                <w:highlight w:val="none"/>
                <w:u w:val="none"/>
                <w:lang w:val="en-US" w:eastAsia="zh-CN" w:bidi="ar"/>
              </w:rPr>
            </w:pPr>
            <w:r>
              <w:rPr>
                <w:rFonts w:hint="default" w:ascii="Times New Roman" w:hAnsi="Times New Roman" w:eastAsia="宋体" w:cs="Times New Roman"/>
                <w:i w:val="0"/>
                <w:iCs w:val="0"/>
                <w:color w:val="000000"/>
                <w:kern w:val="0"/>
                <w:sz w:val="20"/>
                <w:szCs w:val="20"/>
                <w:highlight w:val="none"/>
                <w:u w:val="none"/>
                <w:lang w:val="en-US" w:eastAsia="zh-CN" w:bidi="ar"/>
              </w:rPr>
              <w:t>202</w:t>
            </w:r>
            <w:r>
              <w:rPr>
                <w:rFonts w:hint="eastAsia" w:ascii="Times New Roman" w:hAnsi="Times New Roman" w:eastAsia="宋体" w:cs="Times New Roman"/>
                <w:i w:val="0"/>
                <w:iCs w:val="0"/>
                <w:color w:val="000000"/>
                <w:kern w:val="0"/>
                <w:sz w:val="20"/>
                <w:szCs w:val="20"/>
                <w:highlight w:val="none"/>
                <w:u w:val="none"/>
                <w:lang w:val="en-US" w:eastAsia="zh-CN" w:bidi="ar"/>
              </w:rPr>
              <w:t>5</w:t>
            </w: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年度</w:t>
            </w:r>
          </w:p>
        </w:tc>
        <w:tc>
          <w:tcPr>
            <w:tcW w:w="1854" w:type="pct"/>
            <w:gridSpan w:val="3"/>
            <w:tcBorders>
              <w:top w:val="nil"/>
              <w:left w:val="nil"/>
              <w:bottom w:val="single" w:color="000000" w:themeColor="text1" w:sz="8" w:space="0"/>
              <w:right w:val="nil"/>
            </w:tcBorders>
            <w:noWrap/>
            <w:vAlign w:val="bottom"/>
          </w:tcPr>
          <w:p>
            <w:pPr>
              <w:keepNext w:val="0"/>
              <w:keepLines w:val="0"/>
              <w:widowControl/>
              <w:suppressLineNumbers w:val="0"/>
              <w:jc w:val="right"/>
              <w:textAlignment w:val="bottom"/>
              <w:rPr>
                <w:rFonts w:hint="default" w:ascii="宋体" w:hAnsi="宋体" w:eastAsia="宋体" w:cs="宋体"/>
                <w:i w:val="0"/>
                <w:iCs w:val="0"/>
                <w:color w:val="000000"/>
                <w:kern w:val="0"/>
                <w:sz w:val="20"/>
                <w:szCs w:val="20"/>
                <w:highlight w:val="none"/>
                <w:u w:val="none"/>
                <w:lang w:val="en-US" w:eastAsia="zh-CN" w:bidi="ar"/>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金额单位：万元</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1304"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项目</w:t>
            </w:r>
          </w:p>
        </w:tc>
        <w:tc>
          <w:tcPr>
            <w:tcW w:w="623" w:type="pct"/>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年初结转和结余</w:t>
            </w:r>
          </w:p>
        </w:tc>
        <w:tc>
          <w:tcPr>
            <w:tcW w:w="489" w:type="pct"/>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本年收入</w:t>
            </w:r>
          </w:p>
        </w:tc>
        <w:tc>
          <w:tcPr>
            <w:tcW w:w="1609" w:type="pct"/>
            <w:gridSpan w:val="4"/>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本年支出</w:t>
            </w:r>
          </w:p>
        </w:tc>
        <w:tc>
          <w:tcPr>
            <w:tcW w:w="973" w:type="pct"/>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年末结转和结余</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trPr>
        <w:tc>
          <w:tcPr>
            <w:tcW w:w="601" w:type="pct"/>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lang w:val="en-US" w:eastAsia="zh-CN"/>
              </w:rPr>
            </w:pPr>
            <w:r>
              <w:rPr>
                <w:rFonts w:hint="eastAsia" w:ascii="方正仿宋_GB2312" w:hAnsi="方正仿宋_GB2312" w:eastAsia="方正仿宋_GB2312" w:cs="方正仿宋_GB2312"/>
                <w:i w:val="0"/>
                <w:iCs w:val="0"/>
                <w:color w:val="000000"/>
                <w:sz w:val="20"/>
                <w:szCs w:val="20"/>
                <w:highlight w:val="none"/>
                <w:u w:val="none"/>
                <w:lang w:val="en-US" w:eastAsia="zh-CN"/>
              </w:rPr>
              <w:t>科目代码</w:t>
            </w:r>
          </w:p>
        </w:tc>
        <w:tc>
          <w:tcPr>
            <w:tcW w:w="703" w:type="pct"/>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科目名称</w:t>
            </w:r>
          </w:p>
        </w:tc>
        <w:tc>
          <w:tcPr>
            <w:tcW w:w="623"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jc w:val="center"/>
              <w:rPr>
                <w:rFonts w:hint="eastAsia" w:ascii="方正仿宋_GB2312" w:hAnsi="方正仿宋_GB2312" w:eastAsia="方正仿宋_GB2312" w:cs="方正仿宋_GB2312"/>
                <w:i w:val="0"/>
                <w:iCs w:val="0"/>
                <w:color w:val="000000"/>
                <w:sz w:val="20"/>
                <w:szCs w:val="20"/>
                <w:highlight w:val="none"/>
                <w:u w:val="none"/>
              </w:rPr>
            </w:pPr>
          </w:p>
        </w:tc>
        <w:tc>
          <w:tcPr>
            <w:tcW w:w="489"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jc w:val="center"/>
              <w:rPr>
                <w:rFonts w:hint="eastAsia" w:ascii="方正仿宋_GB2312" w:hAnsi="方正仿宋_GB2312" w:eastAsia="方正仿宋_GB2312" w:cs="方正仿宋_GB2312"/>
                <w:i w:val="0"/>
                <w:iCs w:val="0"/>
                <w:color w:val="000000"/>
                <w:sz w:val="20"/>
                <w:szCs w:val="20"/>
                <w:highlight w:val="none"/>
                <w:u w:val="none"/>
              </w:rPr>
            </w:pPr>
          </w:p>
        </w:tc>
        <w:tc>
          <w:tcPr>
            <w:tcW w:w="528" w:type="pct"/>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lang w:val="en-US" w:eastAsia="zh-CN"/>
              </w:rPr>
            </w:pPr>
            <w:r>
              <w:rPr>
                <w:rFonts w:hint="eastAsia" w:ascii="方正仿宋_GB2312" w:hAnsi="方正仿宋_GB2312" w:eastAsia="方正仿宋_GB2312" w:cs="方正仿宋_GB2312"/>
                <w:i w:val="0"/>
                <w:iCs w:val="0"/>
                <w:color w:val="000000"/>
                <w:sz w:val="20"/>
                <w:szCs w:val="20"/>
                <w:highlight w:val="none"/>
                <w:u w:val="none"/>
                <w:lang w:val="en-US" w:eastAsia="zh-CN"/>
              </w:rPr>
              <w:t>小计</w:t>
            </w:r>
          </w:p>
        </w:tc>
        <w:tc>
          <w:tcPr>
            <w:tcW w:w="534" w:type="pct"/>
            <w:gridSpan w:val="2"/>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基本支出</w:t>
            </w:r>
          </w:p>
        </w:tc>
        <w:tc>
          <w:tcPr>
            <w:tcW w:w="546" w:type="pct"/>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项目支出</w:t>
            </w:r>
          </w:p>
        </w:tc>
        <w:tc>
          <w:tcPr>
            <w:tcW w:w="973"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合计</w:t>
            </w:r>
          </w:p>
          <w:p>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结转</w:t>
            </w:r>
          </w:p>
          <w:p>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结余</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trPr>
        <w:tc>
          <w:tcPr>
            <w:tcW w:w="601"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jc w:val="center"/>
              <w:rPr>
                <w:rFonts w:hint="eastAsia" w:ascii="方正仿宋_GB2312" w:hAnsi="方正仿宋_GB2312" w:eastAsia="方正仿宋_GB2312" w:cs="方正仿宋_GB2312"/>
                <w:i w:val="0"/>
                <w:iCs w:val="0"/>
                <w:color w:val="000000"/>
                <w:sz w:val="20"/>
                <w:szCs w:val="20"/>
                <w:highlight w:val="none"/>
                <w:u w:val="none"/>
              </w:rPr>
            </w:pPr>
          </w:p>
        </w:tc>
        <w:tc>
          <w:tcPr>
            <w:tcW w:w="703"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jc w:val="center"/>
              <w:rPr>
                <w:rFonts w:hint="eastAsia" w:ascii="方正仿宋_GB2312" w:hAnsi="方正仿宋_GB2312" w:eastAsia="方正仿宋_GB2312" w:cs="方正仿宋_GB2312"/>
                <w:i w:val="0"/>
                <w:iCs w:val="0"/>
                <w:color w:val="000000"/>
                <w:sz w:val="20"/>
                <w:szCs w:val="20"/>
                <w:highlight w:val="none"/>
                <w:u w:val="none"/>
              </w:rPr>
            </w:pPr>
          </w:p>
        </w:tc>
        <w:tc>
          <w:tcPr>
            <w:tcW w:w="623"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jc w:val="center"/>
              <w:rPr>
                <w:rFonts w:hint="eastAsia" w:ascii="方正仿宋_GB2312" w:hAnsi="方正仿宋_GB2312" w:eastAsia="方正仿宋_GB2312" w:cs="方正仿宋_GB2312"/>
                <w:i w:val="0"/>
                <w:iCs w:val="0"/>
                <w:color w:val="000000"/>
                <w:sz w:val="20"/>
                <w:szCs w:val="20"/>
                <w:highlight w:val="none"/>
                <w:u w:val="none"/>
              </w:rPr>
            </w:pPr>
          </w:p>
        </w:tc>
        <w:tc>
          <w:tcPr>
            <w:tcW w:w="489"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jc w:val="center"/>
              <w:rPr>
                <w:rFonts w:hint="eastAsia" w:ascii="方正仿宋_GB2312" w:hAnsi="方正仿宋_GB2312" w:eastAsia="方正仿宋_GB2312" w:cs="方正仿宋_GB2312"/>
                <w:i w:val="0"/>
                <w:iCs w:val="0"/>
                <w:color w:val="000000"/>
                <w:sz w:val="20"/>
                <w:szCs w:val="20"/>
                <w:highlight w:val="none"/>
                <w:u w:val="none"/>
              </w:rPr>
            </w:pPr>
          </w:p>
        </w:tc>
        <w:tc>
          <w:tcPr>
            <w:tcW w:w="528"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jc w:val="center"/>
              <w:rPr>
                <w:rFonts w:hint="eastAsia" w:ascii="方正仿宋_GB2312" w:hAnsi="方正仿宋_GB2312" w:eastAsia="方正仿宋_GB2312" w:cs="方正仿宋_GB2312"/>
                <w:i w:val="0"/>
                <w:iCs w:val="0"/>
                <w:color w:val="000000"/>
                <w:sz w:val="20"/>
                <w:szCs w:val="20"/>
                <w:highlight w:val="none"/>
                <w:u w:val="none"/>
              </w:rPr>
            </w:pPr>
          </w:p>
        </w:tc>
        <w:tc>
          <w:tcPr>
            <w:tcW w:w="534" w:type="pct"/>
            <w:gridSpan w:val="2"/>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jc w:val="center"/>
              <w:rPr>
                <w:rFonts w:hint="eastAsia" w:ascii="方正仿宋_GB2312" w:hAnsi="方正仿宋_GB2312" w:eastAsia="方正仿宋_GB2312" w:cs="方正仿宋_GB2312"/>
                <w:i w:val="0"/>
                <w:iCs w:val="0"/>
                <w:color w:val="000000"/>
                <w:sz w:val="20"/>
                <w:szCs w:val="20"/>
                <w:highlight w:val="none"/>
                <w:u w:val="none"/>
              </w:rPr>
            </w:pPr>
          </w:p>
        </w:tc>
        <w:tc>
          <w:tcPr>
            <w:tcW w:w="546"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jc w:val="center"/>
              <w:rPr>
                <w:rFonts w:hint="eastAsia" w:ascii="方正仿宋_GB2312" w:hAnsi="方正仿宋_GB2312" w:eastAsia="方正仿宋_GB2312" w:cs="方正仿宋_GB2312"/>
                <w:i w:val="0"/>
                <w:iCs w:val="0"/>
                <w:color w:val="000000"/>
                <w:sz w:val="20"/>
                <w:szCs w:val="20"/>
                <w:highlight w:val="none"/>
                <w:u w:val="none"/>
              </w:rPr>
            </w:pPr>
          </w:p>
        </w:tc>
        <w:tc>
          <w:tcPr>
            <w:tcW w:w="973"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jc w:val="center"/>
              <w:rPr>
                <w:rFonts w:hint="eastAsia" w:ascii="方正仿宋_GB2312" w:hAnsi="方正仿宋_GB2312" w:eastAsia="方正仿宋_GB2312" w:cs="方正仿宋_GB2312"/>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trPr>
        <w:tc>
          <w:tcPr>
            <w:tcW w:w="601"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jc w:val="center"/>
              <w:rPr>
                <w:rFonts w:hint="eastAsia" w:ascii="方正仿宋_GB2312" w:hAnsi="方正仿宋_GB2312" w:eastAsia="方正仿宋_GB2312" w:cs="方正仿宋_GB2312"/>
                <w:i w:val="0"/>
                <w:iCs w:val="0"/>
                <w:color w:val="000000"/>
                <w:sz w:val="20"/>
                <w:szCs w:val="20"/>
                <w:highlight w:val="none"/>
                <w:u w:val="none"/>
              </w:rPr>
            </w:pPr>
          </w:p>
        </w:tc>
        <w:tc>
          <w:tcPr>
            <w:tcW w:w="703"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jc w:val="center"/>
              <w:rPr>
                <w:rFonts w:hint="eastAsia" w:ascii="方正仿宋_GB2312" w:hAnsi="方正仿宋_GB2312" w:eastAsia="方正仿宋_GB2312" w:cs="方正仿宋_GB2312"/>
                <w:i w:val="0"/>
                <w:iCs w:val="0"/>
                <w:color w:val="000000"/>
                <w:sz w:val="20"/>
                <w:szCs w:val="20"/>
                <w:highlight w:val="none"/>
                <w:u w:val="none"/>
              </w:rPr>
            </w:pPr>
          </w:p>
        </w:tc>
        <w:tc>
          <w:tcPr>
            <w:tcW w:w="623"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jc w:val="center"/>
              <w:rPr>
                <w:rFonts w:hint="eastAsia" w:ascii="方正仿宋_GB2312" w:hAnsi="方正仿宋_GB2312" w:eastAsia="方正仿宋_GB2312" w:cs="方正仿宋_GB2312"/>
                <w:i w:val="0"/>
                <w:iCs w:val="0"/>
                <w:color w:val="000000"/>
                <w:sz w:val="20"/>
                <w:szCs w:val="20"/>
                <w:highlight w:val="none"/>
                <w:u w:val="none"/>
              </w:rPr>
            </w:pPr>
          </w:p>
        </w:tc>
        <w:tc>
          <w:tcPr>
            <w:tcW w:w="489"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jc w:val="center"/>
              <w:rPr>
                <w:rFonts w:hint="eastAsia" w:ascii="方正仿宋_GB2312" w:hAnsi="方正仿宋_GB2312" w:eastAsia="方正仿宋_GB2312" w:cs="方正仿宋_GB2312"/>
                <w:i w:val="0"/>
                <w:iCs w:val="0"/>
                <w:color w:val="000000"/>
                <w:sz w:val="20"/>
                <w:szCs w:val="20"/>
                <w:highlight w:val="none"/>
                <w:u w:val="none"/>
              </w:rPr>
            </w:pPr>
          </w:p>
        </w:tc>
        <w:tc>
          <w:tcPr>
            <w:tcW w:w="528"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jc w:val="center"/>
              <w:rPr>
                <w:rFonts w:hint="eastAsia" w:ascii="方正仿宋_GB2312" w:hAnsi="方正仿宋_GB2312" w:eastAsia="方正仿宋_GB2312" w:cs="方正仿宋_GB2312"/>
                <w:i w:val="0"/>
                <w:iCs w:val="0"/>
                <w:color w:val="000000"/>
                <w:sz w:val="20"/>
                <w:szCs w:val="20"/>
                <w:highlight w:val="none"/>
                <w:u w:val="none"/>
              </w:rPr>
            </w:pPr>
          </w:p>
        </w:tc>
        <w:tc>
          <w:tcPr>
            <w:tcW w:w="534" w:type="pct"/>
            <w:gridSpan w:val="2"/>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jc w:val="center"/>
              <w:rPr>
                <w:rFonts w:hint="eastAsia" w:ascii="方正仿宋_GB2312" w:hAnsi="方正仿宋_GB2312" w:eastAsia="方正仿宋_GB2312" w:cs="方正仿宋_GB2312"/>
                <w:i w:val="0"/>
                <w:iCs w:val="0"/>
                <w:color w:val="000000"/>
                <w:sz w:val="20"/>
                <w:szCs w:val="20"/>
                <w:highlight w:val="none"/>
                <w:u w:val="none"/>
              </w:rPr>
            </w:pPr>
          </w:p>
        </w:tc>
        <w:tc>
          <w:tcPr>
            <w:tcW w:w="546"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jc w:val="center"/>
              <w:rPr>
                <w:rFonts w:hint="eastAsia" w:ascii="方正仿宋_GB2312" w:hAnsi="方正仿宋_GB2312" w:eastAsia="方正仿宋_GB2312" w:cs="方正仿宋_GB2312"/>
                <w:i w:val="0"/>
                <w:iCs w:val="0"/>
                <w:color w:val="000000"/>
                <w:sz w:val="20"/>
                <w:szCs w:val="20"/>
                <w:highlight w:val="none"/>
                <w:u w:val="none"/>
              </w:rPr>
            </w:pPr>
          </w:p>
        </w:tc>
        <w:tc>
          <w:tcPr>
            <w:tcW w:w="973"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jc w:val="center"/>
              <w:rPr>
                <w:rFonts w:hint="eastAsia" w:ascii="方正仿宋_GB2312" w:hAnsi="方正仿宋_GB2312" w:eastAsia="方正仿宋_GB2312" w:cs="方正仿宋_GB2312"/>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1304"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栏次</w:t>
            </w:r>
          </w:p>
        </w:tc>
        <w:tc>
          <w:tcPr>
            <w:tcW w:w="62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方正仿宋_GB2312" w:cs="Times New Roman"/>
                <w:i w:val="0"/>
                <w:iCs w:val="0"/>
                <w:color w:val="000000"/>
                <w:sz w:val="20"/>
                <w:szCs w:val="20"/>
                <w:highlight w:val="none"/>
                <w:u w:val="none"/>
              </w:rPr>
            </w:pPr>
            <w:r>
              <w:rPr>
                <w:rFonts w:hint="default" w:ascii="Times New Roman" w:hAnsi="Times New Roman" w:eastAsia="方正仿宋_GB2312" w:cs="Times New Roman"/>
                <w:i w:val="0"/>
                <w:iCs w:val="0"/>
                <w:color w:val="000000"/>
                <w:kern w:val="0"/>
                <w:sz w:val="20"/>
                <w:szCs w:val="20"/>
                <w:highlight w:val="none"/>
                <w:u w:val="none"/>
                <w:lang w:val="en-US" w:eastAsia="zh-CN" w:bidi="ar"/>
              </w:rPr>
              <w:t>1</w:t>
            </w:r>
          </w:p>
        </w:tc>
        <w:tc>
          <w:tcPr>
            <w:tcW w:w="4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方正仿宋_GB2312" w:cs="Times New Roman"/>
                <w:i w:val="0"/>
                <w:iCs w:val="0"/>
                <w:color w:val="000000"/>
                <w:sz w:val="20"/>
                <w:szCs w:val="20"/>
                <w:highlight w:val="none"/>
                <w:u w:val="none"/>
              </w:rPr>
            </w:pPr>
            <w:r>
              <w:rPr>
                <w:rFonts w:hint="default" w:ascii="Times New Roman" w:hAnsi="Times New Roman" w:eastAsia="方正仿宋_GB2312" w:cs="Times New Roman"/>
                <w:i w:val="0"/>
                <w:iCs w:val="0"/>
                <w:color w:val="000000"/>
                <w:kern w:val="0"/>
                <w:sz w:val="20"/>
                <w:szCs w:val="20"/>
                <w:highlight w:val="none"/>
                <w:u w:val="none"/>
                <w:lang w:val="en-US" w:eastAsia="zh-CN" w:bidi="ar"/>
              </w:rPr>
              <w:t>2</w:t>
            </w:r>
          </w:p>
        </w:tc>
        <w:tc>
          <w:tcPr>
            <w:tcW w:w="528"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方正仿宋_GB2312" w:cs="Times New Roman"/>
                <w:i w:val="0"/>
                <w:iCs w:val="0"/>
                <w:color w:val="000000"/>
                <w:sz w:val="20"/>
                <w:szCs w:val="20"/>
                <w:highlight w:val="none"/>
                <w:u w:val="none"/>
              </w:rPr>
            </w:pPr>
            <w:r>
              <w:rPr>
                <w:rFonts w:hint="default" w:ascii="Times New Roman" w:hAnsi="Times New Roman" w:eastAsia="方正仿宋_GB2312" w:cs="Times New Roman"/>
                <w:i w:val="0"/>
                <w:iCs w:val="0"/>
                <w:color w:val="000000"/>
                <w:kern w:val="0"/>
                <w:sz w:val="20"/>
                <w:szCs w:val="20"/>
                <w:highlight w:val="none"/>
                <w:u w:val="none"/>
                <w:lang w:val="en-US" w:eastAsia="zh-CN" w:bidi="ar"/>
              </w:rPr>
              <w:t>3</w:t>
            </w:r>
          </w:p>
        </w:tc>
        <w:tc>
          <w:tcPr>
            <w:tcW w:w="534"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方正仿宋_GB2312" w:cs="Times New Roman"/>
                <w:i w:val="0"/>
                <w:iCs w:val="0"/>
                <w:color w:val="000000"/>
                <w:sz w:val="20"/>
                <w:szCs w:val="20"/>
                <w:highlight w:val="none"/>
                <w:u w:val="none"/>
              </w:rPr>
            </w:pPr>
            <w:r>
              <w:rPr>
                <w:rFonts w:hint="default" w:ascii="Times New Roman" w:hAnsi="Times New Roman" w:eastAsia="方正仿宋_GB2312" w:cs="Times New Roman"/>
                <w:i w:val="0"/>
                <w:iCs w:val="0"/>
                <w:color w:val="000000"/>
                <w:kern w:val="0"/>
                <w:sz w:val="20"/>
                <w:szCs w:val="20"/>
                <w:highlight w:val="none"/>
                <w:u w:val="none"/>
                <w:lang w:val="en-US" w:eastAsia="zh-CN" w:bidi="ar"/>
              </w:rPr>
              <w:t>4</w:t>
            </w:r>
          </w:p>
        </w:tc>
        <w:tc>
          <w:tcPr>
            <w:tcW w:w="54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方正仿宋_GB2312" w:cs="Times New Roman"/>
                <w:i w:val="0"/>
                <w:iCs w:val="0"/>
                <w:color w:val="000000"/>
                <w:sz w:val="20"/>
                <w:szCs w:val="20"/>
                <w:highlight w:val="none"/>
                <w:u w:val="none"/>
              </w:rPr>
            </w:pPr>
            <w:r>
              <w:rPr>
                <w:rFonts w:hint="default" w:ascii="Times New Roman" w:hAnsi="Times New Roman" w:eastAsia="方正仿宋_GB2312" w:cs="Times New Roman"/>
                <w:i w:val="0"/>
                <w:iCs w:val="0"/>
                <w:color w:val="000000"/>
                <w:kern w:val="0"/>
                <w:sz w:val="20"/>
                <w:szCs w:val="20"/>
                <w:highlight w:val="none"/>
                <w:u w:val="none"/>
                <w:lang w:val="en-US" w:eastAsia="zh-CN" w:bidi="ar"/>
              </w:rPr>
              <w:t>5</w:t>
            </w:r>
          </w:p>
        </w:tc>
        <w:tc>
          <w:tcPr>
            <w:tcW w:w="97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方正仿宋_GB2312" w:cs="Times New Roman"/>
                <w:i w:val="0"/>
                <w:iCs w:val="0"/>
                <w:color w:val="000000"/>
                <w:sz w:val="20"/>
                <w:szCs w:val="20"/>
                <w:highlight w:val="none"/>
                <w:u w:val="none"/>
                <w:lang w:val="en-US" w:eastAsia="zh-CN"/>
              </w:rPr>
            </w:pPr>
            <w:r>
              <w:rPr>
                <w:rFonts w:hint="default" w:ascii="Times New Roman" w:hAnsi="Times New Roman" w:eastAsia="方正仿宋_GB2312" w:cs="Times New Roman"/>
                <w:i w:val="0"/>
                <w:iCs w:val="0"/>
                <w:color w:val="000000"/>
                <w:sz w:val="20"/>
                <w:szCs w:val="20"/>
                <w:highlight w:val="none"/>
                <w:u w:val="none"/>
                <w:lang w:val="en-US" w:eastAsia="zh-CN"/>
              </w:rPr>
              <w:t>6</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69" w:hRule="atLeast"/>
        </w:trPr>
        <w:tc>
          <w:tcPr>
            <w:tcW w:w="1304"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合计</w:t>
            </w:r>
          </w:p>
        </w:tc>
        <w:tc>
          <w:tcPr>
            <w:tcW w:w="62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4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528"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534"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54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97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5000" w:type="pct"/>
            <w:gridSpan w:val="9"/>
            <w:tcBorders>
              <w:top w:val="single" w:color="000000" w:themeColor="text1" w:sz="8" w:space="0"/>
              <w:left w:val="nil"/>
              <w:bottom w:val="nil"/>
              <w:right w:val="nil"/>
            </w:tcBorders>
            <w:noWrap/>
            <w:vAlign w:val="center"/>
          </w:tcPr>
          <w:p>
            <w:pPr>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注：本表反映部门本年度政府性基金预算财政拨款收入、支出及结转和结余情况。（如无相关数据，则需注明空表列示）</w:t>
            </w: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br w:type="page"/>
            </w:r>
          </w:p>
        </w:tc>
      </w:tr>
    </w:tbl>
    <w:p>
      <w:pPr>
        <w:keepNext w:val="0"/>
        <w:keepLines w:val="0"/>
        <w:pageBreakBefore w:val="0"/>
        <w:widowControl w:val="0"/>
        <w:kinsoku/>
        <w:wordWrap/>
        <w:overflowPunct/>
        <w:topLinePunct w:val="0"/>
        <w:autoSpaceDE/>
        <w:autoSpaceDN/>
        <w:bidi w:val="0"/>
        <w:adjustRightInd/>
        <w:snapToGrid/>
        <w:spacing w:line="240" w:lineRule="auto"/>
        <w:jc w:val="both"/>
        <w:textAlignment w:val="auto"/>
        <w:outlineLvl w:val="9"/>
        <w:rPr>
          <w:rFonts w:hint="eastAsia" w:ascii="仿宋_GB2312" w:hAnsi="宋体" w:eastAsia="仿宋_GB2312"/>
          <w:b/>
          <w:color w:val="auto"/>
          <w:kern w:val="0"/>
          <w:sz w:val="32"/>
          <w:szCs w:val="32"/>
          <w:highlight w:val="none"/>
        </w:rPr>
      </w:pPr>
    </w:p>
    <w:p>
      <w:pPr>
        <w:rPr>
          <w:rFonts w:hint="eastAsia" w:ascii="仿宋_GB2312" w:hAnsi="宋体" w:eastAsia="仿宋_GB2312"/>
          <w:b/>
          <w:color w:val="auto"/>
          <w:kern w:val="0"/>
          <w:sz w:val="32"/>
          <w:szCs w:val="32"/>
          <w:highlight w:val="none"/>
        </w:rPr>
      </w:pPr>
      <w:r>
        <w:rPr>
          <w:rFonts w:hint="eastAsia" w:ascii="仿宋_GB2312" w:hAnsi="宋体" w:eastAsia="仿宋_GB2312"/>
          <w:b/>
          <w:color w:val="auto"/>
          <w:kern w:val="0"/>
          <w:sz w:val="32"/>
          <w:szCs w:val="32"/>
          <w:highlight w:val="none"/>
        </w:rPr>
        <w:br w:type="page"/>
      </w:r>
    </w:p>
    <w:tbl>
      <w:tblPr>
        <w:tblStyle w:val="11"/>
        <w:tblW w:w="5863" w:type="pct"/>
        <w:tblInd w:w="-976"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2993"/>
        <w:gridCol w:w="731"/>
        <w:gridCol w:w="1296"/>
        <w:gridCol w:w="1332"/>
        <w:gridCol w:w="5"/>
        <w:gridCol w:w="47"/>
        <w:gridCol w:w="1281"/>
        <w:gridCol w:w="10"/>
        <w:gridCol w:w="1733"/>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50" w:hRule="atLeast"/>
        </w:trPr>
        <w:tc>
          <w:tcPr>
            <w:tcW w:w="5000" w:type="pct"/>
            <w:gridSpan w:val="9"/>
            <w:tcBorders>
              <w:top w:val="nil"/>
              <w:left w:val="nil"/>
              <w:bottom w:val="nil"/>
              <w:right w:val="nil"/>
            </w:tcBorders>
            <w:noWrap/>
            <w:vAlign w:val="bottom"/>
          </w:tcPr>
          <w:p>
            <w:pPr>
              <w:keepNext w:val="0"/>
              <w:keepLines w:val="0"/>
              <w:widowControl/>
              <w:suppressLineNumbers w:val="0"/>
              <w:jc w:val="center"/>
              <w:textAlignment w:val="bottom"/>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b w:val="0"/>
                <w:bCs/>
                <w:color w:val="auto"/>
                <w:kern w:val="0"/>
                <w:sz w:val="32"/>
                <w:szCs w:val="32"/>
                <w:highlight w:val="none"/>
                <w:lang w:val="en-US" w:eastAsia="zh-CN"/>
              </w:rPr>
              <w:t>国有资本经营预算财政拨款支出决算表</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5000" w:type="pct"/>
            <w:gridSpan w:val="9"/>
            <w:tcBorders>
              <w:top w:val="nil"/>
              <w:left w:val="nil"/>
              <w:bottom w:val="nil"/>
              <w:right w:val="nil"/>
            </w:tcBorders>
            <w:noWrap/>
            <w:vAlign w:val="bottom"/>
          </w:tcPr>
          <w:p>
            <w:pPr>
              <w:keepNext w:val="0"/>
              <w:keepLines w:val="0"/>
              <w:widowControl/>
              <w:suppressLineNumbers w:val="0"/>
              <w:jc w:val="right"/>
              <w:textAlignment w:val="bottom"/>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公开</w:t>
            </w:r>
            <w:r>
              <w:rPr>
                <w:rFonts w:hint="default" w:ascii="Times New Roman" w:hAnsi="Times New Roman" w:eastAsia="方正仿宋_GB2312" w:cs="Times New Roman"/>
                <w:i w:val="0"/>
                <w:iCs w:val="0"/>
                <w:color w:val="000000"/>
                <w:kern w:val="0"/>
                <w:sz w:val="20"/>
                <w:szCs w:val="20"/>
                <w:highlight w:val="none"/>
                <w:u w:val="none"/>
                <w:lang w:val="en-US" w:eastAsia="zh-CN" w:bidi="ar"/>
              </w:rPr>
              <w:t>08</w:t>
            </w: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表</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1974" w:type="pct"/>
            <w:gridSpan w:val="2"/>
            <w:tcBorders>
              <w:top w:val="nil"/>
              <w:left w:val="nil"/>
              <w:bottom w:val="single" w:color="000000" w:themeColor="text1" w:sz="8" w:space="0"/>
              <w:right w:val="nil"/>
            </w:tcBorders>
            <w:noWrap/>
            <w:vAlign w:val="bottom"/>
          </w:tcPr>
          <w:p>
            <w:pPr>
              <w:keepNext w:val="0"/>
              <w:keepLines w:val="0"/>
              <w:widowControl/>
              <w:suppressLineNumbers w:val="0"/>
              <w:jc w:val="both"/>
              <w:textAlignment w:val="bottom"/>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部门（单位）：中国人民政治协商会议无极县委员会办公室(本级)</w:t>
            </w:r>
          </w:p>
        </w:tc>
        <w:tc>
          <w:tcPr>
            <w:tcW w:w="1421" w:type="pct"/>
            <w:gridSpan w:val="4"/>
            <w:tcBorders>
              <w:top w:val="nil"/>
              <w:left w:val="nil"/>
              <w:bottom w:val="single" w:color="000000" w:themeColor="text1" w:sz="8" w:space="0"/>
              <w:right w:val="nil"/>
            </w:tcBorders>
            <w:noWrap/>
            <w:vAlign w:val="bottom"/>
          </w:tcPr>
          <w:p>
            <w:pPr>
              <w:keepNext w:val="0"/>
              <w:keepLines w:val="0"/>
              <w:widowControl/>
              <w:suppressLineNumbers w:val="0"/>
              <w:jc w:val="center"/>
              <w:textAlignment w:val="bottom"/>
              <w:rPr>
                <w:rFonts w:hint="default" w:ascii="宋体" w:hAnsi="宋体" w:eastAsia="宋体" w:cs="宋体"/>
                <w:i w:val="0"/>
                <w:iCs w:val="0"/>
                <w:color w:val="000000"/>
                <w:kern w:val="0"/>
                <w:sz w:val="20"/>
                <w:szCs w:val="20"/>
                <w:highlight w:val="none"/>
                <w:u w:val="none"/>
                <w:lang w:val="en-US" w:eastAsia="zh-CN" w:bidi="ar"/>
              </w:rPr>
            </w:pPr>
            <w:r>
              <w:rPr>
                <w:rFonts w:hint="default" w:ascii="Times New Roman" w:hAnsi="Times New Roman" w:eastAsia="宋体" w:cs="Times New Roman"/>
                <w:i w:val="0"/>
                <w:iCs w:val="0"/>
                <w:color w:val="000000"/>
                <w:kern w:val="0"/>
                <w:sz w:val="20"/>
                <w:szCs w:val="20"/>
                <w:highlight w:val="none"/>
                <w:u w:val="none"/>
                <w:lang w:val="en-US" w:eastAsia="zh-CN" w:bidi="ar"/>
              </w:rPr>
              <w:t>202</w:t>
            </w:r>
            <w:r>
              <w:rPr>
                <w:rFonts w:hint="eastAsia" w:ascii="Times New Roman" w:hAnsi="Times New Roman" w:eastAsia="宋体" w:cs="Times New Roman"/>
                <w:i w:val="0"/>
                <w:iCs w:val="0"/>
                <w:color w:val="000000"/>
                <w:kern w:val="0"/>
                <w:sz w:val="20"/>
                <w:szCs w:val="20"/>
                <w:highlight w:val="none"/>
                <w:u w:val="none"/>
                <w:lang w:val="en-US" w:eastAsia="zh-CN" w:bidi="ar"/>
              </w:rPr>
              <w:t>5</w:t>
            </w: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年度</w:t>
            </w:r>
          </w:p>
        </w:tc>
        <w:tc>
          <w:tcPr>
            <w:tcW w:w="1603" w:type="pct"/>
            <w:gridSpan w:val="3"/>
            <w:tcBorders>
              <w:top w:val="nil"/>
              <w:left w:val="nil"/>
              <w:bottom w:val="single" w:color="000000" w:themeColor="text1" w:sz="8" w:space="0"/>
              <w:right w:val="nil"/>
            </w:tcBorders>
            <w:noWrap/>
            <w:vAlign w:val="bottom"/>
          </w:tcPr>
          <w:p>
            <w:pPr>
              <w:keepNext w:val="0"/>
              <w:keepLines w:val="0"/>
              <w:widowControl/>
              <w:suppressLineNumbers w:val="0"/>
              <w:jc w:val="right"/>
              <w:textAlignment w:val="bottom"/>
              <w:rPr>
                <w:rFonts w:hint="default" w:ascii="宋体" w:hAnsi="宋体" w:eastAsia="宋体" w:cs="宋体"/>
                <w:i w:val="0"/>
                <w:iCs w:val="0"/>
                <w:color w:val="000000"/>
                <w:kern w:val="0"/>
                <w:sz w:val="20"/>
                <w:szCs w:val="20"/>
                <w:highlight w:val="none"/>
                <w:u w:val="none"/>
                <w:lang w:val="en-US" w:eastAsia="zh-CN" w:bidi="ar"/>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金额单位：万元</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trPr>
        <w:tc>
          <w:tcPr>
            <w:tcW w:w="2662" w:type="pct"/>
            <w:gridSpan w:val="3"/>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keepNext w:val="0"/>
              <w:keepLines w:val="0"/>
              <w:widowControl/>
              <w:suppressLineNumbers w:val="0"/>
              <w:jc w:val="center"/>
              <w:textAlignment w:val="center"/>
              <w:rPr>
                <w:rFonts w:hint="default" w:ascii="方正仿宋_GB2312" w:hAnsi="方正仿宋_GB2312" w:eastAsia="方正仿宋_GB2312" w:cs="方正仿宋_GB2312"/>
                <w:i w:val="0"/>
                <w:iCs w:val="0"/>
                <w:color w:val="000000"/>
                <w:sz w:val="20"/>
                <w:szCs w:val="20"/>
                <w:highlight w:val="none"/>
                <w:u w:val="none"/>
                <w:lang w:val="en-US" w:eastAsia="zh-CN"/>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 xml:space="preserve"> 项目</w:t>
            </w:r>
          </w:p>
        </w:tc>
        <w:tc>
          <w:tcPr>
            <w:tcW w:w="2337" w:type="pct"/>
            <w:gridSpan w:val="6"/>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keepNext w:val="0"/>
              <w:keepLines w:val="0"/>
              <w:widowControl/>
              <w:suppressLineNumbers w:val="0"/>
              <w:jc w:val="center"/>
              <w:textAlignment w:val="center"/>
              <w:rPr>
                <w:rFonts w:hint="default" w:ascii="方正仿宋_GB2312" w:hAnsi="方正仿宋_GB2312" w:eastAsia="方正仿宋_GB2312" w:cs="方正仿宋_GB2312"/>
                <w:i w:val="0"/>
                <w:iCs w:val="0"/>
                <w:color w:val="000000"/>
                <w:sz w:val="20"/>
                <w:szCs w:val="20"/>
                <w:highlight w:val="none"/>
                <w:u w:val="none"/>
                <w:lang w:val="en-US" w:eastAsia="zh-CN"/>
              </w:rPr>
            </w:pPr>
            <w:r>
              <w:rPr>
                <w:rFonts w:hint="eastAsia" w:ascii="方正仿宋_GB2312" w:hAnsi="方正仿宋_GB2312" w:eastAsia="方正仿宋_GB2312" w:cs="方正仿宋_GB2312"/>
                <w:i w:val="0"/>
                <w:iCs w:val="0"/>
                <w:color w:val="000000"/>
                <w:sz w:val="20"/>
                <w:szCs w:val="20"/>
                <w:highlight w:val="none"/>
                <w:u w:val="none"/>
                <w:lang w:val="en-US" w:eastAsia="zh-CN"/>
              </w:rPr>
              <w:t>本年支出</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trPr>
        <w:tc>
          <w:tcPr>
            <w:tcW w:w="2662" w:type="pct"/>
            <w:gridSpan w:val="3"/>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p>
        </w:tc>
        <w:tc>
          <w:tcPr>
            <w:tcW w:w="2337" w:type="pct"/>
            <w:gridSpan w:val="6"/>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trPr>
        <w:tc>
          <w:tcPr>
            <w:tcW w:w="1587" w:type="pct"/>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jc w:val="center"/>
              <w:rPr>
                <w:rFonts w:hint="default" w:ascii="方正仿宋_GB2312" w:hAnsi="方正仿宋_GB2312" w:eastAsia="方正仿宋_GB2312" w:cs="方正仿宋_GB2312"/>
                <w:i w:val="0"/>
                <w:iCs w:val="0"/>
                <w:color w:val="000000"/>
                <w:sz w:val="20"/>
                <w:szCs w:val="20"/>
                <w:highlight w:val="none"/>
                <w:u w:val="none"/>
                <w:lang w:val="en-US" w:eastAsia="zh-CN"/>
              </w:rPr>
            </w:pPr>
            <w:r>
              <w:rPr>
                <w:rFonts w:hint="eastAsia" w:ascii="方正仿宋_GB2312" w:hAnsi="方正仿宋_GB2312" w:eastAsia="方正仿宋_GB2312" w:cs="方正仿宋_GB2312"/>
                <w:i w:val="0"/>
                <w:iCs w:val="0"/>
                <w:color w:val="000000"/>
                <w:sz w:val="20"/>
                <w:szCs w:val="20"/>
                <w:highlight w:val="none"/>
                <w:u w:val="none"/>
                <w:lang w:val="en-US" w:eastAsia="zh-CN"/>
              </w:rPr>
              <w:t>科目代码</w:t>
            </w:r>
          </w:p>
        </w:tc>
        <w:tc>
          <w:tcPr>
            <w:tcW w:w="1074" w:type="pct"/>
            <w:gridSpan w:val="2"/>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jc w:val="center"/>
              <w:rPr>
                <w:rFonts w:hint="default" w:ascii="方正仿宋_GB2312" w:hAnsi="方正仿宋_GB2312" w:eastAsia="方正仿宋_GB2312" w:cs="方正仿宋_GB2312"/>
                <w:i w:val="0"/>
                <w:iCs w:val="0"/>
                <w:color w:val="000000"/>
                <w:sz w:val="20"/>
                <w:szCs w:val="20"/>
                <w:highlight w:val="none"/>
                <w:u w:val="none"/>
                <w:lang w:val="en-US" w:eastAsia="zh-CN"/>
              </w:rPr>
            </w:pPr>
            <w:r>
              <w:rPr>
                <w:rFonts w:hint="eastAsia" w:ascii="方正仿宋_GB2312" w:hAnsi="方正仿宋_GB2312" w:eastAsia="方正仿宋_GB2312" w:cs="方正仿宋_GB2312"/>
                <w:i w:val="0"/>
                <w:iCs w:val="0"/>
                <w:color w:val="000000"/>
                <w:sz w:val="20"/>
                <w:szCs w:val="20"/>
                <w:highlight w:val="none"/>
                <w:u w:val="none"/>
                <w:lang w:val="en-US" w:eastAsia="zh-CN"/>
              </w:rPr>
              <w:t>科目名称</w:t>
            </w:r>
          </w:p>
        </w:tc>
        <w:tc>
          <w:tcPr>
            <w:tcW w:w="709" w:type="pct"/>
            <w:gridSpan w:val="2"/>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jc w:val="center"/>
              <w:rPr>
                <w:rFonts w:hint="eastAsia" w:ascii="方正仿宋_GB2312" w:hAnsi="方正仿宋_GB2312" w:eastAsia="方正仿宋_GB2312" w:cs="方正仿宋_GB2312"/>
                <w:i w:val="0"/>
                <w:iCs w:val="0"/>
                <w:color w:val="000000"/>
                <w:sz w:val="20"/>
                <w:szCs w:val="20"/>
                <w:highlight w:val="none"/>
                <w:u w:val="none"/>
                <w:lang w:val="en-US" w:eastAsia="zh-CN"/>
              </w:rPr>
            </w:pPr>
            <w:r>
              <w:rPr>
                <w:rFonts w:hint="eastAsia" w:ascii="方正仿宋_GB2312" w:hAnsi="方正仿宋_GB2312" w:eastAsia="方正仿宋_GB2312" w:cs="方正仿宋_GB2312"/>
                <w:i w:val="0"/>
                <w:iCs w:val="0"/>
                <w:color w:val="000000"/>
                <w:sz w:val="20"/>
                <w:szCs w:val="20"/>
                <w:highlight w:val="none"/>
                <w:u w:val="none"/>
                <w:lang w:val="en-US" w:eastAsia="zh-CN"/>
              </w:rPr>
              <w:t>合计</w:t>
            </w:r>
          </w:p>
        </w:tc>
        <w:tc>
          <w:tcPr>
            <w:tcW w:w="709" w:type="pct"/>
            <w:gridSpan w:val="3"/>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jc w:val="center"/>
              <w:rPr>
                <w:rFonts w:hint="default" w:ascii="方正仿宋_GB2312" w:hAnsi="方正仿宋_GB2312" w:eastAsia="方正仿宋_GB2312" w:cs="方正仿宋_GB2312"/>
                <w:i w:val="0"/>
                <w:iCs w:val="0"/>
                <w:color w:val="000000"/>
                <w:sz w:val="20"/>
                <w:szCs w:val="20"/>
                <w:highlight w:val="none"/>
                <w:u w:val="none"/>
                <w:lang w:val="en-US" w:eastAsia="zh-CN"/>
              </w:rPr>
            </w:pPr>
            <w:r>
              <w:rPr>
                <w:rFonts w:hint="eastAsia" w:ascii="方正仿宋_GB2312" w:hAnsi="方正仿宋_GB2312" w:eastAsia="方正仿宋_GB2312" w:cs="方正仿宋_GB2312"/>
                <w:i w:val="0"/>
                <w:iCs w:val="0"/>
                <w:color w:val="000000"/>
                <w:sz w:val="20"/>
                <w:szCs w:val="20"/>
                <w:highlight w:val="none"/>
                <w:u w:val="none"/>
                <w:lang w:val="en-US" w:eastAsia="zh-CN"/>
              </w:rPr>
              <w:t>基本支出</w:t>
            </w:r>
          </w:p>
        </w:tc>
        <w:tc>
          <w:tcPr>
            <w:tcW w:w="919" w:type="pct"/>
            <w:vMerge w:val="restart"/>
            <w:tcBorders>
              <w:top w:val="single" w:color="000000" w:themeColor="text1" w:sz="8" w:space="0"/>
              <w:left w:val="single" w:color="000000" w:themeColor="text1" w:sz="8" w:space="0"/>
              <w:bottom w:val="single" w:color="000000" w:themeColor="text1" w:sz="8" w:space="0"/>
              <w:right w:val="single" w:color="000000" w:sz="4" w:space="0"/>
            </w:tcBorders>
            <w:noWrap w:val="0"/>
            <w:vAlign w:val="center"/>
          </w:tcPr>
          <w:p>
            <w:pPr>
              <w:jc w:val="center"/>
              <w:rPr>
                <w:rFonts w:hint="default" w:ascii="方正仿宋_GB2312" w:hAnsi="方正仿宋_GB2312" w:eastAsia="方正仿宋_GB2312" w:cs="方正仿宋_GB2312"/>
                <w:i w:val="0"/>
                <w:iCs w:val="0"/>
                <w:color w:val="000000"/>
                <w:sz w:val="20"/>
                <w:szCs w:val="20"/>
                <w:highlight w:val="none"/>
                <w:u w:val="none"/>
                <w:lang w:val="en-US" w:eastAsia="zh-CN"/>
              </w:rPr>
            </w:pPr>
            <w:r>
              <w:rPr>
                <w:rFonts w:hint="eastAsia" w:ascii="方正仿宋_GB2312" w:hAnsi="方正仿宋_GB2312" w:eastAsia="方正仿宋_GB2312" w:cs="方正仿宋_GB2312"/>
                <w:i w:val="0"/>
                <w:iCs w:val="0"/>
                <w:color w:val="000000"/>
                <w:sz w:val="20"/>
                <w:szCs w:val="20"/>
                <w:highlight w:val="none"/>
                <w:u w:val="none"/>
                <w:lang w:val="en-US" w:eastAsia="zh-CN"/>
              </w:rPr>
              <w:t>项目支出</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trPr>
        <w:tc>
          <w:tcPr>
            <w:tcW w:w="1587"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jc w:val="center"/>
              <w:rPr>
                <w:rFonts w:hint="eastAsia" w:ascii="方正仿宋_GB2312" w:hAnsi="方正仿宋_GB2312" w:eastAsia="方正仿宋_GB2312" w:cs="方正仿宋_GB2312"/>
                <w:i w:val="0"/>
                <w:iCs w:val="0"/>
                <w:color w:val="000000"/>
                <w:sz w:val="20"/>
                <w:szCs w:val="20"/>
                <w:highlight w:val="none"/>
                <w:u w:val="none"/>
              </w:rPr>
            </w:pPr>
          </w:p>
        </w:tc>
        <w:tc>
          <w:tcPr>
            <w:tcW w:w="1074" w:type="pct"/>
            <w:gridSpan w:val="2"/>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jc w:val="center"/>
              <w:rPr>
                <w:rFonts w:hint="eastAsia" w:ascii="方正仿宋_GB2312" w:hAnsi="方正仿宋_GB2312" w:eastAsia="方正仿宋_GB2312" w:cs="方正仿宋_GB2312"/>
                <w:i w:val="0"/>
                <w:iCs w:val="0"/>
                <w:color w:val="000000"/>
                <w:sz w:val="20"/>
                <w:szCs w:val="20"/>
                <w:highlight w:val="none"/>
                <w:u w:val="none"/>
              </w:rPr>
            </w:pPr>
          </w:p>
        </w:tc>
        <w:tc>
          <w:tcPr>
            <w:tcW w:w="709" w:type="pct"/>
            <w:gridSpan w:val="2"/>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jc w:val="center"/>
              <w:rPr>
                <w:rFonts w:hint="eastAsia" w:ascii="方正仿宋_GB2312" w:hAnsi="方正仿宋_GB2312" w:eastAsia="方正仿宋_GB2312" w:cs="方正仿宋_GB2312"/>
                <w:i w:val="0"/>
                <w:iCs w:val="0"/>
                <w:color w:val="000000"/>
                <w:sz w:val="20"/>
                <w:szCs w:val="20"/>
                <w:highlight w:val="none"/>
                <w:u w:val="none"/>
              </w:rPr>
            </w:pPr>
          </w:p>
        </w:tc>
        <w:tc>
          <w:tcPr>
            <w:tcW w:w="709" w:type="pct"/>
            <w:gridSpan w:val="3"/>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jc w:val="center"/>
              <w:rPr>
                <w:rFonts w:hint="eastAsia" w:ascii="方正仿宋_GB2312" w:hAnsi="方正仿宋_GB2312" w:eastAsia="方正仿宋_GB2312" w:cs="方正仿宋_GB2312"/>
                <w:i w:val="0"/>
                <w:iCs w:val="0"/>
                <w:color w:val="000000"/>
                <w:sz w:val="20"/>
                <w:szCs w:val="20"/>
                <w:highlight w:val="none"/>
                <w:u w:val="none"/>
              </w:rPr>
            </w:pPr>
          </w:p>
        </w:tc>
        <w:tc>
          <w:tcPr>
            <w:tcW w:w="919" w:type="pct"/>
            <w:vMerge w:val="continue"/>
            <w:tcBorders>
              <w:top w:val="single" w:color="000000" w:themeColor="text1" w:sz="8" w:space="0"/>
              <w:left w:val="single" w:color="000000" w:themeColor="text1" w:sz="8" w:space="0"/>
              <w:bottom w:val="single" w:color="000000" w:themeColor="text1" w:sz="8" w:space="0"/>
              <w:right w:val="single" w:color="000000" w:sz="4" w:space="0"/>
            </w:tcBorders>
            <w:noWrap w:val="0"/>
            <w:vAlign w:val="center"/>
          </w:tcPr>
          <w:p>
            <w:pPr>
              <w:jc w:val="center"/>
              <w:rPr>
                <w:rFonts w:hint="eastAsia" w:ascii="方正仿宋_GB2312" w:hAnsi="方正仿宋_GB2312" w:eastAsia="方正仿宋_GB2312" w:cs="方正仿宋_GB2312"/>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2662" w:type="pct"/>
            <w:gridSpan w:val="3"/>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eastAsia" w:ascii="Times New Roman" w:hAnsi="Times New Roman" w:eastAsia="方正仿宋_GB2312" w:cs="Times New Roman"/>
                <w:i w:val="0"/>
                <w:iCs w:val="0"/>
                <w:color w:val="000000"/>
                <w:sz w:val="20"/>
                <w:szCs w:val="20"/>
                <w:highlight w:val="none"/>
                <w:u w:val="none"/>
                <w:lang w:val="en-US" w:eastAsia="zh-CN"/>
              </w:rPr>
            </w:pPr>
            <w:r>
              <w:rPr>
                <w:rFonts w:hint="eastAsia" w:ascii="Times New Roman" w:hAnsi="Times New Roman" w:eastAsia="方正仿宋_GB2312" w:cs="Times New Roman"/>
                <w:i w:val="0"/>
                <w:iCs w:val="0"/>
                <w:color w:val="000000"/>
                <w:sz w:val="20"/>
                <w:szCs w:val="20"/>
                <w:highlight w:val="none"/>
                <w:u w:val="none"/>
                <w:lang w:val="en-US" w:eastAsia="zh-CN"/>
              </w:rPr>
              <w:t>栏次</w:t>
            </w:r>
          </w:p>
        </w:tc>
        <w:tc>
          <w:tcPr>
            <w:tcW w:w="70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eastAsia" w:ascii="Times New Roman" w:hAnsi="Times New Roman" w:eastAsia="方正仿宋_GB2312" w:cs="Times New Roman"/>
                <w:i w:val="0"/>
                <w:iCs w:val="0"/>
                <w:color w:val="000000"/>
                <w:sz w:val="20"/>
                <w:szCs w:val="20"/>
                <w:highlight w:val="none"/>
                <w:u w:val="none"/>
                <w:lang w:val="en-US" w:eastAsia="zh-CN"/>
              </w:rPr>
            </w:pPr>
            <w:r>
              <w:rPr>
                <w:rFonts w:hint="eastAsia" w:ascii="Times New Roman" w:hAnsi="Times New Roman" w:eastAsia="方正仿宋_GB2312" w:cs="Times New Roman"/>
                <w:i w:val="0"/>
                <w:iCs w:val="0"/>
                <w:color w:val="000000"/>
                <w:sz w:val="20"/>
                <w:szCs w:val="20"/>
                <w:highlight w:val="none"/>
                <w:u w:val="none"/>
                <w:lang w:val="en-US" w:eastAsia="zh-CN"/>
              </w:rPr>
              <w:t>1</w:t>
            </w:r>
          </w:p>
        </w:tc>
        <w:tc>
          <w:tcPr>
            <w:tcW w:w="706" w:type="pct"/>
            <w:gridSpan w:val="3"/>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eastAsia" w:ascii="Times New Roman" w:hAnsi="Times New Roman" w:eastAsia="方正仿宋_GB2312" w:cs="Times New Roman"/>
                <w:i w:val="0"/>
                <w:iCs w:val="0"/>
                <w:color w:val="000000"/>
                <w:sz w:val="20"/>
                <w:szCs w:val="20"/>
                <w:highlight w:val="none"/>
                <w:u w:val="none"/>
                <w:lang w:val="en-US" w:eastAsia="zh-CN"/>
              </w:rPr>
            </w:pPr>
            <w:r>
              <w:rPr>
                <w:rFonts w:hint="eastAsia" w:ascii="Times New Roman" w:hAnsi="Times New Roman" w:eastAsia="方正仿宋_GB2312" w:cs="Times New Roman"/>
                <w:i w:val="0"/>
                <w:iCs w:val="0"/>
                <w:color w:val="000000"/>
                <w:sz w:val="20"/>
                <w:szCs w:val="20"/>
                <w:highlight w:val="none"/>
                <w:u w:val="none"/>
                <w:lang w:val="en-US" w:eastAsia="zh-CN"/>
              </w:rPr>
              <w:t>2</w:t>
            </w:r>
          </w:p>
        </w:tc>
        <w:tc>
          <w:tcPr>
            <w:tcW w:w="924" w:type="pct"/>
            <w:gridSpan w:val="2"/>
            <w:tcBorders>
              <w:top w:val="single" w:color="000000" w:themeColor="text1" w:sz="8" w:space="0"/>
              <w:left w:val="single" w:color="000000" w:themeColor="text1" w:sz="8" w:space="0"/>
              <w:bottom w:val="single" w:color="000000" w:themeColor="text1" w:sz="8" w:space="0"/>
              <w:right w:val="single" w:color="000000" w:sz="4" w:space="0"/>
            </w:tcBorders>
            <w:noWrap/>
            <w:vAlign w:val="center"/>
          </w:tcPr>
          <w:p>
            <w:pPr>
              <w:keepNext w:val="0"/>
              <w:keepLines w:val="0"/>
              <w:widowControl/>
              <w:suppressLineNumbers w:val="0"/>
              <w:jc w:val="center"/>
              <w:textAlignment w:val="center"/>
              <w:rPr>
                <w:rFonts w:hint="eastAsia" w:ascii="Times New Roman" w:hAnsi="Times New Roman" w:eastAsia="方正仿宋_GB2312" w:cs="Times New Roman"/>
                <w:i w:val="0"/>
                <w:iCs w:val="0"/>
                <w:color w:val="000000"/>
                <w:sz w:val="20"/>
                <w:szCs w:val="20"/>
                <w:highlight w:val="none"/>
                <w:u w:val="none"/>
                <w:lang w:val="en-US" w:eastAsia="zh-CN"/>
              </w:rPr>
            </w:pPr>
            <w:r>
              <w:rPr>
                <w:rFonts w:hint="eastAsia" w:ascii="Times New Roman" w:hAnsi="Times New Roman" w:eastAsia="方正仿宋_GB2312" w:cs="Times New Roman"/>
                <w:i w:val="0"/>
                <w:iCs w:val="0"/>
                <w:color w:val="000000"/>
                <w:sz w:val="20"/>
                <w:szCs w:val="20"/>
                <w:highlight w:val="none"/>
                <w:u w:val="none"/>
                <w:lang w:val="en-US" w:eastAsia="zh-CN"/>
              </w:rPr>
              <w:t>3</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2662" w:type="pct"/>
            <w:gridSpan w:val="3"/>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center"/>
              <w:rPr>
                <w:rFonts w:hint="default" w:ascii="Times New Roman" w:hAnsi="Times New Roman" w:eastAsia="宋体" w:cs="Times New Roman"/>
                <w:i w:val="0"/>
                <w:iCs w:val="0"/>
                <w:color w:val="000000"/>
                <w:sz w:val="20"/>
                <w:szCs w:val="20"/>
                <w:highlight w:val="none"/>
                <w:u w:val="none"/>
                <w:lang w:val="en-US" w:eastAsia="zh-CN"/>
              </w:rPr>
            </w:pPr>
            <w:r>
              <w:rPr>
                <w:rFonts w:hint="eastAsia" w:ascii="Times New Roman" w:hAnsi="Times New Roman" w:eastAsia="方正仿宋_GB2312" w:cs="Times New Roman"/>
                <w:i w:val="0"/>
                <w:iCs w:val="0"/>
                <w:color w:val="000000"/>
                <w:sz w:val="20"/>
                <w:szCs w:val="20"/>
                <w:highlight w:val="none"/>
                <w:u w:val="none"/>
                <w:lang w:val="en-US" w:eastAsia="zh-CN"/>
              </w:rPr>
              <w:t>合计</w:t>
            </w:r>
          </w:p>
        </w:tc>
        <w:tc>
          <w:tcPr>
            <w:tcW w:w="70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706" w:type="pct"/>
            <w:gridSpan w:val="3"/>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924" w:type="pct"/>
            <w:gridSpan w:val="2"/>
            <w:tcBorders>
              <w:top w:val="single" w:color="000000" w:themeColor="text1" w:sz="8" w:space="0"/>
              <w:left w:val="single" w:color="000000" w:themeColor="text1" w:sz="8" w:space="0"/>
              <w:bottom w:val="single" w:color="000000" w:themeColor="text1" w:sz="8" w:space="0"/>
              <w:right w:val="single" w:color="000000" w:sz="4"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5000" w:type="pct"/>
            <w:gridSpan w:val="9"/>
            <w:tcBorders>
              <w:top w:val="single" w:color="000000" w:themeColor="text1" w:sz="8" w:space="0"/>
              <w:left w:val="nil"/>
              <w:bottom w:val="nil"/>
              <w:right w:val="nil"/>
            </w:tcBorders>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注：本表反映部门本年度国有资本经营预算财政拨款支出情况。（如无相关数据，则需注明空表列示）</w:t>
            </w:r>
          </w:p>
        </w:tc>
      </w:tr>
    </w:tbl>
    <w:p>
      <w:pPr>
        <w:keepNext w:val="0"/>
        <w:keepLines w:val="0"/>
        <w:pageBreakBefore w:val="0"/>
        <w:widowControl w:val="0"/>
        <w:kinsoku/>
        <w:wordWrap/>
        <w:overflowPunct/>
        <w:topLinePunct w:val="0"/>
        <w:autoSpaceDE/>
        <w:autoSpaceDN/>
        <w:bidi w:val="0"/>
        <w:adjustRightInd/>
        <w:snapToGrid/>
        <w:spacing w:line="240" w:lineRule="auto"/>
        <w:jc w:val="both"/>
        <w:textAlignment w:val="auto"/>
        <w:outlineLvl w:val="9"/>
        <w:rPr>
          <w:rFonts w:hint="eastAsia" w:ascii="仿宋_GB2312" w:hAnsi="宋体" w:eastAsia="仿宋_GB2312"/>
          <w:b/>
          <w:color w:val="auto"/>
          <w:kern w:val="0"/>
          <w:sz w:val="32"/>
          <w:szCs w:val="32"/>
          <w:highlight w:val="none"/>
        </w:rPr>
      </w:pPr>
    </w:p>
    <w:p>
      <w:pPr>
        <w:rPr>
          <w:rFonts w:hint="eastAsia" w:ascii="仿宋_GB2312" w:hAnsi="宋体" w:eastAsia="仿宋_GB2312"/>
          <w:b/>
          <w:color w:val="auto"/>
          <w:kern w:val="0"/>
          <w:sz w:val="32"/>
          <w:szCs w:val="32"/>
          <w:highlight w:val="none"/>
        </w:rPr>
      </w:pPr>
      <w:r>
        <w:rPr>
          <w:rFonts w:hint="eastAsia" w:ascii="仿宋_GB2312" w:hAnsi="宋体" w:eastAsia="仿宋_GB2312"/>
          <w:b/>
          <w:color w:val="auto"/>
          <w:kern w:val="0"/>
          <w:sz w:val="32"/>
          <w:szCs w:val="32"/>
          <w:highlight w:val="none"/>
        </w:rPr>
        <w:br w:type="page"/>
      </w:r>
    </w:p>
    <w:tbl>
      <w:tblPr>
        <w:tblStyle w:val="11"/>
        <w:tblpPr w:leftFromText="180" w:rightFromText="180" w:vertAnchor="text" w:horzAnchor="page" w:tblpX="282" w:tblpY="39"/>
        <w:tblOverlap w:val="never"/>
        <w:tblW w:w="7211" w:type="pct"/>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987"/>
        <w:gridCol w:w="1226"/>
        <w:gridCol w:w="814"/>
        <w:gridCol w:w="946"/>
        <w:gridCol w:w="519"/>
        <w:gridCol w:w="544"/>
        <w:gridCol w:w="777"/>
        <w:gridCol w:w="845"/>
        <w:gridCol w:w="5"/>
        <w:gridCol w:w="1133"/>
        <w:gridCol w:w="640"/>
        <w:gridCol w:w="1027"/>
        <w:gridCol w:w="946"/>
        <w:gridCol w:w="1187"/>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50" w:hRule="atLeast"/>
        </w:trPr>
        <w:tc>
          <w:tcPr>
            <w:tcW w:w="5000" w:type="pct"/>
            <w:gridSpan w:val="14"/>
            <w:tcBorders>
              <w:top w:val="nil"/>
              <w:left w:val="nil"/>
              <w:bottom w:val="nil"/>
              <w:right w:val="nil"/>
            </w:tcBorders>
            <w:noWrap/>
            <w:vAlign w:val="bottom"/>
          </w:tcPr>
          <w:p>
            <w:pPr>
              <w:keepNext w:val="0"/>
              <w:keepLines w:val="0"/>
              <w:widowControl/>
              <w:suppressLineNumbers w:val="0"/>
              <w:jc w:val="center"/>
              <w:textAlignment w:val="bottom"/>
              <w:rPr>
                <w:rFonts w:hint="eastAsia" w:ascii="宋体" w:hAnsi="宋体" w:eastAsia="宋体" w:cs="宋体"/>
                <w:i w:val="0"/>
                <w:iCs w:val="0"/>
                <w:color w:val="000000"/>
                <w:sz w:val="18"/>
                <w:szCs w:val="18"/>
                <w:highlight w:val="none"/>
                <w:u w:val="none"/>
              </w:rPr>
            </w:pPr>
            <w:r>
              <w:rPr>
                <w:rFonts w:hint="eastAsia" w:ascii="方正仿宋_GB2312" w:hAnsi="方正仿宋_GB2312" w:eastAsia="方正仿宋_GB2312" w:cs="方正仿宋_GB2312"/>
                <w:b w:val="0"/>
                <w:bCs/>
                <w:color w:val="auto"/>
                <w:kern w:val="0"/>
                <w:sz w:val="32"/>
                <w:szCs w:val="32"/>
                <w:highlight w:val="none"/>
                <w:lang w:val="en-US" w:eastAsia="zh-CN"/>
              </w:rPr>
              <w:t>财政拨款“三公”经费支出决算表</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60" w:hRule="atLeast"/>
        </w:trPr>
        <w:tc>
          <w:tcPr>
            <w:tcW w:w="5000" w:type="pct"/>
            <w:gridSpan w:val="14"/>
            <w:tcBorders>
              <w:top w:val="nil"/>
              <w:left w:val="nil"/>
              <w:bottom w:val="nil"/>
              <w:right w:val="nil"/>
            </w:tcBorders>
            <w:noWrap/>
            <w:vAlign w:val="bottom"/>
          </w:tcPr>
          <w:p>
            <w:pPr>
              <w:keepNext w:val="0"/>
              <w:keepLines w:val="0"/>
              <w:widowControl/>
              <w:suppressLineNumbers w:val="0"/>
              <w:jc w:val="right"/>
              <w:textAlignment w:val="bottom"/>
              <w:rPr>
                <w:rFonts w:hint="eastAsia" w:ascii="宋体" w:hAnsi="宋体" w:eastAsia="宋体" w:cs="宋体"/>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公开</w:t>
            </w:r>
            <w:r>
              <w:rPr>
                <w:rFonts w:hint="default" w:ascii="Times New Roman" w:hAnsi="Times New Roman" w:eastAsia="方正仿宋_GB2312" w:cs="Times New Roman"/>
                <w:i w:val="0"/>
                <w:iCs w:val="0"/>
                <w:color w:val="000000"/>
                <w:kern w:val="0"/>
                <w:sz w:val="18"/>
                <w:szCs w:val="18"/>
                <w:highlight w:val="none"/>
                <w:u w:val="none"/>
                <w:lang w:val="en-US" w:eastAsia="zh-CN" w:bidi="ar"/>
              </w:rPr>
              <w:t>09</w:t>
            </w: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表</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60" w:hRule="atLeast"/>
        </w:trPr>
        <w:tc>
          <w:tcPr>
            <w:tcW w:w="1936" w:type="pct"/>
            <w:gridSpan w:val="5"/>
            <w:tcBorders>
              <w:top w:val="nil"/>
              <w:left w:val="nil"/>
              <w:bottom w:val="single" w:color="000000" w:themeColor="text1" w:sz="8" w:space="0"/>
              <w:right w:val="nil"/>
            </w:tcBorders>
            <w:noWrap/>
            <w:vAlign w:val="bottom"/>
          </w:tcPr>
          <w:p>
            <w:pPr>
              <w:keepNext w:val="0"/>
              <w:keepLines w:val="0"/>
              <w:widowControl/>
              <w:suppressLineNumbers w:val="0"/>
              <w:jc w:val="left"/>
              <w:textAlignment w:val="bottom"/>
              <w:rPr>
                <w:rFonts w:hint="eastAsia" w:ascii="宋体" w:hAnsi="宋体" w:eastAsia="宋体" w:cs="宋体"/>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部门（单位）：中国人民政治协商会议无极县委员会办公室(本级)</w:t>
            </w:r>
          </w:p>
        </w:tc>
        <w:tc>
          <w:tcPr>
            <w:tcW w:w="933" w:type="pct"/>
            <w:gridSpan w:val="3"/>
            <w:tcBorders>
              <w:top w:val="nil"/>
              <w:left w:val="nil"/>
              <w:bottom w:val="single" w:color="000000" w:themeColor="text1" w:sz="8" w:space="0"/>
              <w:right w:val="nil"/>
            </w:tcBorders>
            <w:noWrap/>
            <w:vAlign w:val="bottom"/>
          </w:tcPr>
          <w:p>
            <w:pPr>
              <w:keepNext w:val="0"/>
              <w:keepLines w:val="0"/>
              <w:widowControl/>
              <w:suppressLineNumbers w:val="0"/>
              <w:jc w:val="center"/>
              <w:textAlignment w:val="bottom"/>
              <w:rPr>
                <w:rFonts w:hint="default" w:ascii="宋体" w:hAnsi="宋体" w:eastAsia="宋体" w:cs="宋体"/>
                <w:i w:val="0"/>
                <w:iCs w:val="0"/>
                <w:color w:val="000000"/>
                <w:kern w:val="0"/>
                <w:sz w:val="18"/>
                <w:szCs w:val="18"/>
                <w:highlight w:val="none"/>
                <w:u w:val="none"/>
                <w:lang w:val="en-US" w:eastAsia="zh-CN" w:bidi="ar"/>
              </w:rPr>
            </w:pPr>
            <w:r>
              <w:rPr>
                <w:rFonts w:hint="default" w:ascii="Times New Roman" w:hAnsi="Times New Roman" w:eastAsia="宋体" w:cs="Times New Roman"/>
                <w:i w:val="0"/>
                <w:iCs w:val="0"/>
                <w:color w:val="000000"/>
                <w:kern w:val="0"/>
                <w:sz w:val="18"/>
                <w:szCs w:val="18"/>
                <w:highlight w:val="none"/>
                <w:u w:val="none"/>
                <w:lang w:val="en-US" w:eastAsia="zh-CN" w:bidi="ar"/>
              </w:rPr>
              <w:t>202</w:t>
            </w:r>
            <w:r>
              <w:rPr>
                <w:rFonts w:hint="eastAsia" w:ascii="Times New Roman" w:hAnsi="Times New Roman" w:eastAsia="宋体" w:cs="Times New Roman"/>
                <w:i w:val="0"/>
                <w:iCs w:val="0"/>
                <w:color w:val="000000"/>
                <w:kern w:val="0"/>
                <w:sz w:val="18"/>
                <w:szCs w:val="18"/>
                <w:highlight w:val="none"/>
                <w:u w:val="none"/>
                <w:lang w:val="en-US" w:eastAsia="zh-CN" w:bidi="ar"/>
              </w:rPr>
              <w:t>5</w:t>
            </w: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年度</w:t>
            </w:r>
          </w:p>
        </w:tc>
        <w:tc>
          <w:tcPr>
            <w:tcW w:w="2129" w:type="pct"/>
            <w:gridSpan w:val="6"/>
            <w:tcBorders>
              <w:top w:val="nil"/>
              <w:left w:val="nil"/>
              <w:bottom w:val="single" w:color="000000" w:themeColor="text1" w:sz="8" w:space="0"/>
              <w:right w:val="nil"/>
            </w:tcBorders>
            <w:noWrap/>
            <w:vAlign w:val="bottom"/>
          </w:tcPr>
          <w:p>
            <w:pPr>
              <w:keepNext w:val="0"/>
              <w:keepLines w:val="0"/>
              <w:widowControl/>
              <w:suppressLineNumbers w:val="0"/>
              <w:jc w:val="right"/>
              <w:textAlignment w:val="bottom"/>
              <w:rPr>
                <w:rFonts w:hint="default" w:ascii="宋体" w:hAnsi="宋体" w:eastAsia="宋体" w:cs="宋体"/>
                <w:i w:val="0"/>
                <w:iCs w:val="0"/>
                <w:color w:val="000000"/>
                <w:kern w:val="0"/>
                <w:sz w:val="18"/>
                <w:szCs w:val="18"/>
                <w:highlight w:val="none"/>
                <w:u w:val="none"/>
                <w:lang w:val="en-US" w:eastAsia="zh-CN" w:bidi="ar"/>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金额单位：万元</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31" w:hRule="atLeast"/>
        </w:trPr>
        <w:tc>
          <w:tcPr>
            <w:tcW w:w="2506" w:type="pct"/>
            <w:gridSpan w:val="7"/>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预算数</w:t>
            </w:r>
          </w:p>
        </w:tc>
        <w:tc>
          <w:tcPr>
            <w:tcW w:w="2493" w:type="pct"/>
            <w:gridSpan w:val="7"/>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决算数</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31" w:hRule="atLeast"/>
        </w:trPr>
        <w:tc>
          <w:tcPr>
            <w:tcW w:w="425" w:type="pct"/>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合计</w:t>
            </w:r>
          </w:p>
        </w:tc>
        <w:tc>
          <w:tcPr>
            <w:tcW w:w="528" w:type="pct"/>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因公出国（境）费</w:t>
            </w:r>
          </w:p>
        </w:tc>
        <w:tc>
          <w:tcPr>
            <w:tcW w:w="1217" w:type="pct"/>
            <w:gridSpan w:val="4"/>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公务用车购置及运行维护费</w:t>
            </w:r>
          </w:p>
        </w:tc>
        <w:tc>
          <w:tcPr>
            <w:tcW w:w="335" w:type="pct"/>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公务接待费</w:t>
            </w:r>
          </w:p>
        </w:tc>
        <w:tc>
          <w:tcPr>
            <w:tcW w:w="366" w:type="pct"/>
            <w:gridSpan w:val="2"/>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合计</w:t>
            </w:r>
          </w:p>
        </w:tc>
        <w:tc>
          <w:tcPr>
            <w:tcW w:w="488" w:type="pct"/>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因公出国（境）费</w:t>
            </w:r>
          </w:p>
        </w:tc>
        <w:tc>
          <w:tcPr>
            <w:tcW w:w="1126" w:type="pct"/>
            <w:gridSpan w:val="3"/>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公务用车购置及运行维护费</w:t>
            </w:r>
          </w:p>
        </w:tc>
        <w:tc>
          <w:tcPr>
            <w:tcW w:w="511" w:type="pct"/>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公务接待费</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31" w:hRule="atLeast"/>
        </w:trPr>
        <w:tc>
          <w:tcPr>
            <w:tcW w:w="425"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center"/>
              <w:rPr>
                <w:rFonts w:hint="eastAsia" w:ascii="方正仿宋_GB2312" w:hAnsi="方正仿宋_GB2312" w:eastAsia="方正仿宋_GB2312" w:cs="方正仿宋_GB2312"/>
                <w:i w:val="0"/>
                <w:iCs w:val="0"/>
                <w:color w:val="000000"/>
                <w:sz w:val="18"/>
                <w:szCs w:val="18"/>
                <w:highlight w:val="none"/>
                <w:u w:val="none"/>
              </w:rPr>
            </w:pPr>
          </w:p>
        </w:tc>
        <w:tc>
          <w:tcPr>
            <w:tcW w:w="528"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center"/>
              <w:rPr>
                <w:rFonts w:hint="eastAsia" w:ascii="方正仿宋_GB2312" w:hAnsi="方正仿宋_GB2312" w:eastAsia="方正仿宋_GB2312" w:cs="方正仿宋_GB2312"/>
                <w:i w:val="0"/>
                <w:iCs w:val="0"/>
                <w:color w:val="000000"/>
                <w:sz w:val="18"/>
                <w:szCs w:val="18"/>
                <w:highlight w:val="none"/>
                <w:u w:val="none"/>
              </w:rPr>
            </w:pPr>
          </w:p>
        </w:tc>
        <w:tc>
          <w:tcPr>
            <w:tcW w:w="35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小计</w:t>
            </w:r>
          </w:p>
        </w:tc>
        <w:tc>
          <w:tcPr>
            <w:tcW w:w="40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公务用车购置费</w:t>
            </w:r>
          </w:p>
        </w:tc>
        <w:tc>
          <w:tcPr>
            <w:tcW w:w="458"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公务用车运行维护费</w:t>
            </w:r>
          </w:p>
        </w:tc>
        <w:tc>
          <w:tcPr>
            <w:tcW w:w="335"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center"/>
              <w:rPr>
                <w:rFonts w:hint="eastAsia" w:ascii="方正仿宋_GB2312" w:hAnsi="方正仿宋_GB2312" w:eastAsia="方正仿宋_GB2312" w:cs="方正仿宋_GB2312"/>
                <w:i w:val="0"/>
                <w:iCs w:val="0"/>
                <w:color w:val="000000"/>
                <w:sz w:val="18"/>
                <w:szCs w:val="18"/>
                <w:highlight w:val="none"/>
                <w:u w:val="none"/>
              </w:rPr>
            </w:pPr>
          </w:p>
        </w:tc>
        <w:tc>
          <w:tcPr>
            <w:tcW w:w="366" w:type="pct"/>
            <w:gridSpan w:val="2"/>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center"/>
              <w:rPr>
                <w:rFonts w:hint="eastAsia" w:ascii="方正仿宋_GB2312" w:hAnsi="方正仿宋_GB2312" w:eastAsia="方正仿宋_GB2312" w:cs="方正仿宋_GB2312"/>
                <w:i w:val="0"/>
                <w:iCs w:val="0"/>
                <w:color w:val="000000"/>
                <w:sz w:val="18"/>
                <w:szCs w:val="18"/>
                <w:highlight w:val="none"/>
                <w:u w:val="none"/>
              </w:rPr>
            </w:pPr>
          </w:p>
        </w:tc>
        <w:tc>
          <w:tcPr>
            <w:tcW w:w="488"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center"/>
              <w:rPr>
                <w:rFonts w:hint="eastAsia" w:ascii="方正仿宋_GB2312" w:hAnsi="方正仿宋_GB2312" w:eastAsia="方正仿宋_GB2312" w:cs="方正仿宋_GB2312"/>
                <w:i w:val="0"/>
                <w:iCs w:val="0"/>
                <w:color w:val="000000"/>
                <w:sz w:val="18"/>
                <w:szCs w:val="18"/>
                <w:highlight w:val="none"/>
                <w:u w:val="none"/>
              </w:rPr>
            </w:pPr>
          </w:p>
        </w:tc>
        <w:tc>
          <w:tcPr>
            <w:tcW w:w="27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小计</w:t>
            </w:r>
          </w:p>
        </w:tc>
        <w:tc>
          <w:tcPr>
            <w:tcW w:w="44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公务用车购置费</w:t>
            </w:r>
          </w:p>
        </w:tc>
        <w:tc>
          <w:tcPr>
            <w:tcW w:w="40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公务用车运行维护费</w:t>
            </w:r>
          </w:p>
        </w:tc>
        <w:tc>
          <w:tcPr>
            <w:tcW w:w="511"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center"/>
              <w:rPr>
                <w:rFonts w:hint="eastAsia" w:ascii="方正仿宋_GB2312" w:hAnsi="方正仿宋_GB2312" w:eastAsia="方正仿宋_GB2312" w:cs="方正仿宋_GB2312"/>
                <w:i w:val="0"/>
                <w:iCs w:val="0"/>
                <w:color w:val="000000"/>
                <w:sz w:val="18"/>
                <w:szCs w:val="18"/>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31" w:hRule="atLeast"/>
        </w:trPr>
        <w:tc>
          <w:tcPr>
            <w:tcW w:w="42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方正仿宋_GB2312" w:cs="Times New Roman"/>
                <w:i w:val="0"/>
                <w:iCs w:val="0"/>
                <w:color w:val="000000"/>
                <w:sz w:val="18"/>
                <w:szCs w:val="18"/>
                <w:highlight w:val="none"/>
                <w:u w:val="none"/>
              </w:rPr>
            </w:pPr>
            <w:r>
              <w:rPr>
                <w:rFonts w:hint="default" w:ascii="Times New Roman" w:hAnsi="Times New Roman" w:eastAsia="方正仿宋_GB2312" w:cs="Times New Roman"/>
                <w:i w:val="0"/>
                <w:iCs w:val="0"/>
                <w:color w:val="000000"/>
                <w:kern w:val="0"/>
                <w:sz w:val="18"/>
                <w:szCs w:val="18"/>
                <w:highlight w:val="none"/>
                <w:u w:val="none"/>
                <w:lang w:val="en-US" w:eastAsia="zh-CN" w:bidi="ar"/>
              </w:rPr>
              <w:t>1</w:t>
            </w:r>
          </w:p>
        </w:tc>
        <w:tc>
          <w:tcPr>
            <w:tcW w:w="528"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方正仿宋_GB2312" w:cs="Times New Roman"/>
                <w:i w:val="0"/>
                <w:iCs w:val="0"/>
                <w:color w:val="000000"/>
                <w:sz w:val="18"/>
                <w:szCs w:val="18"/>
                <w:highlight w:val="none"/>
                <w:u w:val="none"/>
              </w:rPr>
            </w:pPr>
            <w:r>
              <w:rPr>
                <w:rFonts w:hint="default" w:ascii="Times New Roman" w:hAnsi="Times New Roman" w:eastAsia="方正仿宋_GB2312" w:cs="Times New Roman"/>
                <w:i w:val="0"/>
                <w:iCs w:val="0"/>
                <w:color w:val="000000"/>
                <w:kern w:val="0"/>
                <w:sz w:val="18"/>
                <w:szCs w:val="18"/>
                <w:highlight w:val="none"/>
                <w:u w:val="none"/>
                <w:lang w:val="en-US" w:eastAsia="zh-CN" w:bidi="ar"/>
              </w:rPr>
              <w:t>2</w:t>
            </w:r>
          </w:p>
        </w:tc>
        <w:tc>
          <w:tcPr>
            <w:tcW w:w="35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方正仿宋_GB2312" w:cs="Times New Roman"/>
                <w:i w:val="0"/>
                <w:iCs w:val="0"/>
                <w:color w:val="000000"/>
                <w:sz w:val="18"/>
                <w:szCs w:val="18"/>
                <w:highlight w:val="none"/>
                <w:u w:val="none"/>
              </w:rPr>
            </w:pPr>
            <w:r>
              <w:rPr>
                <w:rFonts w:hint="default" w:ascii="Times New Roman" w:hAnsi="Times New Roman" w:eastAsia="方正仿宋_GB2312" w:cs="Times New Roman"/>
                <w:i w:val="0"/>
                <w:iCs w:val="0"/>
                <w:color w:val="000000"/>
                <w:kern w:val="0"/>
                <w:sz w:val="18"/>
                <w:szCs w:val="18"/>
                <w:highlight w:val="none"/>
                <w:u w:val="none"/>
                <w:lang w:val="en-US" w:eastAsia="zh-CN" w:bidi="ar"/>
              </w:rPr>
              <w:t>3</w:t>
            </w:r>
          </w:p>
        </w:tc>
        <w:tc>
          <w:tcPr>
            <w:tcW w:w="40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方正仿宋_GB2312" w:cs="Times New Roman"/>
                <w:i w:val="0"/>
                <w:iCs w:val="0"/>
                <w:color w:val="000000"/>
                <w:sz w:val="18"/>
                <w:szCs w:val="18"/>
                <w:highlight w:val="none"/>
                <w:u w:val="none"/>
              </w:rPr>
            </w:pPr>
            <w:r>
              <w:rPr>
                <w:rFonts w:hint="default" w:ascii="Times New Roman" w:hAnsi="Times New Roman" w:eastAsia="方正仿宋_GB2312" w:cs="Times New Roman"/>
                <w:i w:val="0"/>
                <w:iCs w:val="0"/>
                <w:color w:val="000000"/>
                <w:kern w:val="0"/>
                <w:sz w:val="18"/>
                <w:szCs w:val="18"/>
                <w:highlight w:val="none"/>
                <w:u w:val="none"/>
                <w:lang w:val="en-US" w:eastAsia="zh-CN" w:bidi="ar"/>
              </w:rPr>
              <w:t>4</w:t>
            </w:r>
          </w:p>
        </w:tc>
        <w:tc>
          <w:tcPr>
            <w:tcW w:w="458"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方正仿宋_GB2312" w:cs="Times New Roman"/>
                <w:i w:val="0"/>
                <w:iCs w:val="0"/>
                <w:color w:val="000000"/>
                <w:sz w:val="18"/>
                <w:szCs w:val="18"/>
                <w:highlight w:val="none"/>
                <w:u w:val="none"/>
              </w:rPr>
            </w:pPr>
            <w:r>
              <w:rPr>
                <w:rFonts w:hint="default" w:ascii="Times New Roman" w:hAnsi="Times New Roman" w:eastAsia="方正仿宋_GB2312" w:cs="Times New Roman"/>
                <w:i w:val="0"/>
                <w:iCs w:val="0"/>
                <w:color w:val="000000"/>
                <w:kern w:val="0"/>
                <w:sz w:val="18"/>
                <w:szCs w:val="18"/>
                <w:highlight w:val="none"/>
                <w:u w:val="none"/>
                <w:lang w:val="en-US" w:eastAsia="zh-CN" w:bidi="ar"/>
              </w:rPr>
              <w:t>5</w:t>
            </w:r>
          </w:p>
        </w:tc>
        <w:tc>
          <w:tcPr>
            <w:tcW w:w="33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方正仿宋_GB2312" w:cs="Times New Roman"/>
                <w:i w:val="0"/>
                <w:iCs w:val="0"/>
                <w:color w:val="000000"/>
                <w:sz w:val="18"/>
                <w:szCs w:val="18"/>
                <w:highlight w:val="none"/>
                <w:u w:val="none"/>
              </w:rPr>
            </w:pPr>
            <w:r>
              <w:rPr>
                <w:rFonts w:hint="default" w:ascii="Times New Roman" w:hAnsi="Times New Roman" w:eastAsia="方正仿宋_GB2312" w:cs="Times New Roman"/>
                <w:i w:val="0"/>
                <w:iCs w:val="0"/>
                <w:color w:val="000000"/>
                <w:kern w:val="0"/>
                <w:sz w:val="18"/>
                <w:szCs w:val="18"/>
                <w:highlight w:val="none"/>
                <w:u w:val="none"/>
                <w:lang w:val="en-US" w:eastAsia="zh-CN" w:bidi="ar"/>
              </w:rPr>
              <w:t>6</w:t>
            </w:r>
          </w:p>
        </w:tc>
        <w:tc>
          <w:tcPr>
            <w:tcW w:w="36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方正仿宋_GB2312" w:cs="Times New Roman"/>
                <w:i w:val="0"/>
                <w:iCs w:val="0"/>
                <w:color w:val="000000"/>
                <w:sz w:val="18"/>
                <w:szCs w:val="18"/>
                <w:highlight w:val="none"/>
                <w:u w:val="none"/>
              </w:rPr>
            </w:pPr>
            <w:r>
              <w:rPr>
                <w:rFonts w:hint="default" w:ascii="Times New Roman" w:hAnsi="Times New Roman" w:eastAsia="方正仿宋_GB2312" w:cs="Times New Roman"/>
                <w:i w:val="0"/>
                <w:iCs w:val="0"/>
                <w:color w:val="000000"/>
                <w:kern w:val="0"/>
                <w:sz w:val="18"/>
                <w:szCs w:val="18"/>
                <w:highlight w:val="none"/>
                <w:u w:val="none"/>
                <w:lang w:val="en-US" w:eastAsia="zh-CN" w:bidi="ar"/>
              </w:rPr>
              <w:t>7</w:t>
            </w:r>
          </w:p>
        </w:tc>
        <w:tc>
          <w:tcPr>
            <w:tcW w:w="488"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方正仿宋_GB2312" w:cs="Times New Roman"/>
                <w:i w:val="0"/>
                <w:iCs w:val="0"/>
                <w:color w:val="000000"/>
                <w:sz w:val="18"/>
                <w:szCs w:val="18"/>
                <w:highlight w:val="none"/>
                <w:u w:val="none"/>
              </w:rPr>
            </w:pPr>
            <w:r>
              <w:rPr>
                <w:rFonts w:hint="default" w:ascii="Times New Roman" w:hAnsi="Times New Roman" w:eastAsia="方正仿宋_GB2312" w:cs="Times New Roman"/>
                <w:i w:val="0"/>
                <w:iCs w:val="0"/>
                <w:color w:val="000000"/>
                <w:kern w:val="0"/>
                <w:sz w:val="18"/>
                <w:szCs w:val="18"/>
                <w:highlight w:val="none"/>
                <w:u w:val="none"/>
                <w:lang w:val="en-US" w:eastAsia="zh-CN" w:bidi="ar"/>
              </w:rPr>
              <w:t>8</w:t>
            </w:r>
          </w:p>
        </w:tc>
        <w:tc>
          <w:tcPr>
            <w:tcW w:w="27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方正仿宋_GB2312" w:cs="Times New Roman"/>
                <w:i w:val="0"/>
                <w:iCs w:val="0"/>
                <w:color w:val="000000"/>
                <w:sz w:val="18"/>
                <w:szCs w:val="18"/>
                <w:highlight w:val="none"/>
                <w:u w:val="none"/>
              </w:rPr>
            </w:pPr>
            <w:r>
              <w:rPr>
                <w:rFonts w:hint="default" w:ascii="Times New Roman" w:hAnsi="Times New Roman" w:eastAsia="方正仿宋_GB2312" w:cs="Times New Roman"/>
                <w:i w:val="0"/>
                <w:iCs w:val="0"/>
                <w:color w:val="000000"/>
                <w:kern w:val="0"/>
                <w:sz w:val="18"/>
                <w:szCs w:val="18"/>
                <w:highlight w:val="none"/>
                <w:u w:val="none"/>
                <w:lang w:val="en-US" w:eastAsia="zh-CN" w:bidi="ar"/>
              </w:rPr>
              <w:t>9</w:t>
            </w:r>
          </w:p>
        </w:tc>
        <w:tc>
          <w:tcPr>
            <w:tcW w:w="44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方正仿宋_GB2312" w:cs="Times New Roman"/>
                <w:i w:val="0"/>
                <w:iCs w:val="0"/>
                <w:color w:val="000000"/>
                <w:sz w:val="18"/>
                <w:szCs w:val="18"/>
                <w:highlight w:val="none"/>
                <w:u w:val="none"/>
              </w:rPr>
            </w:pPr>
            <w:r>
              <w:rPr>
                <w:rFonts w:hint="default" w:ascii="Times New Roman" w:hAnsi="Times New Roman" w:eastAsia="方正仿宋_GB2312" w:cs="Times New Roman"/>
                <w:i w:val="0"/>
                <w:iCs w:val="0"/>
                <w:color w:val="000000"/>
                <w:kern w:val="0"/>
                <w:sz w:val="18"/>
                <w:szCs w:val="18"/>
                <w:highlight w:val="none"/>
                <w:u w:val="none"/>
                <w:lang w:val="en-US" w:eastAsia="zh-CN" w:bidi="ar"/>
              </w:rPr>
              <w:t>10</w:t>
            </w:r>
          </w:p>
        </w:tc>
        <w:tc>
          <w:tcPr>
            <w:tcW w:w="40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方正仿宋_GB2312" w:cs="Times New Roman"/>
                <w:i w:val="0"/>
                <w:iCs w:val="0"/>
                <w:color w:val="000000"/>
                <w:sz w:val="18"/>
                <w:szCs w:val="18"/>
                <w:highlight w:val="none"/>
                <w:u w:val="none"/>
              </w:rPr>
            </w:pPr>
            <w:r>
              <w:rPr>
                <w:rFonts w:hint="default" w:ascii="Times New Roman" w:hAnsi="Times New Roman" w:eastAsia="方正仿宋_GB2312" w:cs="Times New Roman"/>
                <w:i w:val="0"/>
                <w:iCs w:val="0"/>
                <w:color w:val="000000"/>
                <w:kern w:val="0"/>
                <w:sz w:val="18"/>
                <w:szCs w:val="18"/>
                <w:highlight w:val="none"/>
                <w:u w:val="none"/>
                <w:lang w:val="en-US" w:eastAsia="zh-CN" w:bidi="ar"/>
              </w:rPr>
              <w:t>11</w:t>
            </w:r>
          </w:p>
        </w:tc>
        <w:tc>
          <w:tcPr>
            <w:tcW w:w="511"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方正仿宋_GB2312" w:cs="Times New Roman"/>
                <w:i w:val="0"/>
                <w:iCs w:val="0"/>
                <w:color w:val="000000"/>
                <w:sz w:val="18"/>
                <w:szCs w:val="18"/>
                <w:highlight w:val="none"/>
                <w:u w:val="none"/>
              </w:rPr>
            </w:pPr>
            <w:r>
              <w:rPr>
                <w:rFonts w:hint="default" w:ascii="Times New Roman" w:hAnsi="Times New Roman" w:eastAsia="方正仿宋_GB2312" w:cs="Times New Roman"/>
                <w:i w:val="0"/>
                <w:iCs w:val="0"/>
                <w:color w:val="000000"/>
                <w:kern w:val="0"/>
                <w:sz w:val="18"/>
                <w:szCs w:val="18"/>
                <w:highlight w:val="none"/>
                <w:u w:val="none"/>
                <w:lang w:val="en-US" w:eastAsia="zh-CN" w:bidi="ar"/>
              </w:rPr>
              <w:t>12</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31" w:hRule="atLeast"/>
        </w:trPr>
        <w:tc>
          <w:tcPr>
            <w:tcW w:w="42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方正仿宋_GB2312" w:cs="Times New Roman"/>
                <w:i w:val="0"/>
                <w:iCs w:val="0"/>
                <w:color w:val="000000"/>
                <w:sz w:val="18"/>
                <w:szCs w:val="18"/>
                <w:highlight w:val="none"/>
                <w:u w:val="none"/>
              </w:rPr>
            </w:pPr>
            <w:r>
              <w:rPr>
                <w:rFonts w:hint="default" w:ascii="Times New Roman" w:hAnsi="Times New Roman" w:eastAsia="方正仿宋_GB2312" w:cs="Times New Roman"/>
                <w:i w:val="0"/>
                <w:iCs w:val="0"/>
                <w:color w:val="000000"/>
                <w:sz w:val="18"/>
                <w:szCs w:val="18"/>
                <w:highlight w:val="none"/>
                <w:u w:val="none"/>
              </w:rPr>
              <w:t>16.00</w:t>
            </w:r>
          </w:p>
        </w:tc>
        <w:tc>
          <w:tcPr>
            <w:tcW w:w="528"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方正仿宋_GB2312" w:cs="Times New Roman"/>
                <w:i w:val="0"/>
                <w:iCs w:val="0"/>
                <w:color w:val="000000"/>
                <w:sz w:val="18"/>
                <w:szCs w:val="18"/>
                <w:highlight w:val="none"/>
                <w:u w:val="none"/>
              </w:rPr>
            </w:pPr>
          </w:p>
        </w:tc>
        <w:tc>
          <w:tcPr>
            <w:tcW w:w="35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方正仿宋_GB2312" w:cs="Times New Roman"/>
                <w:i w:val="0"/>
                <w:iCs w:val="0"/>
                <w:color w:val="000000"/>
                <w:sz w:val="18"/>
                <w:szCs w:val="18"/>
                <w:highlight w:val="none"/>
                <w:u w:val="none"/>
              </w:rPr>
            </w:pPr>
            <w:r>
              <w:rPr>
                <w:rFonts w:hint="default" w:ascii="Times New Roman" w:hAnsi="Times New Roman" w:eastAsia="方正仿宋_GB2312" w:cs="Times New Roman"/>
                <w:i w:val="0"/>
                <w:iCs w:val="0"/>
                <w:color w:val="000000"/>
                <w:sz w:val="18"/>
                <w:szCs w:val="18"/>
                <w:highlight w:val="none"/>
                <w:u w:val="none"/>
              </w:rPr>
              <w:t>16.00</w:t>
            </w:r>
          </w:p>
        </w:tc>
        <w:tc>
          <w:tcPr>
            <w:tcW w:w="40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方正仿宋_GB2312" w:cs="Times New Roman"/>
                <w:i w:val="0"/>
                <w:iCs w:val="0"/>
                <w:color w:val="000000"/>
                <w:sz w:val="18"/>
                <w:szCs w:val="18"/>
                <w:highlight w:val="none"/>
                <w:u w:val="none"/>
              </w:rPr>
            </w:pPr>
          </w:p>
        </w:tc>
        <w:tc>
          <w:tcPr>
            <w:tcW w:w="458"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方正仿宋_GB2312" w:cs="Times New Roman"/>
                <w:i w:val="0"/>
                <w:iCs w:val="0"/>
                <w:color w:val="000000"/>
                <w:sz w:val="18"/>
                <w:szCs w:val="18"/>
                <w:highlight w:val="none"/>
                <w:u w:val="none"/>
              </w:rPr>
            </w:pPr>
            <w:r>
              <w:rPr>
                <w:rFonts w:hint="default" w:ascii="Times New Roman" w:hAnsi="Times New Roman" w:eastAsia="方正仿宋_GB2312" w:cs="Times New Roman"/>
                <w:i w:val="0"/>
                <w:iCs w:val="0"/>
                <w:color w:val="000000"/>
                <w:sz w:val="18"/>
                <w:szCs w:val="18"/>
                <w:highlight w:val="none"/>
                <w:u w:val="none"/>
              </w:rPr>
              <w:t>16.00</w:t>
            </w:r>
          </w:p>
        </w:tc>
        <w:tc>
          <w:tcPr>
            <w:tcW w:w="33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方正仿宋_GB2312" w:cs="Times New Roman"/>
                <w:i w:val="0"/>
                <w:iCs w:val="0"/>
                <w:color w:val="000000"/>
                <w:sz w:val="18"/>
                <w:szCs w:val="18"/>
                <w:highlight w:val="none"/>
                <w:u w:val="none"/>
              </w:rPr>
            </w:pPr>
          </w:p>
        </w:tc>
        <w:tc>
          <w:tcPr>
            <w:tcW w:w="36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方正仿宋_GB2312" w:cs="Times New Roman"/>
                <w:i w:val="0"/>
                <w:iCs w:val="0"/>
                <w:color w:val="000000"/>
                <w:sz w:val="18"/>
                <w:szCs w:val="18"/>
                <w:highlight w:val="none"/>
                <w:u w:val="none"/>
              </w:rPr>
            </w:pPr>
            <w:r>
              <w:rPr>
                <w:rFonts w:hint="default" w:ascii="Times New Roman" w:hAnsi="Times New Roman" w:eastAsia="方正仿宋_GB2312" w:cs="Times New Roman"/>
                <w:i w:val="0"/>
                <w:iCs w:val="0"/>
                <w:color w:val="000000"/>
                <w:sz w:val="18"/>
                <w:szCs w:val="18"/>
                <w:highlight w:val="none"/>
                <w:u w:val="none"/>
              </w:rPr>
              <w:t>7.02</w:t>
            </w:r>
          </w:p>
        </w:tc>
        <w:tc>
          <w:tcPr>
            <w:tcW w:w="488"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方正仿宋_GB2312" w:cs="Times New Roman"/>
                <w:i w:val="0"/>
                <w:iCs w:val="0"/>
                <w:color w:val="000000"/>
                <w:sz w:val="18"/>
                <w:szCs w:val="18"/>
                <w:highlight w:val="none"/>
                <w:u w:val="none"/>
              </w:rPr>
            </w:pPr>
          </w:p>
        </w:tc>
        <w:tc>
          <w:tcPr>
            <w:tcW w:w="27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方正仿宋_GB2312" w:cs="Times New Roman"/>
                <w:i w:val="0"/>
                <w:iCs w:val="0"/>
                <w:color w:val="000000"/>
                <w:sz w:val="18"/>
                <w:szCs w:val="18"/>
                <w:highlight w:val="none"/>
                <w:u w:val="none"/>
              </w:rPr>
            </w:pPr>
            <w:r>
              <w:rPr>
                <w:rFonts w:hint="default" w:ascii="Times New Roman" w:hAnsi="Times New Roman" w:eastAsia="方正仿宋_GB2312" w:cs="Times New Roman"/>
                <w:i w:val="0"/>
                <w:iCs w:val="0"/>
                <w:color w:val="000000"/>
                <w:sz w:val="18"/>
                <w:szCs w:val="18"/>
                <w:highlight w:val="none"/>
                <w:u w:val="none"/>
              </w:rPr>
              <w:t>7.02</w:t>
            </w:r>
          </w:p>
        </w:tc>
        <w:tc>
          <w:tcPr>
            <w:tcW w:w="44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方正仿宋_GB2312" w:cs="Times New Roman"/>
                <w:i w:val="0"/>
                <w:iCs w:val="0"/>
                <w:color w:val="000000"/>
                <w:sz w:val="18"/>
                <w:szCs w:val="18"/>
                <w:highlight w:val="none"/>
                <w:u w:val="none"/>
              </w:rPr>
            </w:pPr>
          </w:p>
        </w:tc>
        <w:tc>
          <w:tcPr>
            <w:tcW w:w="40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方正仿宋_GB2312" w:cs="Times New Roman"/>
                <w:i w:val="0"/>
                <w:iCs w:val="0"/>
                <w:color w:val="000000"/>
                <w:sz w:val="18"/>
                <w:szCs w:val="18"/>
                <w:highlight w:val="none"/>
                <w:u w:val="none"/>
              </w:rPr>
            </w:pPr>
            <w:r>
              <w:rPr>
                <w:rFonts w:hint="default" w:ascii="Times New Roman" w:hAnsi="Times New Roman" w:eastAsia="方正仿宋_GB2312" w:cs="Times New Roman"/>
                <w:i w:val="0"/>
                <w:iCs w:val="0"/>
                <w:color w:val="000000"/>
                <w:sz w:val="18"/>
                <w:szCs w:val="18"/>
                <w:highlight w:val="none"/>
                <w:u w:val="none"/>
              </w:rPr>
              <w:t>7.02</w:t>
            </w:r>
          </w:p>
        </w:tc>
        <w:tc>
          <w:tcPr>
            <w:tcW w:w="511"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方正仿宋_GB2312" w:cs="Times New Roman"/>
                <w:i w:val="0"/>
                <w:iCs w:val="0"/>
                <w:color w:val="000000"/>
                <w:sz w:val="18"/>
                <w:szCs w:val="18"/>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31" w:hRule="atLeast"/>
        </w:trPr>
        <w:tc>
          <w:tcPr>
            <w:tcW w:w="5000" w:type="pct"/>
            <w:gridSpan w:val="14"/>
            <w:tcBorders>
              <w:top w:val="single" w:color="000000" w:themeColor="text1" w:sz="8" w:space="0"/>
              <w:left w:val="nil"/>
              <w:bottom w:val="nil"/>
              <w:right w:val="nil"/>
            </w:tcBorders>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注：本表反映部门本年度财政拨款“三公”经费支出预决算情况。其中：预算数为“三公”经费全年预算数，反映按规定程序调整后的预算数；决算数是包括当年财政拨款和以前年度结转资金安排的实际支出。</w:t>
            </w:r>
          </w:p>
        </w:tc>
      </w:tr>
    </w:tbl>
    <w:p>
      <w:pPr>
        <w:keepNext w:val="0"/>
        <w:keepLines w:val="0"/>
        <w:pageBreakBefore w:val="0"/>
        <w:widowControl w:val="0"/>
        <w:kinsoku/>
        <w:wordWrap/>
        <w:overflowPunct/>
        <w:topLinePunct w:val="0"/>
        <w:autoSpaceDE/>
        <w:autoSpaceDN/>
        <w:bidi w:val="0"/>
        <w:adjustRightInd/>
        <w:snapToGrid/>
        <w:spacing w:line="240" w:lineRule="auto"/>
        <w:jc w:val="both"/>
        <w:textAlignment w:val="auto"/>
        <w:outlineLvl w:val="9"/>
        <w:rPr>
          <w:rFonts w:hint="eastAsia" w:ascii="仿宋_GB2312" w:hAnsi="宋体" w:eastAsia="仿宋_GB2312"/>
          <w:b/>
          <w:color w:val="auto"/>
          <w:kern w:val="0"/>
          <w:sz w:val="32"/>
          <w:szCs w:val="32"/>
          <w:highlight w:val="none"/>
        </w:rPr>
      </w:pPr>
    </w:p>
    <w:p>
      <w:pPr>
        <w:rPr>
          <w:rFonts w:hint="eastAsia" w:ascii="仿宋_GB2312" w:hAnsi="宋体" w:eastAsia="仿宋_GB2312"/>
          <w:b/>
          <w:color w:val="auto"/>
          <w:kern w:val="0"/>
          <w:sz w:val="32"/>
          <w:szCs w:val="32"/>
          <w:highlight w:val="none"/>
        </w:rPr>
      </w:pPr>
      <w:r>
        <w:rPr>
          <w:rFonts w:hint="eastAsia" w:ascii="仿宋_GB2312" w:hAnsi="宋体" w:eastAsia="仿宋_GB2312"/>
          <w:b/>
          <w:color w:val="auto"/>
          <w:kern w:val="0"/>
          <w:sz w:val="32"/>
          <w:szCs w:val="32"/>
          <w:highlight w:val="none"/>
        </w:rPr>
        <w:br w:type="page"/>
      </w:r>
    </w:p>
    <w:p>
      <w:pPr>
        <w:keepNext w:val="0"/>
        <w:keepLines w:val="0"/>
        <w:pageBreakBefore w:val="0"/>
        <w:widowControl w:val="0"/>
        <w:kinsoku/>
        <w:wordWrap/>
        <w:overflowPunct/>
        <w:topLinePunct w:val="0"/>
        <w:autoSpaceDE/>
        <w:autoSpaceDN/>
        <w:bidi w:val="0"/>
        <w:adjustRightInd/>
        <w:snapToGrid/>
        <w:spacing w:line="240" w:lineRule="auto"/>
        <w:jc w:val="both"/>
        <w:textAlignment w:val="auto"/>
        <w:outlineLvl w:val="9"/>
        <w:rPr>
          <w:rFonts w:hint="eastAsia" w:ascii="仿宋_GB2312" w:hAnsi="宋体" w:eastAsia="仿宋_GB2312"/>
          <w:b/>
          <w:color w:val="auto"/>
          <w:kern w:val="0"/>
          <w:sz w:val="32"/>
          <w:szCs w:val="32"/>
          <w:highlight w:val="none"/>
        </w:rPr>
        <w:sectPr>
          <w:headerReference r:id="rId9" w:type="default"/>
          <w:footerReference r:id="rId10" w:type="default"/>
          <w:pgSz w:w="11906" w:h="16838"/>
          <w:pgMar w:top="1531" w:right="1984" w:bottom="1531" w:left="2098" w:header="851" w:footer="992" w:gutter="0"/>
          <w:pgBorders>
            <w:top w:val="none" w:sz="0" w:space="0"/>
            <w:left w:val="none" w:sz="0" w:space="0"/>
            <w:bottom w:val="none" w:sz="0" w:space="0"/>
            <w:right w:val="none" w:sz="0" w:space="0"/>
          </w:pgBorders>
          <w:cols w:space="720" w:num="1"/>
          <w:docGrid w:type="lines" w:linePitch="312" w:charSpace="0"/>
        </w:sectPr>
      </w:pPr>
    </w:p>
    <w:p>
      <w:pPr>
        <w:pStyle w:val="1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rPr>
          <w:rFonts w:hint="eastAsia" w:ascii="黑体" w:hAnsi="宋体" w:eastAsia="黑体" w:cs="黑体"/>
          <w:i w:val="0"/>
          <w:iCs w:val="0"/>
          <w:caps w:val="0"/>
          <w:color w:val="000000"/>
          <w:spacing w:val="-20"/>
          <w:sz w:val="72"/>
          <w:szCs w:val="72"/>
          <w:highlight w:val="none"/>
          <w:shd w:val="clear" w:fill="FFFFFF"/>
          <w:lang w:val="en-US" w:eastAsia="zh-CN"/>
        </w:rPr>
      </w:pPr>
    </w:p>
    <w:p>
      <w:pPr>
        <w:pStyle w:val="1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rPr>
          <w:rFonts w:hint="eastAsia" w:ascii="黑体" w:hAnsi="宋体" w:eastAsia="黑体" w:cs="黑体"/>
          <w:i w:val="0"/>
          <w:iCs w:val="0"/>
          <w:caps w:val="0"/>
          <w:color w:val="000000"/>
          <w:spacing w:val="-20"/>
          <w:sz w:val="72"/>
          <w:szCs w:val="72"/>
          <w:highlight w:val="none"/>
          <w:shd w:val="clear" w:fill="FFFFFF"/>
          <w:lang w:val="en-US" w:eastAsia="zh-CN"/>
        </w:rPr>
      </w:pPr>
    </w:p>
    <w:p>
      <w:pPr>
        <w:pStyle w:val="1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rPr>
          <w:rFonts w:hint="eastAsia" w:ascii="黑体" w:hAnsi="宋体" w:eastAsia="黑体" w:cs="黑体"/>
          <w:i w:val="0"/>
          <w:iCs w:val="0"/>
          <w:caps w:val="0"/>
          <w:color w:val="000000"/>
          <w:spacing w:val="-20"/>
          <w:sz w:val="72"/>
          <w:szCs w:val="72"/>
          <w:highlight w:val="none"/>
          <w:shd w:val="clear" w:fill="FFFFFF"/>
          <w:lang w:val="en-US" w:eastAsia="zh-CN"/>
        </w:rPr>
      </w:pPr>
    </w:p>
    <w:p>
      <w:pPr>
        <w:pStyle w:val="1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rPr>
          <w:rFonts w:hint="eastAsia" w:ascii="黑体" w:hAnsi="宋体" w:eastAsia="黑体" w:cs="黑体"/>
          <w:i w:val="0"/>
          <w:iCs w:val="0"/>
          <w:caps w:val="0"/>
          <w:color w:val="000000"/>
          <w:spacing w:val="-20"/>
          <w:sz w:val="72"/>
          <w:szCs w:val="72"/>
          <w:highlight w:val="none"/>
          <w:shd w:val="clear" w:fill="FFFFFF"/>
          <w:lang w:val="en-US" w:eastAsia="zh-CN"/>
        </w:rPr>
      </w:pPr>
    </w:p>
    <w:p>
      <w:pPr>
        <w:pStyle w:val="1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rPr>
          <w:rFonts w:hint="eastAsia" w:ascii="黑体" w:hAnsi="宋体" w:eastAsia="黑体" w:cs="黑体"/>
          <w:i w:val="0"/>
          <w:iCs w:val="0"/>
          <w:caps w:val="0"/>
          <w:color w:val="000000"/>
          <w:spacing w:val="-20"/>
          <w:sz w:val="72"/>
          <w:szCs w:val="72"/>
          <w:highlight w:val="none"/>
          <w:shd w:val="clear" w:fill="FFFFFF"/>
          <w:lang w:val="en-US" w:eastAsia="zh-CN"/>
        </w:rPr>
      </w:pPr>
    </w:p>
    <w:p>
      <w:pPr>
        <w:widowControl/>
        <w:spacing w:before="0" w:beforeLines="0" w:beforeAutospacing="0" w:after="0" w:afterLines="0" w:afterAutospacing="0" w:line="360" w:lineRule="auto"/>
        <w:jc w:val="center"/>
        <w:outlineLvl w:val="0"/>
        <w:rPr>
          <w:rFonts w:ascii="Times New Roman" w:eastAsia="黑体"/>
          <w:sz w:val="44"/>
          <w:szCs w:val="44"/>
        </w:rPr>
      </w:pPr>
      <w:r>
        <w:rPr>
          <w:rFonts w:ascii="Times New Roman" w:eastAsia="黑体"/>
          <w:b w:val="0"/>
          <w:sz w:val="44"/>
          <w:szCs w:val="44"/>
        </w:rPr>
        <w:t>第三部分</w:t>
      </w:r>
      <w:r>
        <w:rPr>
          <w:rFonts w:ascii="Times New Roman" w:eastAsia="仿宋_GB2312"/>
          <w:b w:val="0"/>
          <w:sz w:val="44"/>
          <w:szCs w:val="44"/>
        </w:rPr>
        <w:t>2025</w:t>
      </w:r>
      <w:r>
        <w:rPr>
          <w:rFonts w:ascii="Times New Roman" w:eastAsia="黑体"/>
          <w:b w:val="0"/>
          <w:sz w:val="44"/>
          <w:szCs w:val="44"/>
        </w:rPr>
        <w:t>年度部门决算情况说明</w:t>
      </w:r>
    </w:p>
    <w:p>
      <w:pPr>
        <w:pStyle w:val="1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outlineLvl w:val="1"/>
        <w:rPr>
          <w:rFonts w:hint="eastAsia" w:ascii="黑体" w:hAnsi="Calibri" w:eastAsia="黑体" w:cs="Times New Roman"/>
          <w:kern w:val="2"/>
          <w:sz w:val="32"/>
          <w:szCs w:val="32"/>
          <w:lang w:val="en-US" w:eastAsia="zh-CN" w:bidi="ar-SA"/>
        </w:rPr>
      </w:pPr>
    </w:p>
    <w:p>
      <w:pPr>
        <w:pStyle w:val="1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outlineLvl w:val="1"/>
        <w:rPr>
          <w:rFonts w:hint="eastAsia" w:ascii="黑体" w:hAnsi="Calibri" w:eastAsia="黑体" w:cs="Times New Roman"/>
          <w:kern w:val="2"/>
          <w:sz w:val="32"/>
          <w:szCs w:val="32"/>
          <w:lang w:val="en-US" w:eastAsia="zh-CN" w:bidi="ar-SA"/>
        </w:rPr>
      </w:pPr>
    </w:p>
    <w:p>
      <w:pPr>
        <w:pStyle w:val="1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outlineLvl w:val="1"/>
        <w:rPr>
          <w:rFonts w:hint="eastAsia" w:ascii="黑体" w:hAnsi="Calibri" w:eastAsia="黑体" w:cs="Times New Roman"/>
          <w:kern w:val="2"/>
          <w:sz w:val="32"/>
          <w:szCs w:val="32"/>
          <w:lang w:val="en-US" w:eastAsia="zh-CN" w:bidi="ar-SA"/>
        </w:rPr>
      </w:pPr>
    </w:p>
    <w:p>
      <w:pPr>
        <w:pStyle w:val="1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outlineLvl w:val="1"/>
        <w:rPr>
          <w:rFonts w:hint="eastAsia" w:ascii="黑体" w:hAnsi="Calibri" w:eastAsia="黑体" w:cs="Times New Roman"/>
          <w:kern w:val="2"/>
          <w:sz w:val="32"/>
          <w:szCs w:val="32"/>
          <w:lang w:val="en-US" w:eastAsia="zh-CN" w:bidi="ar-SA"/>
        </w:rPr>
      </w:pPr>
    </w:p>
    <w:p>
      <w:pPr>
        <w:pStyle w:val="1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outlineLvl w:val="1"/>
        <w:rPr>
          <w:rFonts w:hint="eastAsia" w:ascii="黑体" w:hAnsi="Calibri" w:eastAsia="黑体" w:cs="Times New Roman"/>
          <w:kern w:val="2"/>
          <w:sz w:val="32"/>
          <w:szCs w:val="32"/>
          <w:lang w:val="en-US" w:eastAsia="zh-CN" w:bidi="ar-SA"/>
        </w:rPr>
      </w:pPr>
    </w:p>
    <w:p>
      <w:pPr>
        <w:pStyle w:val="1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outlineLvl w:val="1"/>
        <w:rPr>
          <w:rFonts w:hint="eastAsia" w:ascii="黑体" w:hAnsi="Calibri" w:eastAsia="黑体" w:cs="Times New Roman"/>
          <w:kern w:val="2"/>
          <w:sz w:val="32"/>
          <w:szCs w:val="32"/>
          <w:lang w:val="en-US" w:eastAsia="zh-CN" w:bidi="ar-SA"/>
        </w:rPr>
      </w:pPr>
    </w:p>
    <w:p>
      <w:pPr>
        <w:pStyle w:val="1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outlineLvl w:val="1"/>
        <w:rPr>
          <w:rFonts w:hint="eastAsia" w:ascii="黑体" w:hAnsi="Calibri" w:eastAsia="黑体" w:cs="Times New Roman"/>
          <w:kern w:val="2"/>
          <w:sz w:val="32"/>
          <w:szCs w:val="32"/>
          <w:lang w:val="en-US" w:eastAsia="zh-CN" w:bidi="ar-SA"/>
        </w:rPr>
      </w:pPr>
    </w:p>
    <w:p>
      <w:pPr>
        <w:pStyle w:val="1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outlineLvl w:val="1"/>
        <w:rPr>
          <w:rFonts w:hint="eastAsia" w:ascii="黑体" w:hAnsi="Calibri" w:eastAsia="黑体" w:cs="Times New Roman"/>
          <w:kern w:val="2"/>
          <w:sz w:val="32"/>
          <w:szCs w:val="32"/>
          <w:lang w:val="en-US" w:eastAsia="zh-CN" w:bidi="ar-SA"/>
        </w:rPr>
      </w:pPr>
    </w:p>
    <w:p>
      <w:pPr>
        <w:pStyle w:val="1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outlineLvl w:val="1"/>
        <w:rPr>
          <w:rFonts w:hint="eastAsia" w:ascii="黑体" w:hAnsi="Calibri" w:eastAsia="黑体" w:cs="Times New Roman"/>
          <w:kern w:val="2"/>
          <w:sz w:val="32"/>
          <w:szCs w:val="32"/>
          <w:lang w:val="en-US" w:eastAsia="zh-CN" w:bidi="ar-SA"/>
        </w:rPr>
      </w:pPr>
    </w:p>
    <w:p>
      <w:pPr>
        <w:pStyle w:val="1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outlineLvl w:val="1"/>
        <w:rPr>
          <w:rFonts w:hint="eastAsia" w:ascii="黑体" w:hAnsi="Calibri" w:eastAsia="黑体" w:cs="Times New Roman"/>
          <w:kern w:val="2"/>
          <w:sz w:val="32"/>
          <w:szCs w:val="32"/>
          <w:lang w:val="en-US" w:eastAsia="zh-CN" w:bidi="ar-SA"/>
        </w:rPr>
        <w:sectPr>
          <w:footerReference r:id="rId11" w:type="default"/>
          <w:pgSz w:w="11906" w:h="16838"/>
          <w:pgMar w:top="2098" w:right="1417" w:bottom="1871" w:left="1417" w:header="851" w:footer="992" w:gutter="0"/>
          <w:pgBorders>
            <w:top w:val="none" w:sz="0" w:space="0"/>
            <w:left w:val="none" w:sz="0" w:space="0"/>
            <w:bottom w:val="none" w:sz="0" w:space="0"/>
            <w:right w:val="none" w:sz="0" w:space="0"/>
          </w:pgBorders>
          <w:cols w:space="0" w:num="1"/>
          <w:rtlGutter w:val="0"/>
          <w:docGrid w:type="lines" w:linePitch="329" w:charSpace="0"/>
        </w:sectPr>
      </w:pPr>
    </w:p>
    <w:p>
      <w:pPr>
        <w:widowControl/>
        <w:spacing w:before="0" w:beforeLines="0" w:beforeAutospacing="0" w:after="0" w:afterLines="0" w:afterAutospacing="0" w:line="360" w:lineRule="auto"/>
        <w:jc w:val="left"/>
        <w:outlineLvl w:val="1"/>
        <w:rPr>
          <w:rFonts w:ascii="Times New Roman" w:eastAsia="黑体"/>
          <w:sz w:val="32"/>
          <w:szCs w:val="32"/>
        </w:rPr>
      </w:pPr>
      <w:r>
        <w:rPr>
          <w:rFonts w:ascii="Times New Roman" w:eastAsia="黑体"/>
          <w:b w:val="0"/>
          <w:sz w:val="32"/>
          <w:szCs w:val="32"/>
        </w:rPr>
        <w:t>一、收入支出决算总体情况说明</w:t>
      </w:r>
    </w:p>
    <w:p>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本单位2025年度收、支总计（含结转和结余）均为544.68万元。与2024年度决算相比，收支各增加104.61万元，增长23.8%，主要原因是</w:t>
      </w:r>
      <w:r>
        <w:rPr>
          <w:rFonts w:hint="eastAsia" w:ascii="Times New Roman" w:eastAsia="仿宋_GB2312"/>
          <w:sz w:val="32"/>
          <w:szCs w:val="32"/>
          <w:lang w:val="en-US" w:eastAsia="zh-CN"/>
        </w:rPr>
        <w:t>项目</w:t>
      </w:r>
      <w:r>
        <w:rPr>
          <w:rFonts w:hint="eastAsia" w:ascii="Times New Roman" w:eastAsia="仿宋_GB2312"/>
          <w:sz w:val="32"/>
          <w:szCs w:val="32"/>
        </w:rPr>
        <w:t>支出</w:t>
      </w:r>
      <w:r>
        <w:rPr>
          <w:rFonts w:hint="eastAsia" w:ascii="Times New Roman" w:eastAsia="仿宋_GB2312"/>
          <w:sz w:val="32"/>
          <w:szCs w:val="32"/>
          <w:lang w:val="en-US" w:eastAsia="zh-CN"/>
        </w:rPr>
        <w:t>增加</w:t>
      </w:r>
      <w:r>
        <w:rPr>
          <w:rFonts w:ascii="Times New Roman" w:eastAsia="仿宋_GB2312"/>
          <w:b w:val="0"/>
          <w:sz w:val="32"/>
          <w:szCs w:val="32"/>
        </w:rPr>
        <w:t>。</w:t>
      </w:r>
    </w:p>
    <w:p>
      <w:pPr>
        <w:pStyle w:val="1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rFonts w:hint="default" w:ascii="Times New Roman" w:hAnsi="Times New Roman" w:eastAsia="Arial" w:cs="Times New Roman"/>
          <w:highlight w:val="none"/>
        </w:rPr>
      </w:pPr>
      <w:r>
        <w:rPr>
          <w:rFonts w:hint="eastAsia" w:ascii="Times New Roman" w:hAnsi="Times New Roman" w:eastAsia="宋体"/>
        </w:rPr>
        <w:drawing>
          <wp:inline distT="0" distB="0" distL="114300" distR="114300">
            <wp:extent cx="5256530" cy="2988310"/>
            <wp:effectExtent l="5080" t="4445" r="8890" b="17145"/>
            <wp:docPr id="5" name="图表 5"/>
            <wp:cNvGraphicFramePr/>
            <a:graphic xmlns:a="http://schemas.openxmlformats.org/drawingml/2006/main">
              <a:graphicData uri="http://schemas.openxmlformats.org/drawingml/2006/chart">
                <c:chart xmlns:c="http://schemas.openxmlformats.org/drawingml/2006/chart" xmlns:r="http://schemas.openxmlformats.org/officeDocument/2006/relationships" r:id="rId14"/>
              </a:graphicData>
            </a:graphic>
          </wp:inline>
        </w:drawing>
      </w:r>
      <w:r>
        <w:rPr>
          <w:rFonts w:hint="default" w:ascii="Times New Roman" w:hAnsi="Times New Roman" w:eastAsia="Arial" w:cs="Times New Roman"/>
          <w:i w:val="0"/>
          <w:iCs w:val="0"/>
          <w:caps w:val="0"/>
          <w:color w:val="000000"/>
          <w:spacing w:val="0"/>
          <w:sz w:val="18"/>
          <w:szCs w:val="18"/>
          <w:highlight w:val="none"/>
          <w:shd w:val="clear" w:fill="FFFFFF"/>
        </w:rPr>
        <w:t> </w:t>
      </w:r>
    </w:p>
    <w:p>
      <w:pPr>
        <w:widowControl/>
        <w:spacing w:before="0" w:beforeLines="0" w:beforeAutospacing="0" w:after="0" w:afterLines="0" w:afterAutospacing="0" w:line="360" w:lineRule="auto"/>
        <w:jc w:val="left"/>
        <w:outlineLvl w:val="1"/>
        <w:rPr>
          <w:rFonts w:ascii="Times New Roman" w:eastAsia="黑体"/>
          <w:sz w:val="32"/>
          <w:szCs w:val="32"/>
        </w:rPr>
      </w:pPr>
      <w:r>
        <w:rPr>
          <w:rFonts w:ascii="Times New Roman" w:eastAsia="黑体"/>
          <w:b w:val="0"/>
          <w:sz w:val="32"/>
          <w:szCs w:val="32"/>
        </w:rPr>
        <w:t>二、收入决算情况说明</w:t>
      </w:r>
    </w:p>
    <w:p>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本单位2025年度本年收入合计544.68万元，其中：财政拨款收入544.68万元，占100.0%；上级补助收入0.00万元，占0.0%；事业收入0.00万元，占0.0%；经营收入0.00万元，占0.0%；附属单位上缴收入0.00万元，占0.0%；其他收入0.00万元，占0.0%。</w:t>
      </w:r>
    </w:p>
    <w:p>
      <w:pPr>
        <w:adjustRightInd w:val="0"/>
        <w:snapToGrid w:val="0"/>
        <w:spacing w:line="580" w:lineRule="exact"/>
        <w:jc w:val="both"/>
        <w:rPr>
          <w:rFonts w:hint="default" w:ascii="Times New Roman" w:hAnsi="Times New Roman" w:eastAsia="仿宋_GB2312" w:cs="Times New Roman"/>
          <w:kern w:val="2"/>
          <w:sz w:val="32"/>
          <w:szCs w:val="32"/>
          <w:highlight w:val="yellow"/>
          <w:lang w:val="zh-CN"/>
        </w:rPr>
      </w:pPr>
      <w:r>
        <w:rPr>
          <w:rFonts w:ascii="Times New Roman" w:hAnsi="Times New Roman" w:eastAsia="仿宋_GB2312"/>
          <w:kern w:val="2"/>
          <w:sz w:val="32"/>
          <w:szCs w:val="32"/>
          <w:highlight w:val="yellow"/>
          <w:lang w:val="zh-CN"/>
        </w:rPr>
        <w:drawing>
          <wp:anchor distT="0" distB="0" distL="114300" distR="114300" simplePos="0" relativeHeight="251660288" behindDoc="0" locked="0" layoutInCell="1" allowOverlap="1">
            <wp:simplePos x="0" y="0"/>
            <wp:positionH relativeFrom="column">
              <wp:posOffset>-16510</wp:posOffset>
            </wp:positionH>
            <wp:positionV relativeFrom="paragraph">
              <wp:posOffset>201930</wp:posOffset>
            </wp:positionV>
            <wp:extent cx="5256530" cy="2988310"/>
            <wp:effectExtent l="5080" t="4445" r="8890" b="17145"/>
            <wp:wrapTopAndBottom/>
            <wp:docPr id="9" name="图表 9"/>
            <wp:cNvGraphicFramePr/>
            <a:graphic xmlns:a="http://schemas.openxmlformats.org/drawingml/2006/main">
              <a:graphicData uri="http://schemas.openxmlformats.org/drawingml/2006/chart">
                <c:chart xmlns:c="http://schemas.openxmlformats.org/drawingml/2006/chart" xmlns:r="http://schemas.openxmlformats.org/officeDocument/2006/relationships" r:id="rId15"/>
              </a:graphicData>
            </a:graphic>
          </wp:anchor>
        </w:drawing>
      </w:r>
    </w:p>
    <w:p>
      <w:pPr>
        <w:widowControl/>
        <w:spacing w:before="0" w:beforeLines="0" w:beforeAutospacing="0" w:after="0" w:afterLines="0" w:afterAutospacing="0" w:line="360" w:lineRule="auto"/>
        <w:jc w:val="left"/>
        <w:outlineLvl w:val="1"/>
        <w:rPr>
          <w:rFonts w:ascii="Times New Roman" w:eastAsia="黑体"/>
          <w:sz w:val="32"/>
          <w:szCs w:val="32"/>
        </w:rPr>
      </w:pPr>
      <w:r>
        <w:rPr>
          <w:rFonts w:ascii="Times New Roman" w:eastAsia="黑体"/>
          <w:b w:val="0"/>
          <w:sz w:val="32"/>
          <w:szCs w:val="32"/>
        </w:rPr>
        <w:t>三、支出决算情况说明</w:t>
      </w:r>
    </w:p>
    <w:p>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本单位2025年度本年支出合计544.68万元，其中：基本支出473.07万元，占86.9%；项目支出71.61万元，占13.1%；经营支出0.00万元，占0.0%；上缴上级支出0.00万元，占0.0%；对附属单位补助支出0.00万元，占0.0%。</w:t>
      </w:r>
    </w:p>
    <w:p>
      <w:pPr>
        <w:autoSpaceDE w:val="0"/>
        <w:autoSpaceDN w:val="0"/>
        <w:adjustRightInd w:val="0"/>
        <w:jc w:val="center"/>
        <w:rPr>
          <w:rFonts w:hint="default" w:ascii="Times New Roman" w:hAnsi="Times New Roman" w:eastAsia="仿宋_GB2312" w:cs="Times New Roman"/>
          <w:color w:val="auto"/>
          <w:kern w:val="0"/>
          <w:sz w:val="32"/>
          <w:szCs w:val="32"/>
          <w:highlight w:val="none"/>
          <w:lang w:val="en-US" w:eastAsia="zh-CN" w:bidi="ar-SA"/>
        </w:rPr>
      </w:pPr>
      <w:r>
        <w:rPr>
          <w:rFonts w:ascii="Times New Roman" w:hAnsi="Times New Roman" w:eastAsia="仿宋_GB2312" w:cs="Times New Roman"/>
          <w:sz w:val="32"/>
          <w:szCs w:val="32"/>
          <w:highlight w:val="none"/>
        </w:rPr>
        <w:drawing>
          <wp:inline distT="0" distB="0" distL="114300" distR="114300">
            <wp:extent cx="5256530" cy="2988310"/>
            <wp:effectExtent l="5080" t="4445" r="15240" b="17145"/>
            <wp:docPr id="7" name="图表 7"/>
            <wp:cNvGraphicFramePr/>
            <a:graphic xmlns:a="http://schemas.openxmlformats.org/drawingml/2006/main">
              <a:graphicData uri="http://schemas.openxmlformats.org/drawingml/2006/chart">
                <c:chart xmlns:c="http://schemas.openxmlformats.org/drawingml/2006/chart" xmlns:r="http://schemas.openxmlformats.org/officeDocument/2006/relationships" r:id="rId16"/>
              </a:graphicData>
            </a:graphic>
          </wp:inline>
        </w:drawing>
      </w:r>
    </w:p>
    <w:p>
      <w:pPr>
        <w:widowControl/>
        <w:spacing w:before="0" w:beforeLines="0" w:beforeAutospacing="0" w:after="0" w:afterLines="0" w:afterAutospacing="0" w:line="360" w:lineRule="auto"/>
        <w:ind w:firstLine="640" w:firstLineChars="200"/>
        <w:jc w:val="left"/>
        <w:outlineLvl w:val="1"/>
        <w:rPr>
          <w:rFonts w:ascii="Times New Roman" w:eastAsia="黑体"/>
          <w:sz w:val="32"/>
          <w:szCs w:val="32"/>
        </w:rPr>
      </w:pPr>
      <w:r>
        <w:rPr>
          <w:rFonts w:ascii="Times New Roman" w:eastAsia="黑体"/>
          <w:b w:val="0"/>
          <w:sz w:val="32"/>
          <w:szCs w:val="32"/>
        </w:rPr>
        <w:t>四、财政拨款收入支出决算总体情况说明</w:t>
      </w:r>
    </w:p>
    <w:p>
      <w:pPr>
        <w:widowControl/>
        <w:spacing w:before="0" w:beforeLines="0" w:beforeAutospacing="0" w:after="0" w:afterLines="0" w:afterAutospacing="0" w:line="360" w:lineRule="auto"/>
        <w:ind w:firstLine="643" w:firstLineChars="200"/>
        <w:jc w:val="left"/>
        <w:rPr>
          <w:rFonts w:ascii="Times New Roman" w:eastAsia="楷体_GB2312"/>
          <w:sz w:val="32"/>
          <w:szCs w:val="32"/>
        </w:rPr>
      </w:pPr>
      <w:r>
        <w:rPr>
          <w:rFonts w:ascii="Times New Roman" w:eastAsia="楷体_GB2312"/>
          <w:b/>
          <w:sz w:val="32"/>
          <w:szCs w:val="32"/>
        </w:rPr>
        <w:t>（一）财政拨款收支与</w:t>
      </w:r>
      <w:r>
        <w:rPr>
          <w:rFonts w:ascii="Times New Roman" w:eastAsia="仿宋_GB2312"/>
          <w:b/>
          <w:sz w:val="32"/>
          <w:szCs w:val="32"/>
        </w:rPr>
        <w:t>2024</w:t>
      </w:r>
      <w:r>
        <w:rPr>
          <w:rFonts w:ascii="Times New Roman" w:eastAsia="楷体_GB2312"/>
          <w:b/>
          <w:sz w:val="32"/>
          <w:szCs w:val="32"/>
        </w:rPr>
        <w:t>年度决算对比情况</w:t>
      </w:r>
    </w:p>
    <w:p>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本单位2025年度财政拨款收、支总计（含结转和结余）均为544.68万元。与2024年度相比，财政拨款收支各增加104.61万元，增长23.8%，主要原因是</w:t>
      </w:r>
      <w:r>
        <w:rPr>
          <w:rFonts w:hint="eastAsia" w:ascii="Times New Roman" w:eastAsia="仿宋_GB2312"/>
          <w:sz w:val="32"/>
          <w:szCs w:val="32"/>
          <w:lang w:val="en-US" w:eastAsia="zh-CN"/>
        </w:rPr>
        <w:t>项目</w:t>
      </w:r>
      <w:r>
        <w:rPr>
          <w:rFonts w:hint="eastAsia" w:ascii="Times New Roman" w:eastAsia="仿宋_GB2312"/>
          <w:sz w:val="32"/>
          <w:szCs w:val="32"/>
        </w:rPr>
        <w:t>支出</w:t>
      </w:r>
      <w:r>
        <w:rPr>
          <w:rFonts w:hint="eastAsia" w:ascii="Times New Roman" w:eastAsia="仿宋_GB2312"/>
          <w:sz w:val="32"/>
          <w:szCs w:val="32"/>
          <w:lang w:val="en-US" w:eastAsia="zh-CN"/>
        </w:rPr>
        <w:t>增加</w:t>
      </w:r>
      <w:r>
        <w:rPr>
          <w:rFonts w:ascii="Times New Roman" w:eastAsia="仿宋_GB2312"/>
          <w:b w:val="0"/>
          <w:sz w:val="32"/>
          <w:szCs w:val="32"/>
        </w:rPr>
        <w:t>。</w:t>
      </w:r>
    </w:p>
    <w:p>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本单位2025年度财政拨款本年收入544.68万元,比上年增加106.16万元，增长24.2%，主要原因是</w:t>
      </w:r>
      <w:r>
        <w:rPr>
          <w:rFonts w:hint="eastAsia" w:ascii="Times New Roman" w:eastAsia="仿宋_GB2312"/>
          <w:sz w:val="32"/>
          <w:szCs w:val="32"/>
          <w:lang w:val="en-US" w:eastAsia="zh-CN"/>
        </w:rPr>
        <w:t>项目</w:t>
      </w:r>
      <w:r>
        <w:rPr>
          <w:rFonts w:hint="eastAsia" w:ascii="Times New Roman" w:eastAsia="仿宋_GB2312"/>
          <w:sz w:val="32"/>
          <w:szCs w:val="32"/>
        </w:rPr>
        <w:t>支出</w:t>
      </w:r>
      <w:r>
        <w:rPr>
          <w:rFonts w:hint="eastAsia" w:ascii="Times New Roman" w:eastAsia="仿宋_GB2312"/>
          <w:sz w:val="32"/>
          <w:szCs w:val="32"/>
          <w:lang w:val="en-US" w:eastAsia="zh-CN"/>
        </w:rPr>
        <w:t>增加</w:t>
      </w:r>
      <w:r>
        <w:rPr>
          <w:rFonts w:ascii="Times New Roman" w:eastAsia="仿宋_GB2312"/>
          <w:b w:val="0"/>
          <w:sz w:val="32"/>
          <w:szCs w:val="32"/>
        </w:rPr>
        <w:t>；本年支出544.68万元，比上年增加104.61万元，增长23.8%，主要原因是</w:t>
      </w:r>
      <w:r>
        <w:rPr>
          <w:rFonts w:hint="eastAsia" w:ascii="Times New Roman" w:eastAsia="仿宋_GB2312"/>
          <w:sz w:val="32"/>
          <w:szCs w:val="32"/>
          <w:lang w:val="en-US" w:eastAsia="zh-CN"/>
        </w:rPr>
        <w:t>项目</w:t>
      </w:r>
      <w:r>
        <w:rPr>
          <w:rFonts w:hint="eastAsia" w:ascii="Times New Roman" w:eastAsia="仿宋_GB2312"/>
          <w:sz w:val="32"/>
          <w:szCs w:val="32"/>
        </w:rPr>
        <w:t>支出</w:t>
      </w:r>
      <w:r>
        <w:rPr>
          <w:rFonts w:hint="eastAsia" w:ascii="Times New Roman" w:eastAsia="仿宋_GB2312"/>
          <w:sz w:val="32"/>
          <w:szCs w:val="32"/>
          <w:lang w:val="en-US" w:eastAsia="zh-CN"/>
        </w:rPr>
        <w:t>增加</w:t>
      </w:r>
      <w:r>
        <w:rPr>
          <w:rFonts w:ascii="Times New Roman" w:eastAsia="仿宋_GB2312"/>
          <w:b w:val="0"/>
          <w:sz w:val="32"/>
          <w:szCs w:val="32"/>
        </w:rPr>
        <w:t>。具体情况如下：</w:t>
      </w:r>
    </w:p>
    <w:p>
      <w:pPr>
        <w:widowControl/>
        <w:spacing w:before="0" w:beforeLines="0" w:beforeAutospacing="0" w:after="0" w:afterLines="0" w:afterAutospacing="0" w:line="360" w:lineRule="auto"/>
        <w:ind w:firstLine="640" w:firstLineChars="200"/>
        <w:jc w:val="left"/>
        <w:outlineLvl w:val="1"/>
        <w:rPr>
          <w:rFonts w:ascii="Times New Roman" w:eastAsia="仿宋_GB2312"/>
          <w:sz w:val="32"/>
          <w:szCs w:val="32"/>
        </w:rPr>
      </w:pPr>
      <w:r>
        <w:rPr>
          <w:rFonts w:ascii="Times New Roman" w:eastAsia="仿宋_GB2312"/>
          <w:b w:val="0"/>
          <w:sz w:val="32"/>
          <w:szCs w:val="32"/>
        </w:rPr>
        <w:t>1. 一般公共预算财政拨款本年收入544.68万元,比上年增加106.16万元，增长24.2%，主要原因是</w:t>
      </w:r>
      <w:r>
        <w:rPr>
          <w:rFonts w:hint="eastAsia" w:ascii="Times New Roman" w:eastAsia="仿宋_GB2312"/>
          <w:sz w:val="32"/>
          <w:szCs w:val="32"/>
          <w:lang w:val="en-US" w:eastAsia="zh-CN"/>
        </w:rPr>
        <w:t>项目</w:t>
      </w:r>
      <w:r>
        <w:rPr>
          <w:rFonts w:hint="eastAsia" w:ascii="Times New Roman" w:eastAsia="仿宋_GB2312"/>
          <w:sz w:val="32"/>
          <w:szCs w:val="32"/>
        </w:rPr>
        <w:t>支出</w:t>
      </w:r>
      <w:r>
        <w:rPr>
          <w:rFonts w:hint="eastAsia" w:ascii="Times New Roman" w:eastAsia="仿宋_GB2312"/>
          <w:sz w:val="32"/>
          <w:szCs w:val="32"/>
          <w:lang w:val="en-US" w:eastAsia="zh-CN"/>
        </w:rPr>
        <w:t>增加</w:t>
      </w:r>
      <w:r>
        <w:rPr>
          <w:rFonts w:ascii="Times New Roman" w:eastAsia="仿宋_GB2312"/>
          <w:b w:val="0"/>
          <w:sz w:val="32"/>
          <w:szCs w:val="32"/>
        </w:rPr>
        <w:t>；本年支出544.68万元，比上年增加104.61万元，增长23.8%，主要原因是</w:t>
      </w:r>
      <w:r>
        <w:rPr>
          <w:rFonts w:hint="eastAsia" w:ascii="Times New Roman" w:eastAsia="仿宋_GB2312"/>
          <w:sz w:val="32"/>
          <w:szCs w:val="32"/>
          <w:lang w:val="en-US" w:eastAsia="zh-CN"/>
        </w:rPr>
        <w:t>项目</w:t>
      </w:r>
      <w:r>
        <w:rPr>
          <w:rFonts w:hint="eastAsia" w:ascii="Times New Roman" w:eastAsia="仿宋_GB2312"/>
          <w:sz w:val="32"/>
          <w:szCs w:val="32"/>
        </w:rPr>
        <w:t>支出</w:t>
      </w:r>
      <w:r>
        <w:rPr>
          <w:rFonts w:hint="eastAsia" w:ascii="Times New Roman" w:eastAsia="仿宋_GB2312"/>
          <w:sz w:val="32"/>
          <w:szCs w:val="32"/>
          <w:lang w:val="en-US" w:eastAsia="zh-CN"/>
        </w:rPr>
        <w:t>增加</w:t>
      </w:r>
      <w:r>
        <w:rPr>
          <w:rFonts w:ascii="Times New Roman" w:eastAsia="仿宋_GB2312"/>
          <w:b w:val="0"/>
          <w:sz w:val="32"/>
          <w:szCs w:val="32"/>
        </w:rPr>
        <w:t>。</w:t>
      </w:r>
    </w:p>
    <w:p>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2. 政府性基金预算财政拨款本年收入0.00万元，比上年增加0.00万元，增长0.00%，主要原因是</w:t>
      </w:r>
      <w:r>
        <w:rPr>
          <w:rFonts w:hint="eastAsia" w:ascii="Times New Roman" w:eastAsia="仿宋_GB2312"/>
          <w:sz w:val="32"/>
          <w:szCs w:val="32"/>
        </w:rPr>
        <w:t>与上年度持平，无增减变化</w:t>
      </w:r>
      <w:r>
        <w:rPr>
          <w:rFonts w:ascii="Times New Roman" w:eastAsia="仿宋_GB2312"/>
          <w:b w:val="0"/>
          <w:sz w:val="32"/>
          <w:szCs w:val="32"/>
        </w:rPr>
        <w:t>；本年支出0.00万元，比上年增加0.00万元，增长0.00%，主要原因是</w:t>
      </w:r>
      <w:r>
        <w:rPr>
          <w:rFonts w:hint="eastAsia" w:ascii="Times New Roman" w:eastAsia="仿宋_GB2312"/>
          <w:sz w:val="32"/>
          <w:szCs w:val="32"/>
        </w:rPr>
        <w:t>与上年度持平，无增减变化</w:t>
      </w:r>
      <w:r>
        <w:rPr>
          <w:rFonts w:ascii="Times New Roman" w:eastAsia="仿宋_GB2312"/>
          <w:b w:val="0"/>
          <w:sz w:val="32"/>
          <w:szCs w:val="32"/>
        </w:rPr>
        <w:t>。</w:t>
      </w:r>
    </w:p>
    <w:p>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3. 国有资本经营预算财政拨款本年收入0.00万元，比上年增加0.00万元，增长0.00%，主要原因是</w:t>
      </w:r>
      <w:r>
        <w:rPr>
          <w:rFonts w:hint="eastAsia" w:ascii="Times New Roman" w:eastAsia="仿宋_GB2312"/>
          <w:sz w:val="32"/>
          <w:szCs w:val="32"/>
        </w:rPr>
        <w:t>与上年度持平，无增减变化</w:t>
      </w:r>
      <w:r>
        <w:rPr>
          <w:rFonts w:ascii="Times New Roman" w:eastAsia="仿宋_GB2312"/>
          <w:b w:val="0"/>
          <w:sz w:val="32"/>
          <w:szCs w:val="32"/>
        </w:rPr>
        <w:t>；本年支出0.00万元，比上年增加0.00万元，增长0.00%，主要原因是</w:t>
      </w:r>
      <w:r>
        <w:rPr>
          <w:rFonts w:hint="eastAsia" w:ascii="Times New Roman" w:eastAsia="仿宋_GB2312"/>
          <w:sz w:val="32"/>
          <w:szCs w:val="32"/>
        </w:rPr>
        <w:t>与上年度持平，无增减变化</w:t>
      </w:r>
      <w:r>
        <w:rPr>
          <w:rFonts w:ascii="Times New Roman" w:eastAsia="仿宋_GB2312"/>
          <w:b w:val="0"/>
          <w:sz w:val="32"/>
          <w:szCs w:val="32"/>
        </w:rPr>
        <w:t>。</w:t>
      </w:r>
    </w:p>
    <w:p>
      <w:pPr>
        <w:pStyle w:val="1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rFonts w:hint="default" w:ascii="Times New Roman" w:hAnsi="Times New Roman" w:eastAsia="仿宋_GB2312" w:cs="Times New Roman"/>
          <w:sz w:val="32"/>
          <w:szCs w:val="32"/>
          <w:highlight w:val="none"/>
          <w:lang w:val="en-US" w:eastAsia="zh-CN"/>
        </w:rPr>
      </w:pPr>
      <w:r>
        <w:rPr>
          <w:rFonts w:ascii="Times New Roman" w:hAnsi="Times New Roman" w:eastAsia="仿宋_GB2312"/>
          <w:sz w:val="32"/>
          <w:szCs w:val="32"/>
        </w:rPr>
        <w:drawing>
          <wp:inline distT="0" distB="0" distL="114300" distR="114300">
            <wp:extent cx="5256530" cy="3189605"/>
            <wp:effectExtent l="4445" t="4445" r="6350" b="6350"/>
            <wp:docPr id="19" name="图表 19"/>
            <wp:cNvGraphicFramePr/>
            <a:graphic xmlns:a="http://schemas.openxmlformats.org/drawingml/2006/main">
              <a:graphicData uri="http://schemas.openxmlformats.org/drawingml/2006/chart">
                <c:chart xmlns:c="http://schemas.openxmlformats.org/drawingml/2006/chart" xmlns:r="http://schemas.openxmlformats.org/officeDocument/2006/relationships" r:id="rId17"/>
              </a:graphicData>
            </a:graphic>
          </wp:inline>
        </w:drawing>
      </w:r>
    </w:p>
    <w:p>
      <w:pPr>
        <w:widowControl/>
        <w:spacing w:before="0" w:beforeLines="0" w:beforeAutospacing="0" w:after="0" w:afterLines="0" w:afterAutospacing="0" w:line="360" w:lineRule="auto"/>
        <w:ind w:firstLine="643" w:firstLineChars="200"/>
        <w:jc w:val="left"/>
        <w:rPr>
          <w:rFonts w:ascii="Times New Roman" w:eastAsia="楷体_GB2312"/>
          <w:sz w:val="32"/>
          <w:szCs w:val="32"/>
        </w:rPr>
      </w:pPr>
      <w:r>
        <w:rPr>
          <w:rFonts w:ascii="Times New Roman" w:eastAsia="楷体_GB2312"/>
          <w:b/>
          <w:sz w:val="32"/>
          <w:szCs w:val="32"/>
        </w:rPr>
        <w:t>（二）财政拨款收支与年初预算数对比情况</w:t>
      </w:r>
    </w:p>
    <w:p>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本单位2025年度财政拨款本年收入544.68万元，完成年初预算的92.7%，比年初预算减少42.62万元，决算数小于预算数主要原因是</w:t>
      </w:r>
      <w:r>
        <w:rPr>
          <w:rFonts w:hint="eastAsia" w:ascii="Times New Roman" w:eastAsia="仿宋_GB2312"/>
          <w:b w:val="0"/>
          <w:sz w:val="32"/>
          <w:szCs w:val="32"/>
          <w:lang w:val="en-US" w:eastAsia="zh-CN"/>
        </w:rPr>
        <w:t>通过审批减少了部分支出</w:t>
      </w:r>
      <w:r>
        <w:rPr>
          <w:rFonts w:ascii="Times New Roman" w:eastAsia="仿宋_GB2312"/>
          <w:b w:val="0"/>
          <w:sz w:val="32"/>
          <w:szCs w:val="32"/>
        </w:rPr>
        <w:t>；本年支出544.68万元，完成年初预算的92.7%，比年初预算减少42.62万元，决算数小于预算数主要原因是</w:t>
      </w:r>
      <w:r>
        <w:rPr>
          <w:rFonts w:hint="eastAsia" w:ascii="Times New Roman" w:eastAsia="仿宋_GB2312"/>
          <w:b w:val="0"/>
          <w:sz w:val="32"/>
          <w:szCs w:val="32"/>
          <w:lang w:val="en-US" w:eastAsia="zh-CN"/>
        </w:rPr>
        <w:t>通过审批减少了部分支出</w:t>
      </w:r>
      <w:r>
        <w:rPr>
          <w:rFonts w:ascii="Times New Roman" w:eastAsia="仿宋_GB2312"/>
          <w:b w:val="0"/>
          <w:sz w:val="32"/>
          <w:szCs w:val="32"/>
        </w:rPr>
        <w:t>。具体情况如下：</w:t>
      </w:r>
    </w:p>
    <w:p>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1. 一般公共预算财政拨款本年收入完成年初预算的92.7%，比年初预算减少42.62万元，主要原因是</w:t>
      </w:r>
      <w:r>
        <w:rPr>
          <w:rFonts w:hint="eastAsia" w:ascii="Times New Roman" w:eastAsia="仿宋_GB2312"/>
          <w:b w:val="0"/>
          <w:sz w:val="32"/>
          <w:szCs w:val="32"/>
          <w:lang w:val="en-US" w:eastAsia="zh-CN"/>
        </w:rPr>
        <w:t>通过审批减少了部分支出</w:t>
      </w:r>
      <w:r>
        <w:rPr>
          <w:rFonts w:ascii="Times New Roman" w:eastAsia="仿宋_GB2312"/>
          <w:b w:val="0"/>
          <w:sz w:val="32"/>
          <w:szCs w:val="32"/>
        </w:rPr>
        <w:t>；支出完成年初预算的92.7%，比年初预算减少42.62万元，主要原因是</w:t>
      </w:r>
      <w:r>
        <w:rPr>
          <w:rFonts w:hint="eastAsia" w:ascii="Times New Roman" w:eastAsia="仿宋_GB2312"/>
          <w:b w:val="0"/>
          <w:sz w:val="32"/>
          <w:szCs w:val="32"/>
          <w:lang w:val="en-US" w:eastAsia="zh-CN"/>
        </w:rPr>
        <w:t>通过审批减少了部分支出</w:t>
      </w:r>
      <w:r>
        <w:rPr>
          <w:rFonts w:ascii="Times New Roman" w:eastAsia="仿宋_GB2312"/>
          <w:b w:val="0"/>
          <w:sz w:val="32"/>
          <w:szCs w:val="32"/>
        </w:rPr>
        <w:t>。</w:t>
      </w:r>
    </w:p>
    <w:p>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2. 政府性基金预算财政拨款本年收入完成年初预算的0.0%，比年初预算增加0.00万元，主要原因是</w:t>
      </w:r>
      <w:r>
        <w:rPr>
          <w:rFonts w:hint="eastAsia" w:ascii="Times New Roman" w:eastAsia="仿宋_GB2312"/>
          <w:sz w:val="32"/>
          <w:szCs w:val="32"/>
        </w:rPr>
        <w:t>与年初预算持平，年初无此类预算</w:t>
      </w:r>
      <w:r>
        <w:rPr>
          <w:rFonts w:ascii="Times New Roman" w:eastAsia="仿宋_GB2312"/>
          <w:b w:val="0"/>
          <w:sz w:val="32"/>
          <w:szCs w:val="32"/>
        </w:rPr>
        <w:t>；支出完成年初预算的0.0%，比年初预算增加0.00万元，主要原因是</w:t>
      </w:r>
      <w:r>
        <w:rPr>
          <w:rFonts w:hint="eastAsia" w:ascii="Times New Roman" w:eastAsia="仿宋_GB2312"/>
          <w:sz w:val="32"/>
          <w:szCs w:val="32"/>
        </w:rPr>
        <w:t>与年初预算持平，年初无此类预算</w:t>
      </w:r>
      <w:r>
        <w:rPr>
          <w:rFonts w:ascii="Times New Roman" w:eastAsia="仿宋_GB2312"/>
          <w:b w:val="0"/>
          <w:sz w:val="32"/>
          <w:szCs w:val="32"/>
        </w:rPr>
        <w:t>。</w:t>
      </w:r>
    </w:p>
    <w:p>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3. 国有资本经营预算财政拨款本年收入完成年初预算的0.0%，比年初预算增加0.00万元，主要原因是</w:t>
      </w:r>
      <w:r>
        <w:rPr>
          <w:rFonts w:hint="eastAsia" w:ascii="Times New Roman" w:eastAsia="仿宋_GB2312"/>
          <w:sz w:val="32"/>
          <w:szCs w:val="32"/>
        </w:rPr>
        <w:t>与年初预算持平，年初无此类预算</w:t>
      </w:r>
      <w:r>
        <w:rPr>
          <w:rFonts w:ascii="Times New Roman" w:eastAsia="仿宋_GB2312"/>
          <w:b w:val="0"/>
          <w:sz w:val="32"/>
          <w:szCs w:val="32"/>
        </w:rPr>
        <w:t>；支出完成年初预算的0.0%，比年初预算增加0.00万元，主要原因是</w:t>
      </w:r>
      <w:r>
        <w:rPr>
          <w:rFonts w:hint="eastAsia" w:ascii="Times New Roman" w:eastAsia="仿宋_GB2312"/>
          <w:sz w:val="32"/>
          <w:szCs w:val="32"/>
        </w:rPr>
        <w:t>与年初预算持平，年初无此类预算</w:t>
      </w:r>
      <w:r>
        <w:rPr>
          <w:rFonts w:ascii="Times New Roman" w:eastAsia="仿宋_GB2312"/>
          <w:b w:val="0"/>
          <w:sz w:val="32"/>
          <w:szCs w:val="32"/>
        </w:rPr>
        <w:t>。</w:t>
      </w:r>
    </w:p>
    <w:p>
      <w:pPr>
        <w:pStyle w:val="1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rFonts w:hint="default" w:ascii="Times New Roman" w:hAnsi="Times New Roman" w:eastAsia="仿宋_GB2312" w:cs="Times New Roman"/>
          <w:color w:val="auto"/>
          <w:kern w:val="0"/>
          <w:sz w:val="32"/>
          <w:szCs w:val="32"/>
          <w:highlight w:val="none"/>
          <w:lang w:val="en-US" w:eastAsia="zh-CN" w:bidi="ar-SA"/>
        </w:rPr>
      </w:pPr>
      <w:r>
        <w:rPr>
          <w:rFonts w:ascii="Times New Roman" w:hAnsi="Times New Roman" w:eastAsia="仿宋_GB2312"/>
          <w:sz w:val="32"/>
          <w:szCs w:val="32"/>
          <w:highlight w:val="none"/>
        </w:rPr>
        <w:drawing>
          <wp:inline distT="0" distB="0" distL="114300" distR="114300">
            <wp:extent cx="5256530" cy="2988310"/>
            <wp:effectExtent l="5080" t="4445" r="8890" b="17145"/>
            <wp:docPr id="11" name="图表 11"/>
            <wp:cNvGraphicFramePr/>
            <a:graphic xmlns:a="http://schemas.openxmlformats.org/drawingml/2006/main">
              <a:graphicData uri="http://schemas.openxmlformats.org/drawingml/2006/chart">
                <c:chart xmlns:c="http://schemas.openxmlformats.org/drawingml/2006/chart" xmlns:r="http://schemas.openxmlformats.org/officeDocument/2006/relationships" r:id="rId18"/>
              </a:graphicData>
            </a:graphic>
          </wp:inline>
        </w:drawing>
      </w:r>
    </w:p>
    <w:p>
      <w:pPr>
        <w:widowControl/>
        <w:spacing w:before="0" w:beforeLines="0" w:beforeAutospacing="0" w:after="0" w:afterLines="0" w:afterAutospacing="0" w:line="360" w:lineRule="auto"/>
        <w:ind w:firstLine="643" w:firstLineChars="200"/>
        <w:jc w:val="left"/>
        <w:rPr>
          <w:rFonts w:ascii="Times New Roman" w:eastAsia="楷体_GB2312"/>
          <w:sz w:val="32"/>
          <w:szCs w:val="32"/>
        </w:rPr>
      </w:pPr>
      <w:r>
        <w:rPr>
          <w:rFonts w:ascii="Times New Roman" w:eastAsia="楷体_GB2312"/>
          <w:b/>
          <w:sz w:val="32"/>
          <w:szCs w:val="32"/>
        </w:rPr>
        <w:t>（三）财政拨款支出决算结构情况</w:t>
      </w:r>
    </w:p>
    <w:p>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2025年度财政拨款支出544.68万元，主要用于以下方面：</w:t>
      </w:r>
    </w:p>
    <w:p>
      <w:pPr>
        <w:widowControl/>
        <w:spacing w:before="0" w:beforeLines="0" w:beforeAutospacing="0" w:after="0" w:afterLines="0" w:afterAutospacing="0" w:line="360" w:lineRule="auto"/>
        <w:ind w:firstLine="643" w:firstLineChars="200"/>
        <w:jc w:val="left"/>
        <w:rPr>
          <w:rFonts w:ascii="Times New Roman" w:eastAsia="仿宋_GB2312"/>
          <w:sz w:val="32"/>
          <w:szCs w:val="32"/>
        </w:rPr>
      </w:pPr>
      <w:r>
        <w:rPr>
          <w:rFonts w:ascii="Times New Roman" w:eastAsia="仿宋_GB2312"/>
          <w:b/>
          <w:sz w:val="32"/>
          <w:szCs w:val="32"/>
        </w:rPr>
        <w:t>一般公共预算财政拨款支出：</w:t>
      </w:r>
    </w:p>
    <w:p>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一般公共服务（类）支出455.23万元，占83.6%，主要用于</w:t>
      </w:r>
      <w:r>
        <w:rPr>
          <w:rFonts w:hint="eastAsia" w:ascii="Times New Roman" w:eastAsia="仿宋_GB2312"/>
          <w:sz w:val="32"/>
          <w:szCs w:val="32"/>
        </w:rPr>
        <w:t>行政运行和政协会议</w:t>
      </w:r>
      <w:r>
        <w:rPr>
          <w:rFonts w:ascii="Times New Roman" w:eastAsia="仿宋_GB2312"/>
          <w:b w:val="0"/>
          <w:sz w:val="32"/>
          <w:szCs w:val="32"/>
        </w:rPr>
        <w:t>等支出；外交（类）支出0.00万元，占0.0%，主要用于等支出；国防（类）支出0.00万元，占0.0%，主要用于等支出；公共安全类（类）支出0.00万元，占0.0%，主要用于等支出；教育（类）支出0.00万元，占0.0%，主要用于等支出；科学技术（类）支出0.00万元，占0.0%，主要用于等支出；文化旅游体育与传媒（类）支出0.00万元，占0.0%，主要用于等支出；社会保障和就业 （类）支出71.37万元，占13.1%，主要用于</w:t>
      </w:r>
      <w:r>
        <w:rPr>
          <w:rFonts w:hint="eastAsia" w:ascii="Times New Roman" w:eastAsia="仿宋_GB2312"/>
          <w:sz w:val="32"/>
          <w:szCs w:val="32"/>
        </w:rPr>
        <w:t>养老保险和职业年金</w:t>
      </w:r>
      <w:r>
        <w:rPr>
          <w:rFonts w:ascii="Times New Roman" w:eastAsia="仿宋_GB2312"/>
          <w:b w:val="0"/>
          <w:sz w:val="32"/>
          <w:szCs w:val="32"/>
        </w:rPr>
        <w:t>等支出；卫生健康（类）支出18.08万元，占3.3%，主要用于</w:t>
      </w:r>
      <w:r>
        <w:rPr>
          <w:rFonts w:hint="eastAsia" w:ascii="Times New Roman" w:eastAsia="仿宋_GB2312"/>
          <w:sz w:val="32"/>
          <w:szCs w:val="32"/>
        </w:rPr>
        <w:t>计划生育事务和基本医疗</w:t>
      </w:r>
      <w:r>
        <w:rPr>
          <w:rFonts w:ascii="Times New Roman" w:eastAsia="仿宋_GB2312"/>
          <w:b w:val="0"/>
          <w:sz w:val="32"/>
          <w:szCs w:val="32"/>
        </w:rPr>
        <w:t>等支出；节能环保（类）支出0.00万元，占0.0%，主要用于等支出；城乡社区（类）支出0.00万元，占0.0%，主要用于等支出；农林水（类）支出0.00万元，占0.0%，主要用于等支出；交通运输（类）支出0.00万元，占0.0%，主要用于等支出；资源勘探信息等（类）支出0.00万元，占0.0%，主要用于等支出；商业服务业等（类）支出0.00万元，占0.0%，主要用于等支出；金融（类）支出0.00万元，占0.0%，主要用于等支出；援助其他地区（类）支出0.00万元，占0.0%，主要用于等支出；自然资源海洋气象等（类）支出0.00万元，占0.0%，主要用于等支出；住房保障（类）支出0.00万元，占0.0%，主要用于等支出；粮油物资储备（类）支出0.00万元，占0.0%，主要用于等支出；国有资本经营预算支出0.00万元，占0.0%，主要用于等支出；灾害防治及应急管理（类）支出0.00万元，占0.0%，主要用于等支出；其他（类）支出0.00万元，占0.0%，主要用于等支出；债务还本（类）支出0.00万元，占0.0%，主要用于等支出；债务付息（类）支出0.00万元，占0.0%，主要用于等支出；抗疫特别国债安排的支出0.00万元，占0.0%，主要用于等支出。</w:t>
      </w:r>
    </w:p>
    <w:p>
      <w:pPr>
        <w:widowControl/>
        <w:spacing w:before="0" w:beforeLines="0" w:beforeAutospacing="0" w:after="0" w:afterLines="0" w:afterAutospacing="0" w:line="360" w:lineRule="auto"/>
        <w:ind w:firstLine="643" w:firstLineChars="200"/>
        <w:jc w:val="left"/>
        <w:rPr>
          <w:rFonts w:ascii="Times New Roman" w:eastAsia="仿宋_GB2312"/>
          <w:sz w:val="32"/>
          <w:szCs w:val="32"/>
        </w:rPr>
      </w:pPr>
      <w:r>
        <w:rPr>
          <w:rFonts w:ascii="Times New Roman" w:eastAsia="仿宋_GB2312"/>
          <w:b/>
          <w:sz w:val="32"/>
          <w:szCs w:val="32"/>
        </w:rPr>
        <w:t>政府性基金预算财政拨款支出：</w:t>
      </w:r>
    </w:p>
    <w:p>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一般公共服务（类）支出0.00万元，占0.0%，主要用于等支出；外交（类）支出0.00万元，占0.0%，主要用于等支出；国防（类）支出0.00万元，占0.0%，主要用于等支出；公共安全类（类）支出0.00万元，占0.0%，主要用于等支出；教育（类）支出0.00万元，占0.0%，主要用于等支出；科学技术（类）支出0.00万元，占0.0%，主要用于等支出；文化旅游体育与传媒（类）支出0.00万元，占0.0%，主要用于等支出；社会保障和就业 （类）支出0.00万元，占0.0%，主要用于等支出；卫生健康（类）支出0.00万元，占0.0%，主要用于等支出；节能环保（类）支出0.00万元，占0.0%，主要用于等支出；城乡社区（类）支出0.00万元，占0.0%，主要用于等支出；农林水（类）支出0.00万元，占0.0%，主要用于等支出；交通运输（类）支出0.00万元，占0.0%，主要用于等支出；资源勘探信息等（类）支出0.00万元，占0.0%，主要用于等支出；商业服务业等（类）支出0.00万元，占0.0%，主要用于等支出；金融（类）支出0.00万元，占0.0%，主要用于等支出；援助其他地区（类）支出0.00万元，占0.0%，主要用于等支出；自然资源海洋气象等（类）支出0.00万元，占0.0%，主要用于等支出；住房保障（类）支出0.00万元，占0.0%，主要用于等支出；粮油物资储备（类）支出0.00万元，占0.0%，主要用于等支出；国有资本经营预算支出0.00万元，占0.0%，主要用于等支出；灾害防治及应急管理（类）支出0.00万元，占0.0%，主要用于等支出；其他（类）支出0.00万元，占0.0%，主要用于等支出；债务还本（类）支出0.00万元，占0.0%，主要用于等支出；债务付息（类）支出0.00万元，占0.0%，主要用于等支出；抗疫特别国债安排的支出0.00万元，占0.00%，主要用于等支出。</w:t>
      </w:r>
    </w:p>
    <w:p>
      <w:pPr>
        <w:widowControl/>
        <w:spacing w:before="0" w:beforeLines="0" w:beforeAutospacing="0" w:after="0" w:afterLines="0" w:afterAutospacing="0" w:line="360" w:lineRule="auto"/>
        <w:ind w:firstLine="643" w:firstLineChars="200"/>
        <w:jc w:val="left"/>
        <w:rPr>
          <w:rFonts w:ascii="Times New Roman" w:eastAsia="仿宋_GB2312"/>
          <w:sz w:val="32"/>
          <w:szCs w:val="32"/>
        </w:rPr>
      </w:pPr>
      <w:r>
        <w:rPr>
          <w:rFonts w:ascii="Times New Roman" w:eastAsia="仿宋_GB2312"/>
          <w:b/>
          <w:sz w:val="32"/>
          <w:szCs w:val="32"/>
        </w:rPr>
        <w:t>国有资本经营预算财政拨款支出：</w:t>
      </w:r>
    </w:p>
    <w:p>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一般公共服务（类）支出0.00万元，占0.0%，主要用于等支出；外交（类）支出0.00万元，占0.0%，主要用于等支出；国防（类）支出0.00万元，占0.0%，主要用于等支出；公共安全（类）支出0.00万元，占0.0%，主要用于等支出；教育（类）支出0.00万元，占0.0%，主要用于等支出；科学技术（类）支出0.00万元，占0.0%，主要用于等支出；文化旅游体育与传媒（类）支出0.00万元，占0.0%，主要用于等支出；社会保障和就业 （类）支出0.00万元，占0.0%，主要用于等支出；卫生健康（类）支出0.00万元，占0.0%，主要用于等支出；节能环保（类）支出0.00万元，占0.0%，主要用于等支出；城乡社区（类）支出0.00万元，占0.0%，主要用于等支出；农林水（类）支出0.00万元，占0.0%，主要用于等支出；交通运输（类）支出0.00万元，占0.0%，主要用于等支出；资源勘探信息等（类）支出0.00万元，占0.0%，主要用于等支出；商业服务业等（类）支出0.00万元，占0.0%，主要用于等支出；金融（类）支出0.00万元，占0.0%，主要用于等支出；援助其他地区（类）支出0.00万元，占0.0%，主要用于等支出；自然资源海洋气象等（类）支出0.00万元，占0.0%，主要用于等支出；住房保障（类）支出0.00万元，占0.0%，主要用于等支出；粮油物资储备（类）支出0.00万元，占0.0%，主要用于等支出；国有资本经营预算支出0.00万元，占0.0%，主要用于等支出；灾害防治及应急管理（类）支出0.00万元，占0.0%，主要用于等支出；其他（类）支出0.00万元，占0.0%，主要用于等支出；债务还本（类）支出0.00万元，占0.0%，主要用于等支出；债务付息（类）支出0.00万元，占0.0%，主要用于等支出；抗疫特别国债安排的支出0.00万元，占0.0%，主要用于等支出。</w:t>
      </w:r>
    </w:p>
    <w:p>
      <w:pPr>
        <w:widowControl/>
        <w:spacing w:before="0" w:beforeLines="0" w:beforeAutospacing="0" w:after="0" w:afterLines="0" w:afterAutospacing="0" w:line="360" w:lineRule="auto"/>
        <w:ind w:firstLine="643" w:firstLineChars="200"/>
        <w:jc w:val="left"/>
        <w:rPr>
          <w:rFonts w:ascii="Times New Roman" w:eastAsia="楷体_GB2312"/>
          <w:sz w:val="32"/>
          <w:szCs w:val="32"/>
        </w:rPr>
      </w:pPr>
      <w:r>
        <w:rPr>
          <w:rFonts w:ascii="Times New Roman" w:eastAsia="楷体_GB2312"/>
          <w:b/>
          <w:sz w:val="32"/>
          <w:szCs w:val="32"/>
        </w:rPr>
        <w:t>（四）一般公共预算财政拨款基本支出决算情况说明</w:t>
      </w:r>
    </w:p>
    <w:p>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2025年度财政拨款基本支出473.07万元，其中：</w:t>
      </w:r>
    </w:p>
    <w:p>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人员经费402.22万元，主要包括基本工资、津贴补贴、奖金、伙食补助费、绩效工资、机关事业部门基本养老保险缴费、职业年金缴费、职工基本医疗保险缴费、公务员医疗补助缴费、住房公积金、医疗费、其他社会保障缴费、其他工资福利支出、离休费、 退休费、 抚恤金、生活补助、医疗费补助、奖励金、其他对个人和家庭的补助支出。</w:t>
      </w:r>
    </w:p>
    <w:p>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公用经费70.85万元，主要包括办公费、印刷费、手续费、水费、电费、邮电费、取暖费、物业管理费、差旅费、因公出国（境）费用、维修（护）费、租赁费、会议费、培训费、公务接待费、专用材料费、劳务费、委托业务费、工会经费、福利费、公务用车运行维护费、其他交通费用、税金及附加费用、其他商品和服务支出、办公设备购置、专用设备购置、信息网络及软件购置更新、公务用车购置、其他资本性支出。</w:t>
      </w:r>
    </w:p>
    <w:p>
      <w:pPr>
        <w:widowControl/>
        <w:spacing w:before="0" w:beforeLines="0" w:beforeAutospacing="0" w:after="0" w:afterLines="0" w:afterAutospacing="0" w:line="360" w:lineRule="auto"/>
        <w:ind w:firstLine="640" w:firstLineChars="200"/>
        <w:jc w:val="left"/>
        <w:outlineLvl w:val="1"/>
        <w:rPr>
          <w:rFonts w:ascii="Times New Roman" w:eastAsia="黑体"/>
          <w:sz w:val="32"/>
          <w:szCs w:val="32"/>
        </w:rPr>
      </w:pPr>
      <w:r>
        <w:rPr>
          <w:rFonts w:ascii="Times New Roman" w:eastAsia="黑体"/>
          <w:b w:val="0"/>
          <w:sz w:val="32"/>
          <w:szCs w:val="32"/>
        </w:rPr>
        <w:t>五、财政拨款“三公” 经费支出决算情况说明</w:t>
      </w:r>
    </w:p>
    <w:p>
      <w:pPr>
        <w:widowControl/>
        <w:spacing w:before="0" w:beforeLines="0" w:beforeAutospacing="0" w:after="0" w:afterLines="0" w:afterAutospacing="0" w:line="360" w:lineRule="auto"/>
        <w:ind w:firstLine="643" w:firstLineChars="200"/>
        <w:jc w:val="left"/>
        <w:rPr>
          <w:rFonts w:ascii="Times New Roman" w:eastAsia="楷体_GB2312"/>
          <w:sz w:val="32"/>
          <w:szCs w:val="32"/>
        </w:rPr>
      </w:pPr>
      <w:r>
        <w:rPr>
          <w:rFonts w:ascii="Times New Roman" w:eastAsia="楷体_GB2312"/>
          <w:b/>
          <w:sz w:val="32"/>
          <w:szCs w:val="32"/>
        </w:rPr>
        <w:t>（一）“三公”经费财政拨款支出决算总体情况说明</w:t>
      </w:r>
    </w:p>
    <w:p>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本单位2025年度“三公”经费财政拨款支出预算为16.00万元，支出决算为7.02万元，完成预算的43.9%，较预算减少8.98万元，降低56.1%，主要原因是</w:t>
      </w:r>
      <w:r>
        <w:rPr>
          <w:rFonts w:hint="eastAsia" w:ascii="Times New Roman" w:eastAsia="仿宋_GB2312"/>
          <w:sz w:val="32"/>
          <w:szCs w:val="32"/>
        </w:rPr>
        <w:t>厉行节约严格控制三公经费支出</w:t>
      </w:r>
      <w:r>
        <w:rPr>
          <w:rFonts w:ascii="Times New Roman" w:eastAsia="仿宋_GB2312"/>
          <w:b w:val="0"/>
          <w:sz w:val="32"/>
          <w:szCs w:val="32"/>
        </w:rPr>
        <w:t>；较2024年度决算减少0.16万元，降低2.2%，主要原因是</w:t>
      </w:r>
      <w:r>
        <w:rPr>
          <w:rFonts w:hint="eastAsia" w:ascii="Times New Roman" w:eastAsia="仿宋_GB2312"/>
          <w:sz w:val="32"/>
          <w:szCs w:val="32"/>
        </w:rPr>
        <w:t>厉行节约严格控制三公经费支出</w:t>
      </w:r>
      <w:r>
        <w:rPr>
          <w:rFonts w:ascii="Times New Roman" w:eastAsia="仿宋_GB2312"/>
          <w:b w:val="0"/>
          <w:sz w:val="32"/>
          <w:szCs w:val="32"/>
        </w:rPr>
        <w:t>。</w:t>
      </w:r>
    </w:p>
    <w:p>
      <w:pPr>
        <w:widowControl/>
        <w:spacing w:before="0" w:beforeLines="0" w:beforeAutospacing="0" w:after="0" w:afterLines="0" w:afterAutospacing="0" w:line="360" w:lineRule="auto"/>
        <w:ind w:firstLine="643" w:firstLineChars="200"/>
        <w:jc w:val="left"/>
        <w:rPr>
          <w:rFonts w:ascii="Times New Roman" w:eastAsia="楷体_GB2312"/>
          <w:sz w:val="32"/>
          <w:szCs w:val="32"/>
        </w:rPr>
      </w:pPr>
      <w:r>
        <w:rPr>
          <w:rFonts w:ascii="Times New Roman" w:eastAsia="楷体_GB2312"/>
          <w:b/>
          <w:sz w:val="32"/>
          <w:szCs w:val="32"/>
        </w:rPr>
        <w:t>（二）“三公”经费财政拨款支出决算具体情况说明</w:t>
      </w:r>
    </w:p>
    <w:p>
      <w:pPr>
        <w:widowControl/>
        <w:spacing w:before="0" w:beforeLines="0" w:beforeAutospacing="0" w:after="0" w:afterLines="0" w:afterAutospacing="0" w:line="360" w:lineRule="auto"/>
        <w:ind w:firstLine="643" w:firstLineChars="200"/>
        <w:jc w:val="left"/>
        <w:rPr>
          <w:rFonts w:ascii="Times New Roman" w:eastAsia="仿宋_GB2312"/>
          <w:sz w:val="32"/>
          <w:szCs w:val="32"/>
        </w:rPr>
      </w:pPr>
      <w:r>
        <w:rPr>
          <w:rFonts w:ascii="Times New Roman" w:eastAsia="楷体_GB2312"/>
          <w:b/>
          <w:sz w:val="32"/>
          <w:szCs w:val="32"/>
        </w:rPr>
        <w:t>1.因公出国（境）费支出情况。</w:t>
      </w:r>
      <w:r>
        <w:rPr>
          <w:rFonts w:ascii="Times New Roman" w:eastAsia="仿宋_GB2312"/>
          <w:b w:val="0"/>
          <w:sz w:val="32"/>
          <w:szCs w:val="32"/>
        </w:rPr>
        <w:t>本单位2025年度因公出国（境）费支出预算为0.00万元,支出决算0.00万元。完成预算的0.0%。因公出国（境）费支出较预算增加0.00万元，增长0.0%,主要原因是；较上年增加0.00万元，增长0.00%,主要原因是。因公出国（境）团组0个、共0人、参加其他单位组织的因公出国（境）团组个、共人/无本部门组织的出国（境）团组。</w:t>
      </w:r>
    </w:p>
    <w:p>
      <w:pPr>
        <w:widowControl/>
        <w:spacing w:before="0" w:beforeLines="0" w:beforeAutospacing="0" w:after="0" w:afterLines="0" w:afterAutospacing="0" w:line="360" w:lineRule="auto"/>
        <w:ind w:firstLine="643" w:firstLineChars="200"/>
        <w:jc w:val="left"/>
        <w:rPr>
          <w:rFonts w:ascii="Times New Roman" w:eastAsia="仿宋_GB2312"/>
          <w:sz w:val="32"/>
          <w:szCs w:val="32"/>
        </w:rPr>
      </w:pPr>
      <w:r>
        <w:rPr>
          <w:rFonts w:ascii="Times New Roman" w:eastAsia="楷体_GB2312"/>
          <w:b/>
          <w:sz w:val="32"/>
          <w:szCs w:val="32"/>
        </w:rPr>
        <w:t>2.公务用车购置及运行维护费支出情况。</w:t>
      </w:r>
      <w:r>
        <w:rPr>
          <w:rFonts w:ascii="Times New Roman" w:eastAsia="仿宋_GB2312"/>
          <w:b w:val="0"/>
          <w:sz w:val="32"/>
          <w:szCs w:val="32"/>
        </w:rPr>
        <w:t>本单位2025年度公务用车购置及运行维护费预算为16.00万元，支出决算7.02万元，完成预算的43.9%,较预算减少8.98万元，降低56.1%,主要原因是</w:t>
      </w:r>
      <w:r>
        <w:rPr>
          <w:rFonts w:hint="eastAsia" w:ascii="Times New Roman" w:eastAsia="仿宋_GB2312"/>
          <w:sz w:val="32"/>
          <w:szCs w:val="32"/>
        </w:rPr>
        <w:t>厉行节约严格控制三公经费支出</w:t>
      </w:r>
      <w:r>
        <w:rPr>
          <w:rFonts w:ascii="Times New Roman" w:eastAsia="仿宋_GB2312"/>
          <w:b w:val="0"/>
          <w:sz w:val="32"/>
          <w:szCs w:val="32"/>
        </w:rPr>
        <w:t>；较上年减少0.16万元，降低2.2%,主要原因是</w:t>
      </w:r>
      <w:r>
        <w:rPr>
          <w:rFonts w:hint="eastAsia" w:ascii="Times New Roman" w:eastAsia="仿宋_GB2312"/>
          <w:sz w:val="32"/>
          <w:szCs w:val="32"/>
        </w:rPr>
        <w:t>厉行节约严格控制三公经费支出</w:t>
      </w:r>
      <w:r>
        <w:rPr>
          <w:rFonts w:ascii="Times New Roman" w:eastAsia="仿宋_GB2312"/>
          <w:b w:val="0"/>
          <w:sz w:val="32"/>
          <w:szCs w:val="32"/>
        </w:rPr>
        <w:t>。其中：</w:t>
      </w:r>
    </w:p>
    <w:p>
      <w:pPr>
        <w:widowControl/>
        <w:spacing w:before="0" w:beforeLines="0" w:beforeAutospacing="0" w:after="0" w:afterLines="0" w:afterAutospacing="0" w:line="360" w:lineRule="auto"/>
        <w:ind w:firstLine="643" w:firstLineChars="200"/>
        <w:jc w:val="left"/>
        <w:rPr>
          <w:rFonts w:ascii="Times New Roman" w:eastAsia="仿宋_GB2312"/>
          <w:sz w:val="32"/>
          <w:szCs w:val="32"/>
        </w:rPr>
      </w:pPr>
      <w:r>
        <w:rPr>
          <w:rFonts w:ascii="Times New Roman" w:eastAsia="仿宋_GB2312"/>
          <w:b/>
          <w:sz w:val="32"/>
          <w:szCs w:val="32"/>
        </w:rPr>
        <w:t>公务用车购置费支出0.00万元：</w:t>
      </w:r>
      <w:r>
        <w:rPr>
          <w:rFonts w:ascii="Times New Roman" w:eastAsia="仿宋_GB2312"/>
          <w:b w:val="0"/>
          <w:sz w:val="32"/>
          <w:szCs w:val="32"/>
        </w:rPr>
        <w:t>本单位2025年度公务用车购置量0辆，发生“公务用车购置”经费支出0.00万元。公务用车购置费支出较预算增加0.00万元，增长0.0%,主要原因是；较上年增加0.00万元，增长0.00%,主要原因是。</w:t>
      </w:r>
    </w:p>
    <w:p>
      <w:pPr>
        <w:widowControl/>
        <w:spacing w:before="0" w:beforeLines="0" w:beforeAutospacing="0" w:after="0" w:afterLines="0" w:afterAutospacing="0" w:line="360" w:lineRule="auto"/>
        <w:ind w:firstLine="643" w:firstLineChars="200"/>
        <w:jc w:val="left"/>
        <w:rPr>
          <w:rFonts w:ascii="Times New Roman" w:eastAsia="仿宋_GB2312"/>
          <w:sz w:val="32"/>
          <w:szCs w:val="32"/>
        </w:rPr>
      </w:pPr>
      <w:r>
        <w:rPr>
          <w:rFonts w:ascii="Times New Roman" w:eastAsia="仿宋_GB2312"/>
          <w:b/>
          <w:sz w:val="32"/>
          <w:szCs w:val="32"/>
        </w:rPr>
        <w:t>公务用车运行维护费支出7.02万元：</w:t>
      </w:r>
      <w:r>
        <w:rPr>
          <w:rFonts w:ascii="Times New Roman" w:eastAsia="仿宋_GB2312"/>
          <w:b w:val="0"/>
          <w:sz w:val="32"/>
          <w:szCs w:val="32"/>
        </w:rPr>
        <w:t>本单位2025年度单位公务用车保有量4辆，发生运行维护费支出7.02万元。公车运行维护费支出较预算减少8.98万元，降低56.1%,主要原因是</w:t>
      </w:r>
      <w:r>
        <w:rPr>
          <w:rFonts w:hint="eastAsia" w:ascii="Times New Roman" w:eastAsia="仿宋_GB2312"/>
          <w:sz w:val="32"/>
          <w:szCs w:val="32"/>
        </w:rPr>
        <w:t>厉行节约严格控制三公经费支出</w:t>
      </w:r>
      <w:r>
        <w:rPr>
          <w:rFonts w:ascii="Times New Roman" w:eastAsia="仿宋_GB2312"/>
          <w:b w:val="0"/>
          <w:sz w:val="32"/>
          <w:szCs w:val="32"/>
        </w:rPr>
        <w:t>；较上年减少0.16万元，降低2.2%，主要原因是</w:t>
      </w:r>
      <w:r>
        <w:rPr>
          <w:rFonts w:hint="eastAsia" w:ascii="Times New Roman" w:eastAsia="仿宋_GB2312"/>
          <w:sz w:val="32"/>
          <w:szCs w:val="32"/>
        </w:rPr>
        <w:t>厉行节约严格控制三公经费支出</w:t>
      </w:r>
      <w:r>
        <w:rPr>
          <w:rFonts w:ascii="Times New Roman" w:eastAsia="仿宋_GB2312"/>
          <w:b w:val="0"/>
          <w:sz w:val="32"/>
          <w:szCs w:val="32"/>
        </w:rPr>
        <w:t>。</w:t>
      </w:r>
    </w:p>
    <w:p>
      <w:pPr>
        <w:widowControl/>
        <w:spacing w:before="0" w:beforeLines="0" w:beforeAutospacing="0" w:after="0" w:afterLines="0" w:afterAutospacing="0" w:line="360" w:lineRule="auto"/>
        <w:ind w:firstLine="643" w:firstLineChars="200"/>
        <w:jc w:val="left"/>
        <w:rPr>
          <w:rFonts w:ascii="Times New Roman" w:eastAsia="仿宋_GB2312"/>
          <w:sz w:val="32"/>
          <w:szCs w:val="32"/>
        </w:rPr>
      </w:pPr>
      <w:r>
        <w:rPr>
          <w:rFonts w:ascii="Times New Roman" w:eastAsia="楷体_GB2312"/>
          <w:b/>
          <w:sz w:val="32"/>
          <w:szCs w:val="32"/>
        </w:rPr>
        <w:t>3.公务接待费支出情况。</w:t>
      </w:r>
      <w:r>
        <w:rPr>
          <w:rFonts w:ascii="Times New Roman" w:eastAsia="仿宋_GB2312"/>
          <w:b w:val="0"/>
          <w:sz w:val="32"/>
          <w:szCs w:val="32"/>
        </w:rPr>
        <w:t>本单位2025年度公务接待费支出预算为0.00万元，支出决算0.00万元，完成预算的0.0%。公务接待费支出较预算增加0.00万元，增长0.0%,主要原因是；较上年度增加0.00万元，增长0.00%,主要原因是。本年度共发生公务接待0批次、0人次。</w:t>
      </w:r>
    </w:p>
    <w:p>
      <w:pPr>
        <w:widowControl/>
        <w:spacing w:before="0" w:beforeLines="0" w:beforeAutospacing="0" w:after="0" w:afterLines="0" w:afterAutospacing="0" w:line="360" w:lineRule="auto"/>
        <w:ind w:firstLine="640" w:firstLineChars="200"/>
        <w:jc w:val="left"/>
        <w:outlineLvl w:val="1"/>
        <w:rPr>
          <w:rFonts w:ascii="Times New Roman" w:eastAsia="黑体"/>
          <w:sz w:val="32"/>
          <w:szCs w:val="32"/>
        </w:rPr>
      </w:pPr>
      <w:r>
        <w:rPr>
          <w:rFonts w:ascii="Times New Roman" w:eastAsia="黑体"/>
          <w:b w:val="0"/>
          <w:sz w:val="32"/>
          <w:szCs w:val="32"/>
        </w:rPr>
        <w:t>六、机关运行经费支出说明</w:t>
      </w:r>
    </w:p>
    <w:p>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本单位2025年度机关运行经费支出70.85万元，较2024年度增加11.05万元，增长18.5%。主要原因是</w:t>
      </w:r>
      <w:r>
        <w:rPr>
          <w:rFonts w:hint="eastAsia" w:ascii="Times New Roman" w:eastAsia="仿宋_GB2312"/>
          <w:b w:val="0"/>
          <w:sz w:val="32"/>
          <w:szCs w:val="32"/>
          <w:lang w:val="en-US" w:eastAsia="zh-CN"/>
        </w:rPr>
        <w:t>项目支出增加</w:t>
      </w:r>
      <w:r>
        <w:rPr>
          <w:rFonts w:ascii="Times New Roman" w:eastAsia="仿宋_GB2312"/>
          <w:b w:val="0"/>
          <w:sz w:val="32"/>
          <w:szCs w:val="32"/>
        </w:rPr>
        <w:t>。</w:t>
      </w:r>
    </w:p>
    <w:p>
      <w:pPr>
        <w:widowControl/>
        <w:spacing w:before="0" w:beforeLines="0" w:beforeAutospacing="0" w:after="0" w:afterLines="0" w:afterAutospacing="0" w:line="360" w:lineRule="auto"/>
        <w:ind w:firstLine="640" w:firstLineChars="200"/>
        <w:jc w:val="left"/>
        <w:outlineLvl w:val="1"/>
        <w:rPr>
          <w:rFonts w:ascii="Times New Roman" w:eastAsia="黑体"/>
          <w:sz w:val="32"/>
          <w:szCs w:val="32"/>
        </w:rPr>
      </w:pPr>
      <w:r>
        <w:rPr>
          <w:rFonts w:ascii="Times New Roman" w:eastAsia="黑体"/>
          <w:b w:val="0"/>
          <w:sz w:val="32"/>
          <w:szCs w:val="32"/>
        </w:rPr>
        <w:t>七、政府采购支出说明</w:t>
      </w:r>
    </w:p>
    <w:p>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本单位2025年度政府采购支出总额0.00万元，从采购类型来看，政府采购货物支出0.00万元、政府采购工程支出0.00万元、政府采购服务支出0.00万元。授予中小企业合同金额0.00万元，占政府采购支出总额的0.0%，其中授予小微企业合同金额0.00万元，占政府采购支出总额的0.0%。</w:t>
      </w:r>
    </w:p>
    <w:p>
      <w:pPr>
        <w:widowControl/>
        <w:spacing w:before="0" w:beforeLines="0" w:beforeAutospacing="0" w:after="0" w:afterLines="0" w:afterAutospacing="0" w:line="360" w:lineRule="auto"/>
        <w:ind w:firstLine="640" w:firstLineChars="200"/>
        <w:jc w:val="left"/>
        <w:outlineLvl w:val="1"/>
        <w:rPr>
          <w:rFonts w:ascii="Times New Roman" w:eastAsia="黑体"/>
          <w:sz w:val="32"/>
          <w:szCs w:val="32"/>
        </w:rPr>
      </w:pPr>
      <w:r>
        <w:rPr>
          <w:rFonts w:ascii="Times New Roman" w:eastAsia="黑体"/>
          <w:b w:val="0"/>
          <w:sz w:val="32"/>
          <w:szCs w:val="32"/>
        </w:rPr>
        <w:t>八、国有资产占用情况说明</w:t>
      </w:r>
    </w:p>
    <w:p>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截至2025年12月31日，本单位共有车辆4辆，比上年增加0辆，主要是。其中，副部（省）级及以上领导用车0辆，主要负责人用车0辆，机要通信用车0辆，应急保障用车4辆，执法执勤用车0辆，特种专业技术用车0辆，离退休干部用车0辆，其他用车0辆，其他用车主要是。单位价值100万元（含）以上设备（不含车辆）0台（套）。</w:t>
      </w:r>
    </w:p>
    <w:p>
      <w:pPr>
        <w:widowControl/>
        <w:spacing w:before="0" w:beforeLines="0" w:beforeAutospacing="0" w:after="0" w:afterLines="0" w:afterAutospacing="0" w:line="360" w:lineRule="auto"/>
        <w:ind w:firstLine="640" w:firstLineChars="200"/>
        <w:jc w:val="left"/>
        <w:outlineLvl w:val="1"/>
        <w:rPr>
          <w:rFonts w:ascii="Times New Roman" w:eastAsia="黑体"/>
          <w:sz w:val="32"/>
          <w:szCs w:val="32"/>
        </w:rPr>
      </w:pPr>
      <w:r>
        <w:rPr>
          <w:rFonts w:ascii="Times New Roman" w:eastAsia="黑体"/>
          <w:b w:val="0"/>
          <w:sz w:val="32"/>
          <w:szCs w:val="32"/>
        </w:rPr>
        <w:t>九、关于2025年度绩效评价情况的说明</w:t>
      </w:r>
    </w:p>
    <w:p>
      <w:pPr>
        <w:widowControl/>
        <w:spacing w:before="0" w:beforeLines="0" w:beforeAutospacing="0" w:after="0" w:afterLines="0" w:afterAutospacing="0" w:line="360" w:lineRule="auto"/>
        <w:ind w:firstLine="643" w:firstLineChars="200"/>
        <w:jc w:val="left"/>
        <w:rPr>
          <w:rFonts w:ascii="Times New Roman" w:eastAsia="仿宋_GB2312"/>
          <w:sz w:val="32"/>
          <w:szCs w:val="32"/>
        </w:rPr>
      </w:pPr>
      <w:r>
        <w:rPr>
          <w:rFonts w:ascii="Times New Roman" w:eastAsia="仿宋_GB2312"/>
          <w:b/>
          <w:sz w:val="32"/>
          <w:szCs w:val="32"/>
        </w:rPr>
        <w:t>（一）绩效评价工作开展情况</w:t>
      </w:r>
    </w:p>
    <w:p>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根据预算绩效管理要求，本单位组织对2025年度本级预算项目支出全面开展绩效自评，共涉及资金</w:t>
      </w:r>
      <w:r>
        <w:rPr>
          <w:rFonts w:hint="eastAsia" w:ascii="Times New Roman" w:eastAsia="仿宋_GB2312"/>
          <w:b w:val="0"/>
          <w:sz w:val="32"/>
          <w:szCs w:val="32"/>
          <w:lang w:val="en-US" w:eastAsia="zh-CN"/>
        </w:rPr>
        <w:t>71.61</w:t>
      </w:r>
      <w:r>
        <w:rPr>
          <w:rFonts w:ascii="Times New Roman" w:eastAsia="仿宋_GB2312"/>
          <w:b w:val="0"/>
          <w:sz w:val="32"/>
          <w:szCs w:val="32"/>
        </w:rPr>
        <w:t>万元（决算金额）。其中，一般公共预算项目</w:t>
      </w:r>
      <w:r>
        <w:rPr>
          <w:rFonts w:hint="eastAsia" w:ascii="Times New Roman" w:eastAsia="仿宋_GB2312"/>
          <w:b w:val="0"/>
          <w:sz w:val="32"/>
          <w:szCs w:val="32"/>
          <w:lang w:val="en-US" w:eastAsia="zh-CN"/>
        </w:rPr>
        <w:t>5</w:t>
      </w:r>
      <w:r>
        <w:rPr>
          <w:rFonts w:ascii="Times New Roman" w:eastAsia="仿宋_GB2312"/>
          <w:b w:val="0"/>
          <w:sz w:val="32"/>
          <w:szCs w:val="32"/>
        </w:rPr>
        <w:t>个，涉及资金</w:t>
      </w:r>
      <w:r>
        <w:rPr>
          <w:rFonts w:hint="eastAsia" w:ascii="Times New Roman" w:eastAsia="仿宋_GB2312"/>
          <w:b w:val="0"/>
          <w:sz w:val="32"/>
          <w:szCs w:val="32"/>
          <w:lang w:val="en-US" w:eastAsia="zh-CN"/>
        </w:rPr>
        <w:t>71.61</w:t>
      </w:r>
      <w:r>
        <w:rPr>
          <w:rFonts w:ascii="Times New Roman" w:eastAsia="仿宋_GB2312"/>
          <w:b w:val="0"/>
          <w:sz w:val="32"/>
          <w:szCs w:val="32"/>
        </w:rPr>
        <w:t>万元，占一般公共预算项目支出总额的</w:t>
      </w:r>
      <w:r>
        <w:rPr>
          <w:rFonts w:hint="eastAsia" w:ascii="Times New Roman" w:eastAsia="仿宋_GB2312"/>
          <w:b w:val="0"/>
          <w:sz w:val="32"/>
          <w:szCs w:val="32"/>
          <w:lang w:val="en-US" w:eastAsia="zh-CN"/>
        </w:rPr>
        <w:t>100</w:t>
      </w:r>
      <w:r>
        <w:rPr>
          <w:rFonts w:ascii="Times New Roman" w:eastAsia="仿宋_GB2312"/>
          <w:b w:val="0"/>
          <w:sz w:val="32"/>
          <w:szCs w:val="32"/>
        </w:rPr>
        <w:t>%；政府性基金预算项目</w:t>
      </w:r>
      <w:r>
        <w:rPr>
          <w:rFonts w:hint="eastAsia" w:ascii="Times New Roman" w:eastAsia="仿宋_GB2312"/>
          <w:b w:val="0"/>
          <w:sz w:val="32"/>
          <w:szCs w:val="32"/>
          <w:lang w:val="en-US" w:eastAsia="zh-CN"/>
        </w:rPr>
        <w:t>0</w:t>
      </w:r>
      <w:r>
        <w:rPr>
          <w:rFonts w:ascii="Times New Roman" w:eastAsia="仿宋_GB2312"/>
          <w:b w:val="0"/>
          <w:sz w:val="32"/>
          <w:szCs w:val="32"/>
        </w:rPr>
        <w:t>个，涉及资金</w:t>
      </w:r>
      <w:r>
        <w:rPr>
          <w:rFonts w:hint="eastAsia" w:ascii="Times New Roman" w:eastAsia="仿宋_GB2312"/>
          <w:b w:val="0"/>
          <w:sz w:val="32"/>
          <w:szCs w:val="32"/>
          <w:lang w:val="en-US" w:eastAsia="zh-CN"/>
        </w:rPr>
        <w:t>0</w:t>
      </w:r>
      <w:r>
        <w:rPr>
          <w:rFonts w:ascii="Times New Roman" w:eastAsia="仿宋_GB2312"/>
          <w:b w:val="0"/>
          <w:sz w:val="32"/>
          <w:szCs w:val="32"/>
        </w:rPr>
        <w:t>万元，占政府性基金预算项目支出总额的</w:t>
      </w:r>
      <w:r>
        <w:rPr>
          <w:rFonts w:hint="eastAsia" w:ascii="Times New Roman" w:eastAsia="仿宋_GB2312"/>
          <w:b w:val="0"/>
          <w:sz w:val="32"/>
          <w:szCs w:val="32"/>
          <w:lang w:val="en-US" w:eastAsia="zh-CN"/>
        </w:rPr>
        <w:t>0</w:t>
      </w:r>
      <w:r>
        <w:rPr>
          <w:rFonts w:ascii="Times New Roman" w:eastAsia="仿宋_GB2312"/>
          <w:b w:val="0"/>
          <w:sz w:val="32"/>
          <w:szCs w:val="32"/>
        </w:rPr>
        <w:t>%；国有资本经营预算项目个，涉及资金</w:t>
      </w:r>
      <w:r>
        <w:rPr>
          <w:rFonts w:hint="eastAsia" w:ascii="Times New Roman" w:eastAsia="仿宋_GB2312"/>
          <w:b w:val="0"/>
          <w:sz w:val="32"/>
          <w:szCs w:val="32"/>
          <w:lang w:val="en-US" w:eastAsia="zh-CN"/>
        </w:rPr>
        <w:t>0</w:t>
      </w:r>
      <w:r>
        <w:rPr>
          <w:rFonts w:ascii="Times New Roman" w:eastAsia="仿宋_GB2312"/>
          <w:b w:val="0"/>
          <w:sz w:val="32"/>
          <w:szCs w:val="32"/>
        </w:rPr>
        <w:t>万元，占国有资本经营预算项目支出总额的</w:t>
      </w:r>
      <w:r>
        <w:rPr>
          <w:rFonts w:hint="eastAsia" w:ascii="Times New Roman" w:eastAsia="仿宋_GB2312"/>
          <w:b w:val="0"/>
          <w:sz w:val="32"/>
          <w:szCs w:val="32"/>
          <w:lang w:val="en-US" w:eastAsia="zh-CN"/>
        </w:rPr>
        <w:t>0</w:t>
      </w:r>
      <w:r>
        <w:rPr>
          <w:rFonts w:ascii="Times New Roman" w:eastAsia="仿宋_GB2312"/>
          <w:b w:val="0"/>
          <w:sz w:val="32"/>
          <w:szCs w:val="32"/>
        </w:rPr>
        <w:t>%。</w:t>
      </w:r>
    </w:p>
    <w:p>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组织对等个项目开展了部门重点评价，涉及一般公共预算支出</w:t>
      </w:r>
      <w:r>
        <w:rPr>
          <w:rFonts w:hint="eastAsia" w:ascii="Times New Roman" w:eastAsia="仿宋_GB2312"/>
          <w:b w:val="0"/>
          <w:sz w:val="32"/>
          <w:szCs w:val="32"/>
          <w:lang w:val="en-US" w:eastAsia="zh-CN"/>
        </w:rPr>
        <w:t>71.61</w:t>
      </w:r>
      <w:r>
        <w:rPr>
          <w:rFonts w:ascii="Times New Roman" w:eastAsia="仿宋_GB2312"/>
          <w:b w:val="0"/>
          <w:sz w:val="32"/>
          <w:szCs w:val="32"/>
        </w:rPr>
        <w:t>万元，政府性基金预算支出</w:t>
      </w:r>
      <w:r>
        <w:rPr>
          <w:rFonts w:hint="eastAsia" w:ascii="Times New Roman" w:eastAsia="仿宋_GB2312"/>
          <w:b w:val="0"/>
          <w:sz w:val="32"/>
          <w:szCs w:val="32"/>
          <w:lang w:val="en-US" w:eastAsia="zh-CN"/>
        </w:rPr>
        <w:t>0</w:t>
      </w:r>
      <w:r>
        <w:rPr>
          <w:rFonts w:ascii="Times New Roman" w:eastAsia="仿宋_GB2312"/>
          <w:b w:val="0"/>
          <w:sz w:val="32"/>
          <w:szCs w:val="32"/>
        </w:rPr>
        <w:t>万元，国有资本经营预算支出</w:t>
      </w:r>
      <w:r>
        <w:rPr>
          <w:rFonts w:hint="eastAsia" w:ascii="Times New Roman" w:eastAsia="仿宋_GB2312"/>
          <w:b w:val="0"/>
          <w:sz w:val="32"/>
          <w:szCs w:val="32"/>
          <w:lang w:val="en-US" w:eastAsia="zh-CN"/>
        </w:rPr>
        <w:t>0</w:t>
      </w:r>
      <w:r>
        <w:rPr>
          <w:rFonts w:ascii="Times New Roman" w:eastAsia="仿宋_GB2312"/>
          <w:b w:val="0"/>
          <w:sz w:val="32"/>
          <w:szCs w:val="32"/>
        </w:rPr>
        <w:t>万元，从评价情况来看，</w:t>
      </w:r>
      <w:r>
        <w:rPr>
          <w:rFonts w:hint="eastAsia" w:ascii="Times New Roman" w:eastAsia="仿宋_GB2312"/>
          <w:b w:val="0"/>
          <w:sz w:val="32"/>
          <w:szCs w:val="32"/>
          <w:lang w:val="en-US" w:eastAsia="zh-CN"/>
        </w:rPr>
        <w:t>项目圆满结束</w:t>
      </w:r>
      <w:r>
        <w:rPr>
          <w:rFonts w:ascii="Times New Roman" w:eastAsia="仿宋_GB2312"/>
          <w:b w:val="0"/>
          <w:sz w:val="32"/>
          <w:szCs w:val="32"/>
        </w:rPr>
        <w:t>。</w:t>
      </w:r>
    </w:p>
    <w:p>
      <w:pPr>
        <w:widowControl/>
        <w:spacing w:before="0" w:beforeLines="0" w:beforeAutospacing="0" w:after="0" w:afterLines="0" w:afterAutospacing="0" w:line="360" w:lineRule="auto"/>
        <w:ind w:firstLine="643" w:firstLineChars="200"/>
        <w:jc w:val="left"/>
        <w:rPr>
          <w:rFonts w:ascii="Times New Roman" w:eastAsia="仿宋_GB2312"/>
          <w:sz w:val="32"/>
          <w:szCs w:val="32"/>
        </w:rPr>
      </w:pPr>
      <w:r>
        <w:rPr>
          <w:rFonts w:ascii="Times New Roman" w:eastAsia="仿宋_GB2312"/>
          <w:b/>
          <w:sz w:val="32"/>
          <w:szCs w:val="32"/>
        </w:rPr>
        <w:t>（二）部门决算中项目绩效自评结果</w:t>
      </w:r>
    </w:p>
    <w:p>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本单位在今年部门决算公开中反映</w:t>
      </w:r>
      <w:r>
        <w:rPr>
          <w:rFonts w:hint="eastAsia" w:ascii="Times New Roman" w:eastAsia="仿宋_GB2312"/>
          <w:b w:val="0"/>
          <w:sz w:val="32"/>
          <w:szCs w:val="32"/>
        </w:rPr>
        <w:t>无极县第十四届委员会第五次会议</w:t>
      </w:r>
      <w:r>
        <w:rPr>
          <w:rFonts w:ascii="Times New Roman" w:eastAsia="仿宋_GB2312"/>
          <w:b w:val="0"/>
          <w:sz w:val="32"/>
          <w:szCs w:val="32"/>
        </w:rPr>
        <w:t>等</w:t>
      </w:r>
      <w:r>
        <w:rPr>
          <w:rFonts w:hint="eastAsia" w:ascii="Times New Roman" w:eastAsia="仿宋_GB2312"/>
          <w:b w:val="0"/>
          <w:sz w:val="32"/>
          <w:szCs w:val="32"/>
          <w:lang w:val="en-US" w:eastAsia="zh-CN"/>
        </w:rPr>
        <w:t>5</w:t>
      </w:r>
      <w:r>
        <w:rPr>
          <w:rFonts w:ascii="Times New Roman" w:eastAsia="仿宋_GB2312"/>
          <w:b w:val="0"/>
          <w:sz w:val="32"/>
          <w:szCs w:val="32"/>
        </w:rPr>
        <w:t>个项目绩效自评结果。</w:t>
      </w:r>
    </w:p>
    <w:p>
      <w:pPr>
        <w:widowControl/>
        <w:spacing w:before="0" w:beforeLines="0" w:beforeAutospacing="0" w:after="0" w:afterLines="0" w:afterAutospacing="0" w:line="360" w:lineRule="auto"/>
        <w:ind w:firstLine="640" w:firstLineChars="200"/>
        <w:jc w:val="left"/>
        <w:rPr>
          <w:rFonts w:ascii="Times New Roman" w:eastAsia="仿宋_GB2312"/>
          <w:b w:val="0"/>
          <w:sz w:val="32"/>
          <w:szCs w:val="32"/>
        </w:rPr>
      </w:pPr>
      <w:r>
        <w:rPr>
          <w:rFonts w:ascii="Times New Roman" w:eastAsia="仿宋_GB2312"/>
          <w:b w:val="0"/>
          <w:sz w:val="32"/>
          <w:szCs w:val="32"/>
        </w:rPr>
        <w:t>项目绩效自评情况：</w:t>
      </w:r>
      <w:r>
        <w:rPr>
          <w:rFonts w:hint="eastAsia" w:ascii="Times New Roman" w:eastAsia="仿宋_GB2312"/>
          <w:b w:val="0"/>
          <w:sz w:val="32"/>
          <w:szCs w:val="32"/>
        </w:rPr>
        <w:t>1、2025年政协无极县委员会办公室十四届五次会议项目安排资金50万元，实际支出33.63万元，主要组织十四届五次会议召开。该项目自评得分95分，共设置4个一级指标，数量指标资金使用率指标预期值95%，实际完成95%得分10分;会议完成率指标预期值95%，实际完成95%得分10分;及时性指标预期值95%，实际完成95%得分10分;项目预算资金完成率指标预期值95%，实际完成95%得分10分;产出类指标得分40分。预算执行率指标预期值100%，实际完成100%得分10分。效益指标经济效益指标预期值95%，实际完成80%得5分;社会效益指标预期值为95%，实际完成100%得分10分，生态指标预期值95%，实际完成95%得分10分;可持续影响指标预期值95%，实际完成95%均得分10分，效益指标得分35分。满意度指标指标预期值95%，实际完成95%得分10分。该项目自评得分95分。</w:t>
      </w:r>
    </w:p>
    <w:p>
      <w:pPr>
        <w:widowControl/>
        <w:spacing w:before="0" w:beforeLines="0" w:beforeAutospacing="0" w:after="0" w:afterLines="0" w:afterAutospacing="0" w:line="360" w:lineRule="auto"/>
        <w:ind w:firstLine="640" w:firstLineChars="200"/>
        <w:jc w:val="left"/>
        <w:rPr>
          <w:rFonts w:ascii="Times New Roman" w:eastAsia="仿宋_GB2312"/>
          <w:b w:val="0"/>
          <w:sz w:val="32"/>
          <w:szCs w:val="32"/>
        </w:rPr>
      </w:pPr>
      <w:r>
        <w:rPr>
          <w:rFonts w:hint="eastAsia" w:ascii="Times New Roman" w:eastAsia="仿宋_GB2312"/>
          <w:b w:val="0"/>
          <w:sz w:val="32"/>
          <w:szCs w:val="32"/>
        </w:rPr>
        <w:t>2、汇编印制编撰《印象无极》专项经费项目安排资金5万元，实际支出5万元，该项目自评得分100分，共设置4个一级指标，数量指标资金使用率指标预期值95%，实际完成95%得分10分;会议完成率指标预期值95%，实际完成95%得分10分;及时性指标预期值95%，实际完成95%得分10分;项目预算资金完成率指标预期值95%，实际完成95%得分10分;产出类指标得分40分。预算执行率指标预期值100%，实际完成100%得分10分。效益指标经济效益指标预期值95%，实际完成95%得10分;社会效益指标预期值为95%，实际完成100%得分10分，生态指标预期值95%，实际完成95%得分10分;可持续影响指标预期值95%，实际完成95%均得分10分，效益指标得分35分。满意度指标指标预期值95%，实际完成95%得分10分。该项目自评得分100分。</w:t>
      </w:r>
    </w:p>
    <w:p>
      <w:pPr>
        <w:widowControl/>
        <w:spacing w:before="0" w:beforeLines="0" w:beforeAutospacing="0" w:after="0" w:afterLines="0" w:afterAutospacing="0" w:line="360" w:lineRule="auto"/>
        <w:ind w:firstLine="640" w:firstLineChars="200"/>
        <w:jc w:val="left"/>
        <w:rPr>
          <w:rFonts w:ascii="Times New Roman" w:eastAsia="仿宋_GB2312"/>
          <w:b w:val="0"/>
          <w:sz w:val="32"/>
          <w:szCs w:val="32"/>
        </w:rPr>
      </w:pPr>
      <w:r>
        <w:rPr>
          <w:rFonts w:hint="eastAsia" w:ascii="Times New Roman" w:eastAsia="仿宋_GB2312"/>
          <w:b w:val="0"/>
          <w:sz w:val="32"/>
          <w:szCs w:val="32"/>
        </w:rPr>
        <w:t>3、专项村志工作经费项目安排资金5万元，实际支出4.9881万元，该项目自评得分100分，共设置4个一级指标，数量指标资金使用率指标预期值95%，实际完成95%得分10分;会议完成率指标预期值95%，实际完成95%得分10分;及时性指标预期值95%，实际完成95%得分10分;项目预算资金完成率指标预期值95%，实际完成95%得分10分;产出类指标得分40分。预算执行率指标预期值100%，实际完成100%得分10分。效益指标经济效益指标预期值95%，实际完成95%得10分;社会效益指标预期值为95%，实际完成100%得分10分，生态指标预期值95%，实际完成95%得分10分;可持续影响指标预期值95%，实际完成95%均得分10分，效益指标得分35分。满意度指标指标预期值95%，实际完成95%得分10分。该项目自评得分100分。</w:t>
      </w:r>
    </w:p>
    <w:p>
      <w:pPr>
        <w:widowControl/>
        <w:spacing w:before="0" w:beforeLines="0" w:beforeAutospacing="0" w:after="0" w:afterLines="0" w:afterAutospacing="0" w:line="360" w:lineRule="auto"/>
        <w:ind w:firstLine="640" w:firstLineChars="200"/>
        <w:jc w:val="left"/>
        <w:rPr>
          <w:rFonts w:ascii="Times New Roman" w:eastAsia="仿宋_GB2312"/>
          <w:b w:val="0"/>
          <w:sz w:val="32"/>
          <w:szCs w:val="32"/>
        </w:rPr>
      </w:pPr>
      <w:r>
        <w:rPr>
          <w:rFonts w:hint="eastAsia" w:ascii="Times New Roman" w:eastAsia="仿宋_GB2312"/>
          <w:b w:val="0"/>
          <w:sz w:val="32"/>
          <w:szCs w:val="32"/>
        </w:rPr>
        <w:t>4、李狄三红色文化经费项目安排资金13万元，实际支出13万元，该项目自评得分100分，共设置4个一级指标，数量指标资金使用率指标预期值95%，实际完成95%得分10分;会议完成率指标预期值95%，实际完成95%得分10分;及时性指标预期值95%，实际完成95%得分10分;项目预算资金完成率指标预期值95%，实际完成95%得分10分;产出类指标得分40分。预算执行率指标预期值100%，实际完成100%得分10分。效益指标经济效益指标预期值95%，实际完成95%得10分;社会效益指标预期值为95%，实际完成100%得分10分，生态指标预期值95%，实际完成95%得分10分;可持续影响指标预期值95%，实际完成95%均得分10分，效益指标得分35分。满意度指标指标预期值95%，实际完成95%得分10分。该项目自评得分100分。</w:t>
      </w:r>
    </w:p>
    <w:p>
      <w:pPr>
        <w:widowControl/>
        <w:spacing w:before="0" w:beforeLines="0" w:beforeAutospacing="0" w:after="0" w:afterLines="0" w:afterAutospacing="0" w:line="360" w:lineRule="auto"/>
        <w:ind w:firstLine="640" w:firstLineChars="200"/>
        <w:jc w:val="left"/>
        <w:rPr>
          <w:rFonts w:ascii="Times New Roman" w:eastAsia="仿宋_GB2312"/>
          <w:b w:val="0"/>
          <w:sz w:val="32"/>
          <w:szCs w:val="32"/>
        </w:rPr>
      </w:pPr>
      <w:r>
        <w:rPr>
          <w:rFonts w:hint="eastAsia" w:ascii="Times New Roman" w:eastAsia="仿宋_GB2312"/>
          <w:b w:val="0"/>
          <w:sz w:val="32"/>
          <w:szCs w:val="32"/>
        </w:rPr>
        <w:t>5、李狄三红色文化工作经费项目安排资金15万元，实际支出15万元，该项目自评得分100分，共设置4个一级指标，数量指标资金使用率指标预期值95%，实际完成95%得分10分;会议完成率指标预期值95%，实际完成95%得分10分;及时性指标预期值95%，实际完成95%得分10分;项目预算资金完成率指标预期值95%，实际完成95%得分10分;产出类指标得分40分。预算执行率指标预期值100%，实际完成100%得分10分。效益指标经济效益指标预期值95%，实际完成95%得10分;社会效益指标预期值为95%，实际完成100%得分10分，生态指标预期值95%，实际完成95%得分10分;可持续影响指标预期值95%，实际完成95%均得分10分，效益指标得分35分。满意度指标指标预期值95%，实际完成95%得分10分。该项目自评得分100分。</w:t>
      </w:r>
    </w:p>
    <w:p>
      <w:pPr>
        <w:widowControl/>
        <w:spacing w:before="0" w:beforeLines="0" w:beforeAutospacing="0" w:after="0" w:afterLines="0" w:afterAutospacing="0" w:line="360" w:lineRule="auto"/>
        <w:ind w:firstLine="640" w:firstLineChars="200"/>
        <w:jc w:val="left"/>
        <w:rPr>
          <w:rFonts w:ascii="Times New Roman" w:eastAsia="仿宋_GB2312"/>
          <w:b w:val="0"/>
          <w:sz w:val="32"/>
          <w:szCs w:val="32"/>
        </w:rPr>
      </w:pPr>
      <w:r>
        <w:rPr>
          <w:rFonts w:hint="eastAsia" w:ascii="Times New Roman" w:eastAsia="仿宋_GB2312"/>
          <w:b w:val="0"/>
          <w:sz w:val="32"/>
          <w:szCs w:val="32"/>
        </w:rPr>
        <w:t>根据部门职责定位和各项工作履职情况进行综合评价，给出总得分，满分100分，得出综合绩效评价等级。部门整体支出综合绩效评价分为4个等级：得分</w:t>
      </w:r>
      <w:r>
        <w:rPr>
          <w:rFonts w:ascii="Times New Roman" w:eastAsia="仿宋_GB2312"/>
          <w:b w:val="0"/>
          <w:sz w:val="32"/>
          <w:szCs w:val="32"/>
        </w:rPr>
        <w:t>≥</w:t>
      </w:r>
      <w:r>
        <w:rPr>
          <w:rFonts w:hint="eastAsia" w:ascii="Times New Roman" w:eastAsia="仿宋_GB2312"/>
          <w:b w:val="0"/>
          <w:sz w:val="32"/>
          <w:szCs w:val="32"/>
        </w:rPr>
        <w:t>85分为优秀；75</w:t>
      </w:r>
      <w:r>
        <w:rPr>
          <w:rFonts w:ascii="Times New Roman" w:eastAsia="仿宋_GB2312"/>
          <w:b w:val="0"/>
          <w:sz w:val="32"/>
          <w:szCs w:val="32"/>
        </w:rPr>
        <w:t>≤</w:t>
      </w:r>
      <w:r>
        <w:rPr>
          <w:rFonts w:hint="eastAsia" w:ascii="Times New Roman" w:eastAsia="仿宋_GB2312"/>
          <w:b w:val="0"/>
          <w:sz w:val="32"/>
          <w:szCs w:val="32"/>
        </w:rPr>
        <w:t>得分＜85分为良好；60</w:t>
      </w:r>
      <w:r>
        <w:rPr>
          <w:rFonts w:ascii="Times New Roman" w:eastAsia="仿宋_GB2312"/>
          <w:b w:val="0"/>
          <w:sz w:val="32"/>
          <w:szCs w:val="32"/>
        </w:rPr>
        <w:t>≤</w:t>
      </w:r>
      <w:r>
        <w:rPr>
          <w:rFonts w:hint="eastAsia" w:ascii="Times New Roman" w:eastAsia="仿宋_GB2312"/>
          <w:b w:val="0"/>
          <w:sz w:val="32"/>
          <w:szCs w:val="32"/>
        </w:rPr>
        <w:t>得分＜75分为一般；得分＜60分为较差。我办2025年开展项目全部≥90，评价等级为“优”。</w:t>
      </w:r>
    </w:p>
    <w:tbl>
      <w:tblPr>
        <w:tblStyle w:val="11"/>
        <w:tblW w:w="9520"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0" w:type="dxa"/>
          <w:bottom w:w="0" w:type="dxa"/>
          <w:right w:w="0" w:type="dxa"/>
        </w:tblCellMar>
      </w:tblPr>
      <w:tblGrid>
        <w:gridCol w:w="1430"/>
        <w:gridCol w:w="985"/>
        <w:gridCol w:w="858"/>
        <w:gridCol w:w="1244"/>
        <w:gridCol w:w="1227"/>
        <w:gridCol w:w="1209"/>
        <w:gridCol w:w="1138"/>
        <w:gridCol w:w="1430"/>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927" w:hRule="atLeast"/>
        </w:trPr>
        <w:tc>
          <w:tcPr>
            <w:tcW w:w="9520" w:type="dxa"/>
            <w:gridSpan w:val="8"/>
            <w:tcBorders>
              <w:top w:val="nil"/>
              <w:left w:val="nil"/>
              <w:bottom w:val="nil"/>
              <w:right w:val="nil"/>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ascii="方正小标宋_GBK" w:hAnsi="方正小标宋_GBK" w:eastAsia="方正小标宋_GBK" w:cs="方正小标宋_GBK"/>
                <w:i w:val="0"/>
                <w:color w:val="000000"/>
                <w:sz w:val="44"/>
                <w:szCs w:val="44"/>
                <w:u w:val="none"/>
              </w:rPr>
            </w:pPr>
            <w:r>
              <w:rPr>
                <w:rFonts w:hint="eastAsia" w:ascii="方正小标宋_GBK" w:hAnsi="方正小标宋_GBK" w:eastAsia="方正小标宋_GBK" w:cs="方正小标宋_GBK"/>
                <w:i w:val="0"/>
                <w:color w:val="000000"/>
                <w:kern w:val="0"/>
                <w:sz w:val="44"/>
                <w:szCs w:val="44"/>
                <w:u w:val="none"/>
                <w:lang w:val="en-US" w:eastAsia="zh-CN" w:bidi="ar"/>
              </w:rPr>
              <w:t>县级部门预算项目绩效自评表</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319" w:hRule="atLeast"/>
        </w:trPr>
        <w:tc>
          <w:tcPr>
            <w:tcW w:w="0" w:type="auto"/>
            <w:gridSpan w:val="8"/>
            <w:tcBorders>
              <w:top w:val="nil"/>
              <w:left w:val="nil"/>
              <w:bottom w:val="nil"/>
              <w:right w:val="nil"/>
            </w:tcBorders>
            <w:shd w:val="clear" w:color="auto" w:fill="auto"/>
            <w:noWrap/>
            <w:tcMar>
              <w:top w:w="15" w:type="dxa"/>
              <w:left w:w="15" w:type="dxa"/>
              <w:right w:w="15" w:type="dxa"/>
            </w:tcMar>
            <w:vAlign w:val="bottom"/>
          </w:tcPr>
          <w:p>
            <w:pPr>
              <w:keepNext w:val="0"/>
              <w:keepLines w:val="0"/>
              <w:widowControl/>
              <w:suppressLineNumbers w:val="0"/>
              <w:jc w:val="center"/>
              <w:textAlignment w:val="bottom"/>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     2025 年度）</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347" w:hRule="atLeast"/>
        </w:trPr>
        <w:tc>
          <w:tcPr>
            <w:tcW w:w="0" w:type="auto"/>
            <w:tcBorders>
              <w:top w:val="nil"/>
              <w:left w:val="nil"/>
              <w:bottom w:val="nil"/>
              <w:right w:val="nil"/>
            </w:tcBorders>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填报单位：</w:t>
            </w:r>
          </w:p>
        </w:tc>
        <w:tc>
          <w:tcPr>
            <w:tcW w:w="0" w:type="auto"/>
            <w:tcBorders>
              <w:top w:val="nil"/>
              <w:left w:val="nil"/>
              <w:bottom w:val="nil"/>
              <w:right w:val="nil"/>
            </w:tcBorders>
            <w:shd w:val="clear" w:color="auto" w:fill="auto"/>
            <w:noWrap/>
            <w:tcMar>
              <w:top w:w="15" w:type="dxa"/>
              <w:left w:w="15" w:type="dxa"/>
              <w:right w:w="15" w:type="dxa"/>
            </w:tcMar>
            <w:vAlign w:val="center"/>
          </w:tcPr>
          <w:p>
            <w:pPr>
              <w:jc w:val="center"/>
              <w:rPr>
                <w:rFonts w:hint="eastAsia" w:ascii="宋体" w:hAnsi="宋体" w:eastAsia="宋体" w:cs="宋体"/>
                <w:i w:val="0"/>
                <w:color w:val="000000"/>
                <w:sz w:val="20"/>
                <w:szCs w:val="20"/>
                <w:u w:val="none"/>
              </w:rPr>
            </w:pPr>
          </w:p>
        </w:tc>
        <w:tc>
          <w:tcPr>
            <w:tcW w:w="0" w:type="auto"/>
            <w:tcBorders>
              <w:top w:val="nil"/>
              <w:left w:val="nil"/>
              <w:bottom w:val="nil"/>
              <w:right w:val="nil"/>
            </w:tcBorders>
            <w:shd w:val="clear" w:color="auto" w:fill="auto"/>
            <w:noWrap/>
            <w:tcMar>
              <w:top w:w="15" w:type="dxa"/>
              <w:left w:w="15" w:type="dxa"/>
              <w:right w:w="15" w:type="dxa"/>
            </w:tcMar>
            <w:vAlign w:val="center"/>
          </w:tcPr>
          <w:p>
            <w:pPr>
              <w:jc w:val="center"/>
              <w:rPr>
                <w:rFonts w:hint="eastAsia" w:ascii="宋体" w:hAnsi="宋体" w:eastAsia="宋体" w:cs="宋体"/>
                <w:i w:val="0"/>
                <w:color w:val="000000"/>
                <w:sz w:val="20"/>
                <w:szCs w:val="20"/>
                <w:u w:val="none"/>
              </w:rPr>
            </w:pPr>
          </w:p>
        </w:tc>
        <w:tc>
          <w:tcPr>
            <w:tcW w:w="0" w:type="auto"/>
            <w:tcBorders>
              <w:top w:val="nil"/>
              <w:left w:val="nil"/>
              <w:bottom w:val="nil"/>
              <w:right w:val="nil"/>
            </w:tcBorders>
            <w:shd w:val="clear" w:color="auto" w:fill="auto"/>
            <w:noWrap/>
            <w:tcMar>
              <w:top w:w="15" w:type="dxa"/>
              <w:left w:w="15" w:type="dxa"/>
              <w:right w:w="15" w:type="dxa"/>
            </w:tcMar>
            <w:vAlign w:val="center"/>
          </w:tcPr>
          <w:p>
            <w:pPr>
              <w:jc w:val="center"/>
              <w:rPr>
                <w:rFonts w:hint="eastAsia" w:ascii="宋体" w:hAnsi="宋体" w:eastAsia="宋体" w:cs="宋体"/>
                <w:i w:val="0"/>
                <w:color w:val="000000"/>
                <w:sz w:val="20"/>
                <w:szCs w:val="20"/>
                <w:u w:val="none"/>
              </w:rPr>
            </w:pPr>
          </w:p>
        </w:tc>
        <w:tc>
          <w:tcPr>
            <w:tcW w:w="0" w:type="auto"/>
            <w:tcBorders>
              <w:top w:val="nil"/>
              <w:left w:val="nil"/>
              <w:bottom w:val="nil"/>
              <w:right w:val="nil"/>
            </w:tcBorders>
            <w:shd w:val="clear" w:color="auto" w:fill="auto"/>
            <w:noWrap/>
            <w:tcMar>
              <w:top w:w="15" w:type="dxa"/>
              <w:left w:w="15" w:type="dxa"/>
              <w:right w:w="15" w:type="dxa"/>
            </w:tcMar>
            <w:vAlign w:val="center"/>
          </w:tcPr>
          <w:p>
            <w:pPr>
              <w:jc w:val="center"/>
              <w:rPr>
                <w:rFonts w:hint="eastAsia" w:ascii="宋体" w:hAnsi="宋体" w:eastAsia="宋体" w:cs="宋体"/>
                <w:i w:val="0"/>
                <w:color w:val="000000"/>
                <w:sz w:val="20"/>
                <w:szCs w:val="20"/>
                <w:u w:val="none"/>
              </w:rPr>
            </w:pPr>
          </w:p>
        </w:tc>
        <w:tc>
          <w:tcPr>
            <w:tcW w:w="0" w:type="auto"/>
            <w:tcBorders>
              <w:top w:val="nil"/>
              <w:left w:val="nil"/>
              <w:bottom w:val="nil"/>
              <w:right w:val="nil"/>
            </w:tcBorders>
            <w:shd w:val="clear" w:color="auto" w:fill="auto"/>
            <w:noWrap/>
            <w:tcMar>
              <w:top w:w="15" w:type="dxa"/>
              <w:left w:w="15" w:type="dxa"/>
              <w:right w:w="15" w:type="dxa"/>
            </w:tcMar>
            <w:vAlign w:val="center"/>
          </w:tcPr>
          <w:p>
            <w:pPr>
              <w:jc w:val="center"/>
              <w:rPr>
                <w:rFonts w:hint="eastAsia" w:ascii="宋体" w:hAnsi="宋体" w:eastAsia="宋体" w:cs="宋体"/>
                <w:i w:val="0"/>
                <w:color w:val="000000"/>
                <w:sz w:val="20"/>
                <w:szCs w:val="20"/>
                <w:u w:val="none"/>
              </w:rPr>
            </w:pPr>
          </w:p>
        </w:tc>
        <w:tc>
          <w:tcPr>
            <w:tcW w:w="0" w:type="auto"/>
            <w:tcBorders>
              <w:top w:val="nil"/>
              <w:left w:val="nil"/>
              <w:bottom w:val="nil"/>
              <w:right w:val="nil"/>
            </w:tcBorders>
            <w:shd w:val="clear" w:color="auto" w:fill="auto"/>
            <w:noWrap/>
            <w:tcMar>
              <w:top w:w="15" w:type="dxa"/>
              <w:left w:w="15" w:type="dxa"/>
              <w:right w:w="15" w:type="dxa"/>
            </w:tcMar>
            <w:vAlign w:val="center"/>
          </w:tcPr>
          <w:p>
            <w:pPr>
              <w:jc w:val="center"/>
              <w:rPr>
                <w:rFonts w:hint="eastAsia" w:ascii="宋体" w:hAnsi="宋体" w:eastAsia="宋体" w:cs="宋体"/>
                <w:i w:val="0"/>
                <w:color w:val="000000"/>
                <w:sz w:val="20"/>
                <w:szCs w:val="20"/>
                <w:u w:val="none"/>
              </w:rPr>
            </w:pPr>
          </w:p>
        </w:tc>
        <w:tc>
          <w:tcPr>
            <w:tcW w:w="0" w:type="auto"/>
            <w:tcBorders>
              <w:top w:val="nil"/>
              <w:left w:val="nil"/>
              <w:bottom w:val="nil"/>
              <w:right w:val="nil"/>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金额单位：万元</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632" w:hRule="atLeast"/>
        </w:trPr>
        <w:tc>
          <w:tcPr>
            <w:tcW w:w="1219" w:type="dxa"/>
            <w:tcBorders>
              <w:top w:val="single" w:color="000000" w:sz="4" w:space="0"/>
              <w:left w:val="single" w:color="000000" w:sz="4" w:space="0"/>
              <w:bottom w:val="nil"/>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一、</w:t>
            </w:r>
            <w:r>
              <w:rPr>
                <w:rStyle w:val="27"/>
                <w:rFonts w:eastAsia="宋体"/>
                <w:lang w:val="en-US" w:eastAsia="zh-CN" w:bidi="ar"/>
              </w:rPr>
              <w:t xml:space="preserve"> </w:t>
            </w:r>
            <w:r>
              <w:rPr>
                <w:rFonts w:hint="eastAsia" w:ascii="宋体" w:hAnsi="宋体" w:eastAsia="宋体" w:cs="宋体"/>
                <w:i w:val="0"/>
                <w:color w:val="000000"/>
                <w:kern w:val="0"/>
                <w:sz w:val="20"/>
                <w:szCs w:val="20"/>
                <w:u w:val="none"/>
                <w:lang w:val="en-US" w:eastAsia="zh-CN" w:bidi="ar"/>
              </w:rPr>
              <w:t>基本情况</w:t>
            </w:r>
          </w:p>
        </w:tc>
        <w:tc>
          <w:tcPr>
            <w:tcW w:w="98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项目名称</w:t>
            </w:r>
          </w:p>
        </w:tc>
        <w:tc>
          <w:tcPr>
            <w:tcW w:w="2434" w:type="dxa"/>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无极县第十四届委员会第五次会议</w:t>
            </w:r>
          </w:p>
        </w:tc>
        <w:tc>
          <w:tcPr>
            <w:tcW w:w="1279"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实施(主管）单位</w:t>
            </w:r>
          </w:p>
        </w:tc>
        <w:tc>
          <w:tcPr>
            <w:tcW w:w="3603" w:type="dxa"/>
            <w:gridSpan w:val="3"/>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政协办</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467" w:hRule="atLeast"/>
        </w:trPr>
        <w:tc>
          <w:tcPr>
            <w:tcW w:w="1219"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二、预算执行情况</w:t>
            </w:r>
          </w:p>
        </w:tc>
        <w:tc>
          <w:tcPr>
            <w:tcW w:w="2102" w:type="dxa"/>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预算安排情况（调整后）</w:t>
            </w:r>
          </w:p>
        </w:tc>
        <w:tc>
          <w:tcPr>
            <w:tcW w:w="2596" w:type="dxa"/>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资金到位情况</w:t>
            </w:r>
          </w:p>
        </w:tc>
        <w:tc>
          <w:tcPr>
            <w:tcW w:w="2379" w:type="dxa"/>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资金执行情况</w:t>
            </w:r>
          </w:p>
        </w:tc>
        <w:tc>
          <w:tcPr>
            <w:tcW w:w="1224"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预算执行进度</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412" w:hRule="atLeast"/>
        </w:trPr>
        <w:tc>
          <w:tcPr>
            <w:tcW w:w="1219"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宋体" w:hAnsi="宋体" w:eastAsia="宋体" w:cs="宋体"/>
                <w:i w:val="0"/>
                <w:color w:val="000000"/>
                <w:sz w:val="20"/>
                <w:szCs w:val="20"/>
                <w:u w:val="none"/>
              </w:rPr>
            </w:pPr>
          </w:p>
        </w:tc>
        <w:tc>
          <w:tcPr>
            <w:tcW w:w="98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预算数：</w:t>
            </w:r>
          </w:p>
        </w:tc>
        <w:tc>
          <w:tcPr>
            <w:tcW w:w="1117"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righ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50</w:t>
            </w:r>
          </w:p>
        </w:tc>
        <w:tc>
          <w:tcPr>
            <w:tcW w:w="1317"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到位数：</w:t>
            </w:r>
          </w:p>
        </w:tc>
        <w:tc>
          <w:tcPr>
            <w:tcW w:w="1279"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righ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50</w:t>
            </w:r>
          </w:p>
        </w:tc>
        <w:tc>
          <w:tcPr>
            <w:tcW w:w="1241"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执行数：</w:t>
            </w:r>
          </w:p>
        </w:tc>
        <w:tc>
          <w:tcPr>
            <w:tcW w:w="113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right"/>
              <w:textAlignment w:val="center"/>
              <w:rPr>
                <w:rFonts w:hint="default" w:ascii="Calibri" w:hAnsi="Calibri" w:eastAsia="宋体" w:cs="Calibri"/>
                <w:i w:val="0"/>
                <w:color w:val="000000"/>
                <w:sz w:val="20"/>
                <w:szCs w:val="20"/>
                <w:u w:val="none"/>
              </w:rPr>
            </w:pPr>
            <w:r>
              <w:rPr>
                <w:rFonts w:hint="default" w:ascii="Calibri" w:hAnsi="Calibri" w:eastAsia="宋体" w:cs="Calibri"/>
                <w:i w:val="0"/>
                <w:color w:val="000000"/>
                <w:kern w:val="0"/>
                <w:sz w:val="20"/>
                <w:szCs w:val="20"/>
                <w:u w:val="none"/>
                <w:lang w:val="en-US" w:eastAsia="zh-CN" w:bidi="ar"/>
              </w:rPr>
              <w:t>33.6257</w:t>
            </w:r>
          </w:p>
        </w:tc>
        <w:tc>
          <w:tcPr>
            <w:tcW w:w="1224"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67.25%</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632" w:hRule="atLeast"/>
        </w:trPr>
        <w:tc>
          <w:tcPr>
            <w:tcW w:w="1219"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宋体" w:hAnsi="宋体" w:eastAsia="宋体" w:cs="宋体"/>
                <w:i w:val="0"/>
                <w:color w:val="000000"/>
                <w:sz w:val="20"/>
                <w:szCs w:val="20"/>
                <w:u w:val="none"/>
              </w:rPr>
            </w:pPr>
          </w:p>
        </w:tc>
        <w:tc>
          <w:tcPr>
            <w:tcW w:w="98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其中：                 财政资金</w:t>
            </w:r>
          </w:p>
        </w:tc>
        <w:tc>
          <w:tcPr>
            <w:tcW w:w="1117"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righ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50</w:t>
            </w:r>
          </w:p>
        </w:tc>
        <w:tc>
          <w:tcPr>
            <w:tcW w:w="1317"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其中：                      财政资金</w:t>
            </w:r>
          </w:p>
        </w:tc>
        <w:tc>
          <w:tcPr>
            <w:tcW w:w="1279"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righ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50</w:t>
            </w:r>
          </w:p>
        </w:tc>
        <w:tc>
          <w:tcPr>
            <w:tcW w:w="1241"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其中：                     财政资金</w:t>
            </w:r>
          </w:p>
        </w:tc>
        <w:tc>
          <w:tcPr>
            <w:tcW w:w="113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right"/>
              <w:textAlignment w:val="center"/>
              <w:rPr>
                <w:rFonts w:hint="default" w:ascii="Calibri" w:hAnsi="Calibri" w:eastAsia="宋体" w:cs="Calibri"/>
                <w:i w:val="0"/>
                <w:color w:val="000000"/>
                <w:sz w:val="20"/>
                <w:szCs w:val="20"/>
                <w:u w:val="none"/>
              </w:rPr>
            </w:pPr>
            <w:r>
              <w:rPr>
                <w:rFonts w:hint="default" w:ascii="Calibri" w:hAnsi="Calibri" w:eastAsia="宋体" w:cs="Calibri"/>
                <w:i w:val="0"/>
                <w:color w:val="000000"/>
                <w:kern w:val="0"/>
                <w:sz w:val="20"/>
                <w:szCs w:val="20"/>
                <w:u w:val="none"/>
                <w:lang w:val="en-US" w:eastAsia="zh-CN" w:bidi="ar"/>
              </w:rPr>
              <w:t>33.6257</w:t>
            </w:r>
          </w:p>
        </w:tc>
        <w:tc>
          <w:tcPr>
            <w:tcW w:w="1224"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宋体" w:hAnsi="宋体" w:eastAsia="宋体" w:cs="宋体"/>
                <w:i w:val="0"/>
                <w:color w:val="000000"/>
                <w:sz w:val="20"/>
                <w:szCs w:val="20"/>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398" w:hRule="atLeast"/>
        </w:trPr>
        <w:tc>
          <w:tcPr>
            <w:tcW w:w="1219"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宋体" w:hAnsi="宋体" w:eastAsia="宋体" w:cs="宋体"/>
                <w:i w:val="0"/>
                <w:color w:val="000000"/>
                <w:sz w:val="20"/>
                <w:szCs w:val="20"/>
                <w:u w:val="none"/>
              </w:rPr>
            </w:pPr>
          </w:p>
        </w:tc>
        <w:tc>
          <w:tcPr>
            <w:tcW w:w="98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其他</w:t>
            </w:r>
          </w:p>
        </w:tc>
        <w:tc>
          <w:tcPr>
            <w:tcW w:w="1117"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left"/>
              <w:rPr>
                <w:rFonts w:hint="default" w:ascii="Calibri" w:hAnsi="Calibri" w:eastAsia="宋体" w:cs="Calibri"/>
                <w:i w:val="0"/>
                <w:color w:val="000000"/>
                <w:sz w:val="20"/>
                <w:szCs w:val="20"/>
                <w:u w:val="none"/>
              </w:rPr>
            </w:pPr>
          </w:p>
        </w:tc>
        <w:tc>
          <w:tcPr>
            <w:tcW w:w="1317"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其他</w:t>
            </w:r>
          </w:p>
        </w:tc>
        <w:tc>
          <w:tcPr>
            <w:tcW w:w="1279"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left"/>
              <w:rPr>
                <w:rFonts w:hint="eastAsia" w:ascii="宋体" w:hAnsi="宋体" w:eastAsia="宋体" w:cs="宋体"/>
                <w:i w:val="0"/>
                <w:color w:val="000000"/>
                <w:sz w:val="20"/>
                <w:szCs w:val="20"/>
                <w:u w:val="none"/>
              </w:rPr>
            </w:pPr>
          </w:p>
        </w:tc>
        <w:tc>
          <w:tcPr>
            <w:tcW w:w="1241"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其他</w:t>
            </w:r>
          </w:p>
        </w:tc>
        <w:tc>
          <w:tcPr>
            <w:tcW w:w="113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left"/>
              <w:rPr>
                <w:rFonts w:hint="eastAsia" w:ascii="宋体" w:hAnsi="宋体" w:eastAsia="宋体" w:cs="宋体"/>
                <w:i w:val="0"/>
                <w:color w:val="000000"/>
                <w:sz w:val="20"/>
                <w:szCs w:val="20"/>
                <w:u w:val="none"/>
              </w:rPr>
            </w:pPr>
          </w:p>
        </w:tc>
        <w:tc>
          <w:tcPr>
            <w:tcW w:w="1224"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宋体" w:hAnsi="宋体" w:eastAsia="宋体" w:cs="宋体"/>
                <w:i w:val="0"/>
                <w:color w:val="000000"/>
                <w:sz w:val="20"/>
                <w:szCs w:val="20"/>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453" w:hRule="atLeast"/>
        </w:trPr>
        <w:tc>
          <w:tcPr>
            <w:tcW w:w="1219"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三、目标完成情况</w:t>
            </w:r>
          </w:p>
        </w:tc>
        <w:tc>
          <w:tcPr>
            <w:tcW w:w="3419" w:type="dxa"/>
            <w:gridSpan w:val="3"/>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年度预期目标</w:t>
            </w:r>
          </w:p>
        </w:tc>
        <w:tc>
          <w:tcPr>
            <w:tcW w:w="3658" w:type="dxa"/>
            <w:gridSpan w:val="3"/>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具体完成情况</w:t>
            </w:r>
          </w:p>
        </w:tc>
        <w:tc>
          <w:tcPr>
            <w:tcW w:w="1224"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总体完成率</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312" w:hRule="atLeast"/>
        </w:trPr>
        <w:tc>
          <w:tcPr>
            <w:tcW w:w="1219"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宋体" w:hAnsi="宋体" w:eastAsia="宋体" w:cs="宋体"/>
                <w:i w:val="0"/>
                <w:color w:val="000000"/>
                <w:sz w:val="20"/>
                <w:szCs w:val="20"/>
                <w:u w:val="none"/>
              </w:rPr>
            </w:pPr>
          </w:p>
        </w:tc>
        <w:tc>
          <w:tcPr>
            <w:tcW w:w="3419" w:type="dxa"/>
            <w:gridSpan w:val="3"/>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召开无极县第十四届委员会第五次会议</w:t>
            </w:r>
          </w:p>
        </w:tc>
        <w:tc>
          <w:tcPr>
            <w:tcW w:w="3658" w:type="dxa"/>
            <w:gridSpan w:val="3"/>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会议圆满顺利召开</w:t>
            </w:r>
          </w:p>
        </w:tc>
        <w:tc>
          <w:tcPr>
            <w:tcW w:w="1224"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100%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312" w:hRule="atLeast"/>
        </w:trPr>
        <w:tc>
          <w:tcPr>
            <w:tcW w:w="1219"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宋体" w:hAnsi="宋体" w:eastAsia="宋体" w:cs="宋体"/>
                <w:i w:val="0"/>
                <w:color w:val="000000"/>
                <w:sz w:val="20"/>
                <w:szCs w:val="20"/>
                <w:u w:val="none"/>
              </w:rPr>
            </w:pPr>
          </w:p>
        </w:tc>
        <w:tc>
          <w:tcPr>
            <w:tcW w:w="3419"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宋体" w:hAnsi="宋体" w:eastAsia="宋体" w:cs="宋体"/>
                <w:i w:val="0"/>
                <w:color w:val="000000"/>
                <w:sz w:val="20"/>
                <w:szCs w:val="20"/>
                <w:u w:val="none"/>
              </w:rPr>
            </w:pPr>
          </w:p>
        </w:tc>
        <w:tc>
          <w:tcPr>
            <w:tcW w:w="3658"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宋体" w:hAnsi="宋体" w:eastAsia="宋体" w:cs="宋体"/>
                <w:i w:val="0"/>
                <w:color w:val="000000"/>
                <w:sz w:val="20"/>
                <w:szCs w:val="20"/>
                <w:u w:val="none"/>
              </w:rPr>
            </w:pPr>
          </w:p>
        </w:tc>
        <w:tc>
          <w:tcPr>
            <w:tcW w:w="1224"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宋体" w:hAnsi="宋体" w:eastAsia="宋体" w:cs="宋体"/>
                <w:i w:val="0"/>
                <w:color w:val="000000"/>
                <w:sz w:val="20"/>
                <w:szCs w:val="20"/>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312" w:hRule="atLeast"/>
        </w:trPr>
        <w:tc>
          <w:tcPr>
            <w:tcW w:w="1219"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宋体" w:hAnsi="宋体" w:eastAsia="宋体" w:cs="宋体"/>
                <w:i w:val="0"/>
                <w:color w:val="000000"/>
                <w:sz w:val="20"/>
                <w:szCs w:val="20"/>
                <w:u w:val="none"/>
              </w:rPr>
            </w:pPr>
          </w:p>
        </w:tc>
        <w:tc>
          <w:tcPr>
            <w:tcW w:w="3419"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宋体" w:hAnsi="宋体" w:eastAsia="宋体" w:cs="宋体"/>
                <w:i w:val="0"/>
                <w:color w:val="000000"/>
                <w:sz w:val="20"/>
                <w:szCs w:val="20"/>
                <w:u w:val="none"/>
              </w:rPr>
            </w:pPr>
          </w:p>
        </w:tc>
        <w:tc>
          <w:tcPr>
            <w:tcW w:w="3658"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宋体" w:hAnsi="宋体" w:eastAsia="宋体" w:cs="宋体"/>
                <w:i w:val="0"/>
                <w:color w:val="000000"/>
                <w:sz w:val="20"/>
                <w:szCs w:val="20"/>
                <w:u w:val="none"/>
              </w:rPr>
            </w:pPr>
          </w:p>
        </w:tc>
        <w:tc>
          <w:tcPr>
            <w:tcW w:w="1224"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宋体" w:hAnsi="宋体" w:eastAsia="宋体" w:cs="宋体"/>
                <w:i w:val="0"/>
                <w:color w:val="000000"/>
                <w:sz w:val="20"/>
                <w:szCs w:val="20"/>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412" w:hRule="atLeast"/>
        </w:trPr>
        <w:tc>
          <w:tcPr>
            <w:tcW w:w="1219" w:type="dxa"/>
            <w:vMerge w:val="restart"/>
            <w:tcBorders>
              <w:top w:val="single" w:color="000000" w:sz="4" w:space="0"/>
              <w:left w:val="single" w:color="000000" w:sz="4" w:space="0"/>
              <w:bottom w:val="single" w:color="000000" w:sz="4" w:space="0"/>
              <w:right w:val="nil"/>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四、</w:t>
            </w:r>
            <w:r>
              <w:rPr>
                <w:rStyle w:val="27"/>
                <w:rFonts w:eastAsia="宋体"/>
                <w:lang w:val="en-US" w:eastAsia="zh-CN" w:bidi="ar"/>
              </w:rPr>
              <w:t xml:space="preserve"> </w:t>
            </w:r>
            <w:r>
              <w:rPr>
                <w:rFonts w:hint="eastAsia" w:ascii="宋体" w:hAnsi="宋体" w:eastAsia="宋体" w:cs="宋体"/>
                <w:i w:val="0"/>
                <w:color w:val="000000"/>
                <w:kern w:val="0"/>
                <w:sz w:val="20"/>
                <w:szCs w:val="20"/>
                <w:u w:val="none"/>
                <w:lang w:val="en-US" w:eastAsia="zh-CN" w:bidi="ar"/>
              </w:rPr>
              <w:t>年度绩效指标完成情况</w:t>
            </w:r>
          </w:p>
        </w:tc>
        <w:tc>
          <w:tcPr>
            <w:tcW w:w="98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一级指标</w:t>
            </w:r>
          </w:p>
        </w:tc>
        <w:tc>
          <w:tcPr>
            <w:tcW w:w="1117"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二级指标</w:t>
            </w:r>
          </w:p>
        </w:tc>
        <w:tc>
          <w:tcPr>
            <w:tcW w:w="2596" w:type="dxa"/>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三级指标</w:t>
            </w:r>
          </w:p>
        </w:tc>
        <w:tc>
          <w:tcPr>
            <w:tcW w:w="1241"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预期指标值</w:t>
            </w:r>
          </w:p>
        </w:tc>
        <w:tc>
          <w:tcPr>
            <w:tcW w:w="113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实际完成值</w:t>
            </w:r>
          </w:p>
        </w:tc>
        <w:tc>
          <w:tcPr>
            <w:tcW w:w="1224"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自评得分</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634" w:hRule="atLeast"/>
        </w:trPr>
        <w:tc>
          <w:tcPr>
            <w:tcW w:w="1219" w:type="dxa"/>
            <w:vMerge w:val="continue"/>
            <w:tcBorders>
              <w:top w:val="single" w:color="000000" w:sz="4" w:space="0"/>
              <w:left w:val="single" w:color="000000" w:sz="4" w:space="0"/>
              <w:bottom w:val="single" w:color="000000" w:sz="4" w:space="0"/>
              <w:right w:val="nil"/>
            </w:tcBorders>
            <w:shd w:val="clear" w:color="auto" w:fill="auto"/>
            <w:tcMar>
              <w:top w:w="15" w:type="dxa"/>
              <w:left w:w="15" w:type="dxa"/>
              <w:right w:w="15" w:type="dxa"/>
            </w:tcMar>
            <w:vAlign w:val="center"/>
          </w:tcPr>
          <w:p>
            <w:pPr>
              <w:jc w:val="center"/>
              <w:rPr>
                <w:rFonts w:hint="eastAsia" w:ascii="宋体" w:hAnsi="宋体" w:eastAsia="宋体" w:cs="宋体"/>
                <w:i w:val="0"/>
                <w:color w:val="000000"/>
                <w:sz w:val="20"/>
                <w:szCs w:val="20"/>
                <w:u w:val="none"/>
              </w:rPr>
            </w:pPr>
          </w:p>
        </w:tc>
        <w:tc>
          <w:tcPr>
            <w:tcW w:w="985" w:type="dxa"/>
            <w:vMerge w:val="restart"/>
            <w:tcBorders>
              <w:top w:val="single" w:color="000000" w:sz="4" w:space="0"/>
              <w:left w:val="single" w:color="000000" w:sz="4" w:space="0"/>
              <w:bottom w:val="nil"/>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产出指标（40）</w:t>
            </w:r>
          </w:p>
        </w:tc>
        <w:tc>
          <w:tcPr>
            <w:tcW w:w="1117" w:type="dxa"/>
            <w:tcBorders>
              <w:top w:val="single" w:color="000000" w:sz="4" w:space="0"/>
              <w:left w:val="single" w:color="000000" w:sz="4" w:space="0"/>
              <w:bottom w:val="nil"/>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数量指标</w:t>
            </w:r>
          </w:p>
        </w:tc>
        <w:tc>
          <w:tcPr>
            <w:tcW w:w="2596" w:type="dxa"/>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召开一次会议，征集提案</w:t>
            </w:r>
          </w:p>
        </w:tc>
        <w:tc>
          <w:tcPr>
            <w:tcW w:w="1241"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不少于100份提案</w:t>
            </w:r>
          </w:p>
        </w:tc>
        <w:tc>
          <w:tcPr>
            <w:tcW w:w="113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完成</w:t>
            </w:r>
          </w:p>
        </w:tc>
        <w:tc>
          <w:tcPr>
            <w:tcW w:w="1224"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10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634" w:hRule="atLeast"/>
        </w:trPr>
        <w:tc>
          <w:tcPr>
            <w:tcW w:w="1219" w:type="dxa"/>
            <w:vMerge w:val="continue"/>
            <w:tcBorders>
              <w:top w:val="single" w:color="000000" w:sz="4" w:space="0"/>
              <w:left w:val="single" w:color="000000" w:sz="4" w:space="0"/>
              <w:bottom w:val="single" w:color="000000" w:sz="4" w:space="0"/>
              <w:right w:val="nil"/>
            </w:tcBorders>
            <w:shd w:val="clear" w:color="auto" w:fill="auto"/>
            <w:tcMar>
              <w:top w:w="15" w:type="dxa"/>
              <w:left w:w="15" w:type="dxa"/>
              <w:right w:w="15" w:type="dxa"/>
            </w:tcMar>
            <w:vAlign w:val="center"/>
          </w:tcPr>
          <w:p>
            <w:pPr>
              <w:jc w:val="center"/>
              <w:rPr>
                <w:rFonts w:hint="eastAsia" w:ascii="宋体" w:hAnsi="宋体" w:eastAsia="宋体" w:cs="宋体"/>
                <w:i w:val="0"/>
                <w:color w:val="000000"/>
                <w:sz w:val="20"/>
                <w:szCs w:val="20"/>
                <w:u w:val="none"/>
              </w:rPr>
            </w:pPr>
          </w:p>
        </w:tc>
        <w:tc>
          <w:tcPr>
            <w:tcW w:w="985" w:type="dxa"/>
            <w:vMerge w:val="continue"/>
            <w:tcBorders>
              <w:top w:val="single" w:color="000000" w:sz="4" w:space="0"/>
              <w:left w:val="single" w:color="000000" w:sz="4" w:space="0"/>
              <w:bottom w:val="nil"/>
              <w:right w:val="single" w:color="000000" w:sz="4" w:space="0"/>
            </w:tcBorders>
            <w:shd w:val="clear" w:color="auto" w:fill="auto"/>
            <w:tcMar>
              <w:top w:w="15" w:type="dxa"/>
              <w:left w:w="15" w:type="dxa"/>
              <w:right w:w="15" w:type="dxa"/>
            </w:tcMar>
            <w:vAlign w:val="center"/>
          </w:tcPr>
          <w:p>
            <w:pPr>
              <w:jc w:val="center"/>
              <w:rPr>
                <w:rFonts w:hint="eastAsia" w:ascii="宋体" w:hAnsi="宋体" w:eastAsia="宋体" w:cs="宋体"/>
                <w:i w:val="0"/>
                <w:color w:val="000000"/>
                <w:sz w:val="20"/>
                <w:szCs w:val="20"/>
                <w:u w:val="none"/>
              </w:rPr>
            </w:pPr>
          </w:p>
        </w:tc>
        <w:tc>
          <w:tcPr>
            <w:tcW w:w="1117"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质量指标</w:t>
            </w:r>
          </w:p>
        </w:tc>
        <w:tc>
          <w:tcPr>
            <w:tcW w:w="2596" w:type="dxa"/>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ascii="Arial Unicode MS" w:hAnsi="Arial Unicode MS" w:eastAsia="Arial Unicode MS" w:cs="Arial Unicode MS"/>
                <w:i w:val="0"/>
                <w:color w:val="000000"/>
                <w:sz w:val="20"/>
                <w:szCs w:val="20"/>
                <w:u w:val="none"/>
              </w:rPr>
            </w:pPr>
            <w:r>
              <w:rPr>
                <w:rFonts w:hint="default" w:ascii="Arial Unicode MS" w:hAnsi="Arial Unicode MS" w:eastAsia="Arial Unicode MS" w:cs="Arial Unicode MS"/>
                <w:i w:val="0"/>
                <w:color w:val="000000"/>
                <w:kern w:val="0"/>
                <w:sz w:val="20"/>
                <w:szCs w:val="20"/>
                <w:u w:val="none"/>
                <w:lang w:val="en-US" w:eastAsia="zh-CN" w:bidi="ar"/>
              </w:rPr>
              <w:t>保证会议质量，达到会议召开目的</w:t>
            </w:r>
          </w:p>
        </w:tc>
        <w:tc>
          <w:tcPr>
            <w:tcW w:w="1241"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达到会议效果</w:t>
            </w:r>
          </w:p>
        </w:tc>
        <w:tc>
          <w:tcPr>
            <w:tcW w:w="113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完成</w:t>
            </w:r>
          </w:p>
        </w:tc>
        <w:tc>
          <w:tcPr>
            <w:tcW w:w="1224"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default" w:ascii="Calibri" w:hAnsi="Calibri" w:eastAsia="宋体" w:cs="Calibri"/>
                <w:i w:val="0"/>
                <w:color w:val="000000"/>
                <w:sz w:val="20"/>
                <w:szCs w:val="20"/>
                <w:u w:val="none"/>
              </w:rPr>
            </w:pPr>
            <w:r>
              <w:rPr>
                <w:rFonts w:hint="default" w:ascii="Calibri" w:hAnsi="Calibri" w:eastAsia="宋体" w:cs="Calibri"/>
                <w:i w:val="0"/>
                <w:color w:val="000000"/>
                <w:kern w:val="0"/>
                <w:sz w:val="20"/>
                <w:szCs w:val="20"/>
                <w:u w:val="none"/>
                <w:lang w:val="en-US" w:eastAsia="zh-CN" w:bidi="ar"/>
              </w:rPr>
              <w:t>10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936" w:hRule="atLeast"/>
        </w:trPr>
        <w:tc>
          <w:tcPr>
            <w:tcW w:w="1219" w:type="dxa"/>
            <w:vMerge w:val="continue"/>
            <w:tcBorders>
              <w:top w:val="single" w:color="000000" w:sz="4" w:space="0"/>
              <w:left w:val="single" w:color="000000" w:sz="4" w:space="0"/>
              <w:bottom w:val="single" w:color="000000" w:sz="4" w:space="0"/>
              <w:right w:val="nil"/>
            </w:tcBorders>
            <w:shd w:val="clear" w:color="auto" w:fill="auto"/>
            <w:tcMar>
              <w:top w:w="15" w:type="dxa"/>
              <w:left w:w="15" w:type="dxa"/>
              <w:right w:w="15" w:type="dxa"/>
            </w:tcMar>
            <w:vAlign w:val="center"/>
          </w:tcPr>
          <w:p>
            <w:pPr>
              <w:jc w:val="center"/>
              <w:rPr>
                <w:rFonts w:hint="eastAsia" w:ascii="宋体" w:hAnsi="宋体" w:eastAsia="宋体" w:cs="宋体"/>
                <w:i w:val="0"/>
                <w:color w:val="000000"/>
                <w:sz w:val="20"/>
                <w:szCs w:val="20"/>
                <w:u w:val="none"/>
              </w:rPr>
            </w:pPr>
          </w:p>
        </w:tc>
        <w:tc>
          <w:tcPr>
            <w:tcW w:w="985" w:type="dxa"/>
            <w:vMerge w:val="continue"/>
            <w:tcBorders>
              <w:top w:val="single" w:color="000000" w:sz="4" w:space="0"/>
              <w:left w:val="single" w:color="000000" w:sz="4" w:space="0"/>
              <w:bottom w:val="nil"/>
              <w:right w:val="single" w:color="000000" w:sz="4" w:space="0"/>
            </w:tcBorders>
            <w:shd w:val="clear" w:color="auto" w:fill="auto"/>
            <w:tcMar>
              <w:top w:w="15" w:type="dxa"/>
              <w:left w:w="15" w:type="dxa"/>
              <w:right w:w="15" w:type="dxa"/>
            </w:tcMar>
            <w:vAlign w:val="center"/>
          </w:tcPr>
          <w:p>
            <w:pPr>
              <w:jc w:val="center"/>
              <w:rPr>
                <w:rFonts w:hint="eastAsia" w:ascii="宋体" w:hAnsi="宋体" w:eastAsia="宋体" w:cs="宋体"/>
                <w:i w:val="0"/>
                <w:color w:val="000000"/>
                <w:sz w:val="20"/>
                <w:szCs w:val="20"/>
                <w:u w:val="none"/>
              </w:rPr>
            </w:pPr>
          </w:p>
        </w:tc>
        <w:tc>
          <w:tcPr>
            <w:tcW w:w="1117"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时效指标</w:t>
            </w:r>
          </w:p>
        </w:tc>
        <w:tc>
          <w:tcPr>
            <w:tcW w:w="2596" w:type="dxa"/>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按时召开，提案及时交办、办结。在一定时期内对经济社会发展起到助推作用。</w:t>
            </w:r>
          </w:p>
        </w:tc>
        <w:tc>
          <w:tcPr>
            <w:tcW w:w="1241"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按时召开</w:t>
            </w:r>
          </w:p>
        </w:tc>
        <w:tc>
          <w:tcPr>
            <w:tcW w:w="113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完成</w:t>
            </w:r>
          </w:p>
        </w:tc>
        <w:tc>
          <w:tcPr>
            <w:tcW w:w="1224"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default" w:ascii="Calibri" w:hAnsi="Calibri" w:eastAsia="宋体" w:cs="Calibri"/>
                <w:i w:val="0"/>
                <w:color w:val="000000"/>
                <w:sz w:val="20"/>
                <w:szCs w:val="20"/>
                <w:u w:val="none"/>
              </w:rPr>
            </w:pPr>
            <w:r>
              <w:rPr>
                <w:rFonts w:hint="default" w:ascii="Calibri" w:hAnsi="Calibri" w:eastAsia="宋体" w:cs="Calibri"/>
                <w:i w:val="0"/>
                <w:color w:val="000000"/>
                <w:kern w:val="0"/>
                <w:sz w:val="20"/>
                <w:szCs w:val="20"/>
                <w:u w:val="none"/>
                <w:lang w:val="en-US" w:eastAsia="zh-CN" w:bidi="ar"/>
              </w:rPr>
              <w:t>10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453" w:hRule="atLeast"/>
        </w:trPr>
        <w:tc>
          <w:tcPr>
            <w:tcW w:w="1219" w:type="dxa"/>
            <w:vMerge w:val="continue"/>
            <w:tcBorders>
              <w:top w:val="single" w:color="000000" w:sz="4" w:space="0"/>
              <w:left w:val="single" w:color="000000" w:sz="4" w:space="0"/>
              <w:bottom w:val="single" w:color="000000" w:sz="4" w:space="0"/>
              <w:right w:val="nil"/>
            </w:tcBorders>
            <w:shd w:val="clear" w:color="auto" w:fill="auto"/>
            <w:tcMar>
              <w:top w:w="15" w:type="dxa"/>
              <w:left w:w="15" w:type="dxa"/>
              <w:right w:w="15" w:type="dxa"/>
            </w:tcMar>
            <w:vAlign w:val="center"/>
          </w:tcPr>
          <w:p>
            <w:pPr>
              <w:jc w:val="center"/>
              <w:rPr>
                <w:rFonts w:hint="eastAsia" w:ascii="宋体" w:hAnsi="宋体" w:eastAsia="宋体" w:cs="宋体"/>
                <w:i w:val="0"/>
                <w:color w:val="000000"/>
                <w:sz w:val="20"/>
                <w:szCs w:val="20"/>
                <w:u w:val="none"/>
              </w:rPr>
            </w:pPr>
          </w:p>
        </w:tc>
        <w:tc>
          <w:tcPr>
            <w:tcW w:w="985" w:type="dxa"/>
            <w:vMerge w:val="continue"/>
            <w:tcBorders>
              <w:top w:val="single" w:color="000000" w:sz="4" w:space="0"/>
              <w:left w:val="single" w:color="000000" w:sz="4" w:space="0"/>
              <w:bottom w:val="nil"/>
              <w:right w:val="single" w:color="000000" w:sz="4" w:space="0"/>
            </w:tcBorders>
            <w:shd w:val="clear" w:color="auto" w:fill="auto"/>
            <w:tcMar>
              <w:top w:w="15" w:type="dxa"/>
              <w:left w:w="15" w:type="dxa"/>
              <w:right w:w="15" w:type="dxa"/>
            </w:tcMar>
            <w:vAlign w:val="center"/>
          </w:tcPr>
          <w:p>
            <w:pPr>
              <w:jc w:val="center"/>
              <w:rPr>
                <w:rFonts w:hint="eastAsia" w:ascii="宋体" w:hAnsi="宋体" w:eastAsia="宋体" w:cs="宋体"/>
                <w:i w:val="0"/>
                <w:color w:val="000000"/>
                <w:sz w:val="20"/>
                <w:szCs w:val="20"/>
                <w:u w:val="none"/>
              </w:rPr>
            </w:pPr>
          </w:p>
        </w:tc>
        <w:tc>
          <w:tcPr>
            <w:tcW w:w="1117"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成本指标</w:t>
            </w:r>
          </w:p>
        </w:tc>
        <w:tc>
          <w:tcPr>
            <w:tcW w:w="2596" w:type="dxa"/>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会议资料、餐宿安排</w:t>
            </w:r>
          </w:p>
        </w:tc>
        <w:tc>
          <w:tcPr>
            <w:tcW w:w="1241"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节约成本</w:t>
            </w:r>
          </w:p>
        </w:tc>
        <w:tc>
          <w:tcPr>
            <w:tcW w:w="113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完成</w:t>
            </w:r>
          </w:p>
        </w:tc>
        <w:tc>
          <w:tcPr>
            <w:tcW w:w="1224"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default" w:ascii="Calibri" w:hAnsi="Calibri" w:eastAsia="宋体" w:cs="Calibri"/>
                <w:i w:val="0"/>
                <w:color w:val="000000"/>
                <w:sz w:val="20"/>
                <w:szCs w:val="20"/>
                <w:u w:val="none"/>
              </w:rPr>
            </w:pPr>
            <w:r>
              <w:rPr>
                <w:rFonts w:hint="default" w:ascii="Calibri" w:hAnsi="Calibri" w:eastAsia="宋体" w:cs="Calibri"/>
                <w:i w:val="0"/>
                <w:color w:val="000000"/>
                <w:kern w:val="0"/>
                <w:sz w:val="20"/>
                <w:szCs w:val="20"/>
                <w:u w:val="none"/>
                <w:lang w:val="en-US" w:eastAsia="zh-CN" w:bidi="ar"/>
              </w:rPr>
              <w:t>10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936" w:hRule="atLeast"/>
        </w:trPr>
        <w:tc>
          <w:tcPr>
            <w:tcW w:w="1219" w:type="dxa"/>
            <w:vMerge w:val="continue"/>
            <w:tcBorders>
              <w:top w:val="single" w:color="000000" w:sz="4" w:space="0"/>
              <w:left w:val="single" w:color="000000" w:sz="4" w:space="0"/>
              <w:bottom w:val="single" w:color="000000" w:sz="4" w:space="0"/>
              <w:right w:val="nil"/>
            </w:tcBorders>
            <w:shd w:val="clear" w:color="auto" w:fill="auto"/>
            <w:tcMar>
              <w:top w:w="15" w:type="dxa"/>
              <w:left w:w="15" w:type="dxa"/>
              <w:right w:w="15" w:type="dxa"/>
            </w:tcMar>
            <w:vAlign w:val="center"/>
          </w:tcPr>
          <w:p>
            <w:pPr>
              <w:jc w:val="center"/>
              <w:rPr>
                <w:rFonts w:hint="eastAsia" w:ascii="宋体" w:hAnsi="宋体" w:eastAsia="宋体" w:cs="宋体"/>
                <w:i w:val="0"/>
                <w:color w:val="000000"/>
                <w:sz w:val="20"/>
                <w:szCs w:val="20"/>
                <w:u w:val="none"/>
              </w:rPr>
            </w:pPr>
          </w:p>
        </w:tc>
        <w:tc>
          <w:tcPr>
            <w:tcW w:w="98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预算执行率指标</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（10分）</w:t>
            </w:r>
          </w:p>
        </w:tc>
        <w:tc>
          <w:tcPr>
            <w:tcW w:w="1117" w:type="dxa"/>
            <w:tcBorders>
              <w:top w:val="nil"/>
              <w:left w:val="nil"/>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预算执行率</w:t>
            </w:r>
          </w:p>
        </w:tc>
        <w:tc>
          <w:tcPr>
            <w:tcW w:w="2596" w:type="dxa"/>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社会满意度及委员满意为90%以上</w:t>
            </w:r>
          </w:p>
        </w:tc>
        <w:tc>
          <w:tcPr>
            <w:tcW w:w="1241"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达到社会及委员满意</w:t>
            </w:r>
          </w:p>
        </w:tc>
        <w:tc>
          <w:tcPr>
            <w:tcW w:w="113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完成</w:t>
            </w:r>
          </w:p>
        </w:tc>
        <w:tc>
          <w:tcPr>
            <w:tcW w:w="1224"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default" w:ascii="Calibri" w:hAnsi="Calibri" w:eastAsia="宋体" w:cs="Calibri"/>
                <w:i w:val="0"/>
                <w:color w:val="000000"/>
                <w:sz w:val="20"/>
                <w:szCs w:val="20"/>
                <w:u w:val="none"/>
              </w:rPr>
            </w:pPr>
            <w:r>
              <w:rPr>
                <w:rFonts w:hint="default" w:ascii="Calibri" w:hAnsi="Calibri" w:eastAsia="宋体" w:cs="Calibri"/>
                <w:i w:val="0"/>
                <w:color w:val="000000"/>
                <w:kern w:val="0"/>
                <w:sz w:val="20"/>
                <w:szCs w:val="20"/>
                <w:u w:val="none"/>
                <w:lang w:val="en-US" w:eastAsia="zh-CN" w:bidi="ar"/>
              </w:rPr>
              <w:t>10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328" w:hRule="atLeast"/>
        </w:trPr>
        <w:tc>
          <w:tcPr>
            <w:tcW w:w="1219" w:type="dxa"/>
            <w:vMerge w:val="continue"/>
            <w:tcBorders>
              <w:top w:val="single" w:color="000000" w:sz="4" w:space="0"/>
              <w:left w:val="single" w:color="000000" w:sz="4" w:space="0"/>
              <w:bottom w:val="single" w:color="000000" w:sz="4" w:space="0"/>
              <w:right w:val="nil"/>
            </w:tcBorders>
            <w:shd w:val="clear" w:color="auto" w:fill="auto"/>
            <w:tcMar>
              <w:top w:w="15" w:type="dxa"/>
              <w:left w:w="15" w:type="dxa"/>
              <w:right w:w="15" w:type="dxa"/>
            </w:tcMar>
            <w:vAlign w:val="center"/>
          </w:tcPr>
          <w:p>
            <w:pPr>
              <w:jc w:val="center"/>
              <w:rPr>
                <w:rFonts w:hint="eastAsia" w:ascii="宋体" w:hAnsi="宋体" w:eastAsia="宋体" w:cs="宋体"/>
                <w:i w:val="0"/>
                <w:color w:val="000000"/>
                <w:sz w:val="20"/>
                <w:szCs w:val="20"/>
                <w:u w:val="none"/>
              </w:rPr>
            </w:pPr>
          </w:p>
        </w:tc>
        <w:tc>
          <w:tcPr>
            <w:tcW w:w="985" w:type="dxa"/>
            <w:vMerge w:val="restart"/>
            <w:tcBorders>
              <w:top w:val="nil"/>
              <w:left w:val="single" w:color="000000" w:sz="4" w:space="0"/>
              <w:bottom w:val="nil"/>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效益指标（40）</w:t>
            </w:r>
          </w:p>
        </w:tc>
        <w:tc>
          <w:tcPr>
            <w:tcW w:w="1117" w:type="dxa"/>
            <w:tcBorders>
              <w:top w:val="single" w:color="000000" w:sz="4" w:space="0"/>
              <w:left w:val="nil"/>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经济效益指标</w:t>
            </w:r>
          </w:p>
        </w:tc>
        <w:tc>
          <w:tcPr>
            <w:tcW w:w="2596" w:type="dxa"/>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助推经济发展</w:t>
            </w:r>
          </w:p>
        </w:tc>
        <w:tc>
          <w:tcPr>
            <w:tcW w:w="1241"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助推经济发展</w:t>
            </w:r>
          </w:p>
        </w:tc>
        <w:tc>
          <w:tcPr>
            <w:tcW w:w="113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未完成</w:t>
            </w:r>
          </w:p>
        </w:tc>
        <w:tc>
          <w:tcPr>
            <w:tcW w:w="1224"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default" w:ascii="Calibri" w:hAnsi="Calibri" w:eastAsia="宋体" w:cs="Calibri"/>
                <w:i w:val="0"/>
                <w:color w:val="000000"/>
                <w:sz w:val="20"/>
                <w:szCs w:val="20"/>
                <w:u w:val="none"/>
              </w:rPr>
            </w:pPr>
            <w:r>
              <w:rPr>
                <w:rFonts w:hint="default" w:ascii="Calibri" w:hAnsi="Calibri" w:eastAsia="宋体" w:cs="Calibri"/>
                <w:i w:val="0"/>
                <w:color w:val="000000"/>
                <w:kern w:val="0"/>
                <w:sz w:val="20"/>
                <w:szCs w:val="20"/>
                <w:u w:val="none"/>
                <w:lang w:val="en-US" w:eastAsia="zh-CN" w:bidi="ar"/>
              </w:rPr>
              <w:t>5</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328" w:hRule="atLeast"/>
        </w:trPr>
        <w:tc>
          <w:tcPr>
            <w:tcW w:w="1219" w:type="dxa"/>
            <w:vMerge w:val="continue"/>
            <w:tcBorders>
              <w:top w:val="single" w:color="000000" w:sz="4" w:space="0"/>
              <w:left w:val="single" w:color="000000" w:sz="4" w:space="0"/>
              <w:bottom w:val="single" w:color="000000" w:sz="4" w:space="0"/>
              <w:right w:val="nil"/>
            </w:tcBorders>
            <w:shd w:val="clear" w:color="auto" w:fill="auto"/>
            <w:tcMar>
              <w:top w:w="15" w:type="dxa"/>
              <w:left w:w="15" w:type="dxa"/>
              <w:right w:w="15" w:type="dxa"/>
            </w:tcMar>
            <w:vAlign w:val="center"/>
          </w:tcPr>
          <w:p>
            <w:pPr>
              <w:jc w:val="center"/>
              <w:rPr>
                <w:rFonts w:hint="eastAsia" w:ascii="宋体" w:hAnsi="宋体" w:eastAsia="宋体" w:cs="宋体"/>
                <w:i w:val="0"/>
                <w:color w:val="000000"/>
                <w:sz w:val="20"/>
                <w:szCs w:val="20"/>
                <w:u w:val="none"/>
              </w:rPr>
            </w:pPr>
          </w:p>
        </w:tc>
        <w:tc>
          <w:tcPr>
            <w:tcW w:w="985" w:type="dxa"/>
            <w:vMerge w:val="continue"/>
            <w:tcBorders>
              <w:top w:val="nil"/>
              <w:left w:val="single" w:color="000000" w:sz="4" w:space="0"/>
              <w:bottom w:val="nil"/>
              <w:right w:val="single" w:color="000000" w:sz="4" w:space="0"/>
            </w:tcBorders>
            <w:shd w:val="clear" w:color="auto" w:fill="auto"/>
            <w:tcMar>
              <w:top w:w="15" w:type="dxa"/>
              <w:left w:w="15" w:type="dxa"/>
              <w:right w:w="15" w:type="dxa"/>
            </w:tcMar>
            <w:vAlign w:val="center"/>
          </w:tcPr>
          <w:p>
            <w:pPr>
              <w:jc w:val="center"/>
              <w:rPr>
                <w:rFonts w:hint="eastAsia" w:ascii="宋体" w:hAnsi="宋体" w:eastAsia="宋体" w:cs="宋体"/>
                <w:i w:val="0"/>
                <w:color w:val="000000"/>
                <w:sz w:val="20"/>
                <w:szCs w:val="20"/>
                <w:u w:val="none"/>
              </w:rPr>
            </w:pPr>
          </w:p>
        </w:tc>
        <w:tc>
          <w:tcPr>
            <w:tcW w:w="1117" w:type="dxa"/>
            <w:tcBorders>
              <w:top w:val="single" w:color="000000" w:sz="4" w:space="0"/>
              <w:left w:val="nil"/>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社会效益指标</w:t>
            </w:r>
          </w:p>
        </w:tc>
        <w:tc>
          <w:tcPr>
            <w:tcW w:w="2596" w:type="dxa"/>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社会影响面广</w:t>
            </w:r>
          </w:p>
        </w:tc>
        <w:tc>
          <w:tcPr>
            <w:tcW w:w="1241"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社会影响大</w:t>
            </w:r>
          </w:p>
        </w:tc>
        <w:tc>
          <w:tcPr>
            <w:tcW w:w="113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完成</w:t>
            </w:r>
          </w:p>
        </w:tc>
        <w:tc>
          <w:tcPr>
            <w:tcW w:w="1224"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default" w:ascii="Calibri" w:hAnsi="Calibri" w:eastAsia="宋体" w:cs="Calibri"/>
                <w:i w:val="0"/>
                <w:color w:val="000000"/>
                <w:sz w:val="20"/>
                <w:szCs w:val="20"/>
                <w:u w:val="none"/>
              </w:rPr>
            </w:pPr>
            <w:r>
              <w:rPr>
                <w:rFonts w:hint="default" w:ascii="Calibri" w:hAnsi="Calibri" w:eastAsia="宋体" w:cs="Calibri"/>
                <w:i w:val="0"/>
                <w:color w:val="000000"/>
                <w:kern w:val="0"/>
                <w:sz w:val="20"/>
                <w:szCs w:val="20"/>
                <w:u w:val="none"/>
                <w:lang w:val="en-US" w:eastAsia="zh-CN" w:bidi="ar"/>
              </w:rPr>
              <w:t>10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328" w:hRule="atLeast"/>
        </w:trPr>
        <w:tc>
          <w:tcPr>
            <w:tcW w:w="1219" w:type="dxa"/>
            <w:vMerge w:val="continue"/>
            <w:tcBorders>
              <w:top w:val="single" w:color="000000" w:sz="4" w:space="0"/>
              <w:left w:val="single" w:color="000000" w:sz="4" w:space="0"/>
              <w:bottom w:val="single" w:color="000000" w:sz="4" w:space="0"/>
              <w:right w:val="nil"/>
            </w:tcBorders>
            <w:shd w:val="clear" w:color="auto" w:fill="auto"/>
            <w:tcMar>
              <w:top w:w="15" w:type="dxa"/>
              <w:left w:w="15" w:type="dxa"/>
              <w:right w:w="15" w:type="dxa"/>
            </w:tcMar>
            <w:vAlign w:val="center"/>
          </w:tcPr>
          <w:p>
            <w:pPr>
              <w:jc w:val="center"/>
              <w:rPr>
                <w:rFonts w:hint="eastAsia" w:ascii="宋体" w:hAnsi="宋体" w:eastAsia="宋体" w:cs="宋体"/>
                <w:i w:val="0"/>
                <w:color w:val="000000"/>
                <w:sz w:val="20"/>
                <w:szCs w:val="20"/>
                <w:u w:val="none"/>
              </w:rPr>
            </w:pPr>
          </w:p>
        </w:tc>
        <w:tc>
          <w:tcPr>
            <w:tcW w:w="985" w:type="dxa"/>
            <w:vMerge w:val="continue"/>
            <w:tcBorders>
              <w:top w:val="nil"/>
              <w:left w:val="single" w:color="000000" w:sz="4" w:space="0"/>
              <w:bottom w:val="nil"/>
              <w:right w:val="single" w:color="000000" w:sz="4" w:space="0"/>
            </w:tcBorders>
            <w:shd w:val="clear" w:color="auto" w:fill="auto"/>
            <w:tcMar>
              <w:top w:w="15" w:type="dxa"/>
              <w:left w:w="15" w:type="dxa"/>
              <w:right w:w="15" w:type="dxa"/>
            </w:tcMar>
            <w:vAlign w:val="center"/>
          </w:tcPr>
          <w:p>
            <w:pPr>
              <w:jc w:val="center"/>
              <w:rPr>
                <w:rFonts w:hint="eastAsia" w:ascii="宋体" w:hAnsi="宋体" w:eastAsia="宋体" w:cs="宋体"/>
                <w:i w:val="0"/>
                <w:color w:val="000000"/>
                <w:sz w:val="20"/>
                <w:szCs w:val="20"/>
                <w:u w:val="none"/>
              </w:rPr>
            </w:pPr>
          </w:p>
        </w:tc>
        <w:tc>
          <w:tcPr>
            <w:tcW w:w="1117" w:type="dxa"/>
            <w:tcBorders>
              <w:top w:val="single" w:color="000000" w:sz="4" w:space="0"/>
              <w:left w:val="nil"/>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生态效益指标</w:t>
            </w:r>
          </w:p>
        </w:tc>
        <w:tc>
          <w:tcPr>
            <w:tcW w:w="2596" w:type="dxa"/>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营造良好政治生态</w:t>
            </w:r>
          </w:p>
        </w:tc>
        <w:tc>
          <w:tcPr>
            <w:tcW w:w="1241"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社会生态好</w:t>
            </w:r>
          </w:p>
        </w:tc>
        <w:tc>
          <w:tcPr>
            <w:tcW w:w="113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完成</w:t>
            </w:r>
          </w:p>
        </w:tc>
        <w:tc>
          <w:tcPr>
            <w:tcW w:w="1224"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default" w:ascii="Calibri" w:hAnsi="Calibri" w:eastAsia="宋体" w:cs="Calibri"/>
                <w:i w:val="0"/>
                <w:color w:val="000000"/>
                <w:sz w:val="20"/>
                <w:szCs w:val="20"/>
                <w:u w:val="none"/>
              </w:rPr>
            </w:pPr>
            <w:r>
              <w:rPr>
                <w:rFonts w:hint="default" w:ascii="Calibri" w:hAnsi="Calibri" w:eastAsia="宋体" w:cs="Calibri"/>
                <w:i w:val="0"/>
                <w:color w:val="000000"/>
                <w:kern w:val="0"/>
                <w:sz w:val="20"/>
                <w:szCs w:val="20"/>
                <w:u w:val="none"/>
                <w:lang w:val="en-US" w:eastAsia="zh-CN" w:bidi="ar"/>
              </w:rPr>
              <w:t>10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632" w:hRule="atLeast"/>
        </w:trPr>
        <w:tc>
          <w:tcPr>
            <w:tcW w:w="1219" w:type="dxa"/>
            <w:vMerge w:val="continue"/>
            <w:tcBorders>
              <w:top w:val="single" w:color="000000" w:sz="4" w:space="0"/>
              <w:left w:val="single" w:color="000000" w:sz="4" w:space="0"/>
              <w:bottom w:val="single" w:color="000000" w:sz="4" w:space="0"/>
              <w:right w:val="nil"/>
            </w:tcBorders>
            <w:shd w:val="clear" w:color="auto" w:fill="auto"/>
            <w:tcMar>
              <w:top w:w="15" w:type="dxa"/>
              <w:left w:w="15" w:type="dxa"/>
              <w:right w:w="15" w:type="dxa"/>
            </w:tcMar>
            <w:vAlign w:val="center"/>
          </w:tcPr>
          <w:p>
            <w:pPr>
              <w:jc w:val="center"/>
              <w:rPr>
                <w:rFonts w:hint="eastAsia" w:ascii="宋体" w:hAnsi="宋体" w:eastAsia="宋体" w:cs="宋体"/>
                <w:i w:val="0"/>
                <w:color w:val="000000"/>
                <w:sz w:val="20"/>
                <w:szCs w:val="20"/>
                <w:u w:val="none"/>
              </w:rPr>
            </w:pPr>
          </w:p>
        </w:tc>
        <w:tc>
          <w:tcPr>
            <w:tcW w:w="985" w:type="dxa"/>
            <w:vMerge w:val="continue"/>
            <w:tcBorders>
              <w:top w:val="nil"/>
              <w:left w:val="single" w:color="000000" w:sz="4" w:space="0"/>
              <w:bottom w:val="nil"/>
              <w:right w:val="single" w:color="000000" w:sz="4" w:space="0"/>
            </w:tcBorders>
            <w:shd w:val="clear" w:color="auto" w:fill="auto"/>
            <w:tcMar>
              <w:top w:w="15" w:type="dxa"/>
              <w:left w:w="15" w:type="dxa"/>
              <w:right w:w="15" w:type="dxa"/>
            </w:tcMar>
            <w:vAlign w:val="center"/>
          </w:tcPr>
          <w:p>
            <w:pPr>
              <w:jc w:val="center"/>
              <w:rPr>
                <w:rFonts w:hint="eastAsia" w:ascii="宋体" w:hAnsi="宋体" w:eastAsia="宋体" w:cs="宋体"/>
                <w:i w:val="0"/>
                <w:color w:val="000000"/>
                <w:sz w:val="20"/>
                <w:szCs w:val="20"/>
                <w:u w:val="none"/>
              </w:rPr>
            </w:pPr>
          </w:p>
        </w:tc>
        <w:tc>
          <w:tcPr>
            <w:tcW w:w="1117" w:type="dxa"/>
            <w:tcBorders>
              <w:top w:val="single" w:color="000000" w:sz="4" w:space="0"/>
              <w:left w:val="nil"/>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可持续影响指标</w:t>
            </w:r>
          </w:p>
        </w:tc>
        <w:tc>
          <w:tcPr>
            <w:tcW w:w="2596" w:type="dxa"/>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激励委员履职热情</w:t>
            </w:r>
          </w:p>
        </w:tc>
        <w:tc>
          <w:tcPr>
            <w:tcW w:w="1241"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委员热情高</w:t>
            </w:r>
          </w:p>
        </w:tc>
        <w:tc>
          <w:tcPr>
            <w:tcW w:w="113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完成</w:t>
            </w:r>
          </w:p>
        </w:tc>
        <w:tc>
          <w:tcPr>
            <w:tcW w:w="1224"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default" w:ascii="Calibri" w:hAnsi="Calibri" w:eastAsia="宋体" w:cs="Calibri"/>
                <w:i w:val="0"/>
                <w:color w:val="000000"/>
                <w:sz w:val="20"/>
                <w:szCs w:val="20"/>
                <w:u w:val="none"/>
              </w:rPr>
            </w:pPr>
            <w:r>
              <w:rPr>
                <w:rFonts w:hint="default" w:ascii="Calibri" w:hAnsi="Calibri" w:eastAsia="宋体" w:cs="Calibri"/>
                <w:i w:val="0"/>
                <w:color w:val="000000"/>
                <w:kern w:val="0"/>
                <w:sz w:val="20"/>
                <w:szCs w:val="20"/>
                <w:u w:val="none"/>
                <w:lang w:val="en-US" w:eastAsia="zh-CN" w:bidi="ar"/>
              </w:rPr>
              <w:t>10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632" w:hRule="atLeast"/>
        </w:trPr>
        <w:tc>
          <w:tcPr>
            <w:tcW w:w="1219" w:type="dxa"/>
            <w:vMerge w:val="continue"/>
            <w:tcBorders>
              <w:top w:val="single" w:color="000000" w:sz="4" w:space="0"/>
              <w:left w:val="single" w:color="000000" w:sz="4" w:space="0"/>
              <w:bottom w:val="single" w:color="000000" w:sz="4" w:space="0"/>
              <w:right w:val="nil"/>
            </w:tcBorders>
            <w:shd w:val="clear" w:color="auto" w:fill="auto"/>
            <w:tcMar>
              <w:top w:w="15" w:type="dxa"/>
              <w:left w:w="15" w:type="dxa"/>
              <w:right w:w="15" w:type="dxa"/>
            </w:tcMar>
            <w:vAlign w:val="center"/>
          </w:tcPr>
          <w:p>
            <w:pPr>
              <w:jc w:val="center"/>
              <w:rPr>
                <w:rFonts w:hint="eastAsia" w:ascii="宋体" w:hAnsi="宋体" w:eastAsia="宋体" w:cs="宋体"/>
                <w:i w:val="0"/>
                <w:color w:val="000000"/>
                <w:sz w:val="20"/>
                <w:szCs w:val="20"/>
                <w:u w:val="none"/>
              </w:rPr>
            </w:pPr>
          </w:p>
        </w:tc>
        <w:tc>
          <w:tcPr>
            <w:tcW w:w="98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满意度指标</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（10分）</w:t>
            </w:r>
          </w:p>
        </w:tc>
        <w:tc>
          <w:tcPr>
            <w:tcW w:w="1117" w:type="dxa"/>
            <w:tcBorders>
              <w:top w:val="single" w:color="000000" w:sz="4" w:space="0"/>
              <w:left w:val="nil"/>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满意度指标</w:t>
            </w:r>
          </w:p>
        </w:tc>
        <w:tc>
          <w:tcPr>
            <w:tcW w:w="2596" w:type="dxa"/>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社会、委员满意</w:t>
            </w:r>
          </w:p>
        </w:tc>
        <w:tc>
          <w:tcPr>
            <w:tcW w:w="1241"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社会、委员满意</w:t>
            </w:r>
          </w:p>
        </w:tc>
        <w:tc>
          <w:tcPr>
            <w:tcW w:w="113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完成</w:t>
            </w:r>
          </w:p>
        </w:tc>
        <w:tc>
          <w:tcPr>
            <w:tcW w:w="1224"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default" w:ascii="Calibri" w:hAnsi="Calibri" w:eastAsia="宋体" w:cs="Calibri"/>
                <w:i w:val="0"/>
                <w:color w:val="000000"/>
                <w:sz w:val="20"/>
                <w:szCs w:val="20"/>
                <w:u w:val="none"/>
              </w:rPr>
            </w:pPr>
            <w:r>
              <w:rPr>
                <w:rFonts w:hint="default" w:ascii="Calibri" w:hAnsi="Calibri" w:eastAsia="宋体" w:cs="Calibri"/>
                <w:i w:val="0"/>
                <w:color w:val="000000"/>
                <w:kern w:val="0"/>
                <w:sz w:val="20"/>
                <w:szCs w:val="20"/>
                <w:u w:val="none"/>
                <w:lang w:val="en-US" w:eastAsia="zh-CN" w:bidi="ar"/>
              </w:rPr>
              <w:t>10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328" w:hRule="atLeast"/>
        </w:trPr>
        <w:tc>
          <w:tcPr>
            <w:tcW w:w="1219" w:type="dxa"/>
            <w:vMerge w:val="continue"/>
            <w:tcBorders>
              <w:top w:val="single" w:color="000000" w:sz="4" w:space="0"/>
              <w:left w:val="single" w:color="000000" w:sz="4" w:space="0"/>
              <w:bottom w:val="single" w:color="000000" w:sz="4" w:space="0"/>
              <w:right w:val="nil"/>
            </w:tcBorders>
            <w:shd w:val="clear" w:color="auto" w:fill="auto"/>
            <w:tcMar>
              <w:top w:w="15" w:type="dxa"/>
              <w:left w:w="15" w:type="dxa"/>
              <w:right w:w="15" w:type="dxa"/>
            </w:tcMar>
            <w:vAlign w:val="center"/>
          </w:tcPr>
          <w:p>
            <w:pPr>
              <w:jc w:val="center"/>
              <w:rPr>
                <w:rFonts w:hint="eastAsia" w:ascii="宋体" w:hAnsi="宋体" w:eastAsia="宋体" w:cs="宋体"/>
                <w:i w:val="0"/>
                <w:color w:val="000000"/>
                <w:sz w:val="20"/>
                <w:szCs w:val="20"/>
                <w:u w:val="none"/>
              </w:rPr>
            </w:pPr>
          </w:p>
        </w:tc>
        <w:tc>
          <w:tcPr>
            <w:tcW w:w="7077" w:type="dxa"/>
            <w:gridSpan w:val="6"/>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总分</w:t>
            </w:r>
          </w:p>
        </w:tc>
        <w:tc>
          <w:tcPr>
            <w:tcW w:w="1224"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default" w:ascii="Calibri" w:hAnsi="Calibri" w:eastAsia="宋体" w:cs="Calibri"/>
                <w:i w:val="0"/>
                <w:color w:val="000000"/>
                <w:sz w:val="20"/>
                <w:szCs w:val="20"/>
                <w:u w:val="none"/>
              </w:rPr>
            </w:pPr>
            <w:r>
              <w:rPr>
                <w:rFonts w:hint="default" w:ascii="Calibri" w:hAnsi="Calibri" w:eastAsia="宋体" w:cs="Calibri"/>
                <w:i w:val="0"/>
                <w:color w:val="000000"/>
                <w:kern w:val="0"/>
                <w:sz w:val="20"/>
                <w:szCs w:val="20"/>
                <w:u w:val="none"/>
                <w:lang w:val="en-US" w:eastAsia="zh-CN" w:bidi="ar"/>
              </w:rPr>
              <w:t>95</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936" w:hRule="atLeast"/>
        </w:trPr>
        <w:tc>
          <w:tcPr>
            <w:tcW w:w="1219" w:type="dxa"/>
            <w:tcBorders>
              <w:top w:val="nil"/>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五、</w:t>
            </w:r>
            <w:r>
              <w:rPr>
                <w:rStyle w:val="27"/>
                <w:rFonts w:eastAsia="宋体"/>
                <w:lang w:val="en-US" w:eastAsia="zh-CN" w:bidi="ar"/>
              </w:rPr>
              <w:t xml:space="preserve"> </w:t>
            </w:r>
            <w:r>
              <w:rPr>
                <w:rFonts w:hint="eastAsia" w:ascii="宋体" w:hAnsi="宋体" w:eastAsia="宋体" w:cs="宋体"/>
                <w:i w:val="0"/>
                <w:color w:val="000000"/>
                <w:kern w:val="0"/>
                <w:sz w:val="20"/>
                <w:szCs w:val="20"/>
                <w:u w:val="none"/>
                <w:lang w:val="en-US" w:eastAsia="zh-CN" w:bidi="ar"/>
              </w:rPr>
              <w:t>存在问题、原因及下一步整改措施</w:t>
            </w:r>
          </w:p>
        </w:tc>
        <w:tc>
          <w:tcPr>
            <w:tcW w:w="8301" w:type="dxa"/>
            <w:gridSpan w:val="7"/>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今后要做好项目前期调研和摸排工作，做好充足的前期准备，对执行过程中可能出现的问题充分预判，做好应急预案，以便项目顺利建设实施。</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389" w:hRule="atLeast"/>
        </w:trPr>
        <w:tc>
          <w:tcPr>
            <w:tcW w:w="0" w:type="auto"/>
            <w:tcBorders>
              <w:top w:val="nil"/>
              <w:left w:val="nil"/>
              <w:bottom w:val="nil"/>
              <w:right w:val="nil"/>
            </w:tcBorders>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填报人：裴辉茹</w:t>
            </w:r>
          </w:p>
        </w:tc>
        <w:tc>
          <w:tcPr>
            <w:tcW w:w="0" w:type="auto"/>
            <w:tcBorders>
              <w:top w:val="nil"/>
              <w:left w:val="nil"/>
              <w:bottom w:val="nil"/>
              <w:right w:val="nil"/>
            </w:tcBorders>
            <w:shd w:val="clear" w:color="auto" w:fill="auto"/>
            <w:noWrap/>
            <w:tcMar>
              <w:top w:w="15" w:type="dxa"/>
              <w:left w:w="15" w:type="dxa"/>
              <w:right w:w="15" w:type="dxa"/>
            </w:tcMar>
            <w:vAlign w:val="center"/>
          </w:tcPr>
          <w:p>
            <w:pPr>
              <w:jc w:val="center"/>
              <w:rPr>
                <w:rFonts w:hint="eastAsia" w:ascii="宋体" w:hAnsi="宋体" w:eastAsia="宋体" w:cs="宋体"/>
                <w:i w:val="0"/>
                <w:color w:val="000000"/>
                <w:sz w:val="20"/>
                <w:szCs w:val="20"/>
                <w:u w:val="none"/>
              </w:rPr>
            </w:pPr>
          </w:p>
        </w:tc>
        <w:tc>
          <w:tcPr>
            <w:tcW w:w="0" w:type="auto"/>
            <w:tcBorders>
              <w:top w:val="nil"/>
              <w:left w:val="nil"/>
              <w:bottom w:val="nil"/>
              <w:right w:val="nil"/>
            </w:tcBorders>
            <w:shd w:val="clear" w:color="auto" w:fill="auto"/>
            <w:noWrap/>
            <w:tcMar>
              <w:top w:w="15" w:type="dxa"/>
              <w:left w:w="15" w:type="dxa"/>
              <w:right w:w="15" w:type="dxa"/>
            </w:tcMar>
            <w:vAlign w:val="center"/>
          </w:tcPr>
          <w:p>
            <w:pPr>
              <w:jc w:val="center"/>
              <w:rPr>
                <w:rFonts w:hint="eastAsia" w:ascii="宋体" w:hAnsi="宋体" w:eastAsia="宋体" w:cs="宋体"/>
                <w:i w:val="0"/>
                <w:color w:val="000000"/>
                <w:sz w:val="20"/>
                <w:szCs w:val="20"/>
                <w:u w:val="none"/>
              </w:rPr>
            </w:pPr>
          </w:p>
        </w:tc>
        <w:tc>
          <w:tcPr>
            <w:tcW w:w="0" w:type="auto"/>
            <w:tcBorders>
              <w:top w:val="nil"/>
              <w:left w:val="nil"/>
              <w:bottom w:val="nil"/>
              <w:right w:val="nil"/>
            </w:tcBorders>
            <w:shd w:val="clear" w:color="auto" w:fill="auto"/>
            <w:noWrap/>
            <w:tcMar>
              <w:top w:w="15" w:type="dxa"/>
              <w:left w:w="15" w:type="dxa"/>
              <w:right w:w="15" w:type="dxa"/>
            </w:tcMar>
            <w:vAlign w:val="center"/>
          </w:tcPr>
          <w:p>
            <w:pPr>
              <w:jc w:val="center"/>
              <w:rPr>
                <w:rFonts w:hint="eastAsia" w:ascii="宋体" w:hAnsi="宋体" w:eastAsia="宋体" w:cs="宋体"/>
                <w:i w:val="0"/>
                <w:color w:val="000000"/>
                <w:sz w:val="20"/>
                <w:szCs w:val="20"/>
                <w:u w:val="none"/>
              </w:rPr>
            </w:pPr>
          </w:p>
        </w:tc>
        <w:tc>
          <w:tcPr>
            <w:tcW w:w="0" w:type="auto"/>
            <w:tcBorders>
              <w:top w:val="nil"/>
              <w:left w:val="nil"/>
              <w:bottom w:val="nil"/>
              <w:right w:val="nil"/>
            </w:tcBorders>
            <w:shd w:val="clear" w:color="auto" w:fill="auto"/>
            <w:noWrap/>
            <w:tcMar>
              <w:top w:w="15" w:type="dxa"/>
              <w:left w:w="15" w:type="dxa"/>
              <w:right w:w="15" w:type="dxa"/>
            </w:tcMar>
            <w:vAlign w:val="center"/>
          </w:tcPr>
          <w:p>
            <w:pPr>
              <w:jc w:val="center"/>
              <w:rPr>
                <w:rFonts w:hint="eastAsia" w:ascii="宋体" w:hAnsi="宋体" w:eastAsia="宋体" w:cs="宋体"/>
                <w:i w:val="0"/>
                <w:color w:val="000000"/>
                <w:sz w:val="20"/>
                <w:szCs w:val="20"/>
                <w:u w:val="none"/>
              </w:rPr>
            </w:pPr>
          </w:p>
        </w:tc>
        <w:tc>
          <w:tcPr>
            <w:tcW w:w="0" w:type="auto"/>
            <w:tcBorders>
              <w:top w:val="nil"/>
              <w:left w:val="nil"/>
              <w:bottom w:val="nil"/>
              <w:right w:val="nil"/>
            </w:tcBorders>
            <w:shd w:val="clear" w:color="auto" w:fill="auto"/>
            <w:noWrap/>
            <w:tcMar>
              <w:top w:w="15" w:type="dxa"/>
              <w:left w:w="15" w:type="dxa"/>
              <w:right w:w="15" w:type="dxa"/>
            </w:tcMar>
            <w:vAlign w:val="center"/>
          </w:tcPr>
          <w:p>
            <w:pPr>
              <w:jc w:val="center"/>
              <w:rPr>
                <w:rFonts w:hint="eastAsia" w:ascii="宋体" w:hAnsi="宋体" w:eastAsia="宋体" w:cs="宋体"/>
                <w:i w:val="0"/>
                <w:color w:val="000000"/>
                <w:sz w:val="20"/>
                <w:szCs w:val="20"/>
                <w:u w:val="none"/>
              </w:rPr>
            </w:pPr>
          </w:p>
        </w:tc>
        <w:tc>
          <w:tcPr>
            <w:tcW w:w="0" w:type="auto"/>
            <w:tcBorders>
              <w:top w:val="nil"/>
              <w:left w:val="nil"/>
              <w:bottom w:val="nil"/>
              <w:right w:val="nil"/>
            </w:tcBorders>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联系电话：</w:t>
            </w:r>
          </w:p>
        </w:tc>
        <w:tc>
          <w:tcPr>
            <w:tcW w:w="0" w:type="auto"/>
            <w:tcBorders>
              <w:top w:val="nil"/>
              <w:left w:val="nil"/>
              <w:bottom w:val="nil"/>
              <w:right w:val="nil"/>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15128151286</w:t>
            </w:r>
          </w:p>
        </w:tc>
      </w:tr>
    </w:tbl>
    <w:p>
      <w:pPr>
        <w:widowControl/>
        <w:spacing w:before="0" w:beforeLines="0" w:beforeAutospacing="0" w:after="0" w:afterLines="0" w:afterAutospacing="0" w:line="360" w:lineRule="auto"/>
        <w:ind w:firstLine="640" w:firstLineChars="200"/>
        <w:jc w:val="left"/>
        <w:rPr>
          <w:rFonts w:ascii="Times New Roman" w:eastAsia="仿宋_GB2312"/>
          <w:sz w:val="32"/>
          <w:szCs w:val="32"/>
        </w:rPr>
      </w:pPr>
    </w:p>
    <w:tbl>
      <w:tblPr>
        <w:tblStyle w:val="11"/>
        <w:tblW w:w="9480"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0" w:type="dxa"/>
          <w:bottom w:w="0" w:type="dxa"/>
          <w:right w:w="0" w:type="dxa"/>
        </w:tblCellMar>
      </w:tblPr>
      <w:tblGrid>
        <w:gridCol w:w="1430"/>
        <w:gridCol w:w="993"/>
        <w:gridCol w:w="796"/>
        <w:gridCol w:w="1292"/>
        <w:gridCol w:w="1323"/>
        <w:gridCol w:w="1070"/>
        <w:gridCol w:w="1147"/>
        <w:gridCol w:w="1430"/>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686" w:hRule="atLeast"/>
        </w:trPr>
        <w:tc>
          <w:tcPr>
            <w:tcW w:w="9480" w:type="dxa"/>
            <w:gridSpan w:val="8"/>
            <w:tcBorders>
              <w:top w:val="nil"/>
              <w:left w:val="nil"/>
              <w:bottom w:val="nil"/>
              <w:right w:val="nil"/>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ascii="方正小标宋_GBK" w:hAnsi="方正小标宋_GBK" w:eastAsia="方正小标宋_GBK" w:cs="方正小标宋_GBK"/>
                <w:i w:val="0"/>
                <w:color w:val="000000"/>
                <w:sz w:val="44"/>
                <w:szCs w:val="44"/>
                <w:u w:val="none"/>
              </w:rPr>
            </w:pPr>
            <w:r>
              <w:rPr>
                <w:rFonts w:hint="eastAsia" w:ascii="方正小标宋_GBK" w:hAnsi="方正小标宋_GBK" w:eastAsia="方正小标宋_GBK" w:cs="方正小标宋_GBK"/>
                <w:i w:val="0"/>
                <w:color w:val="000000"/>
                <w:kern w:val="0"/>
                <w:sz w:val="44"/>
                <w:szCs w:val="44"/>
                <w:u w:val="none"/>
                <w:lang w:val="en-US" w:eastAsia="zh-CN" w:bidi="ar"/>
              </w:rPr>
              <w:t>县级部门预算项目绩效自评表</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236" w:hRule="atLeast"/>
        </w:trPr>
        <w:tc>
          <w:tcPr>
            <w:tcW w:w="0" w:type="auto"/>
            <w:gridSpan w:val="8"/>
            <w:tcBorders>
              <w:top w:val="nil"/>
              <w:left w:val="nil"/>
              <w:bottom w:val="nil"/>
              <w:right w:val="nil"/>
            </w:tcBorders>
            <w:shd w:val="clear" w:color="auto" w:fill="auto"/>
            <w:noWrap/>
            <w:tcMar>
              <w:top w:w="15" w:type="dxa"/>
              <w:left w:w="15" w:type="dxa"/>
              <w:right w:w="15" w:type="dxa"/>
            </w:tcMar>
            <w:vAlign w:val="bottom"/>
          </w:tcPr>
          <w:p>
            <w:pPr>
              <w:keepNext w:val="0"/>
              <w:keepLines w:val="0"/>
              <w:widowControl/>
              <w:suppressLineNumbers w:val="0"/>
              <w:jc w:val="center"/>
              <w:textAlignment w:val="bottom"/>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     2025 年度）</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257" w:hRule="atLeast"/>
        </w:trPr>
        <w:tc>
          <w:tcPr>
            <w:tcW w:w="0" w:type="auto"/>
            <w:tcBorders>
              <w:top w:val="nil"/>
              <w:left w:val="nil"/>
              <w:bottom w:val="nil"/>
              <w:right w:val="nil"/>
            </w:tcBorders>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填报单位：</w:t>
            </w:r>
          </w:p>
        </w:tc>
        <w:tc>
          <w:tcPr>
            <w:tcW w:w="0" w:type="auto"/>
            <w:tcBorders>
              <w:top w:val="nil"/>
              <w:left w:val="nil"/>
              <w:bottom w:val="nil"/>
              <w:right w:val="nil"/>
            </w:tcBorders>
            <w:shd w:val="clear" w:color="auto" w:fill="auto"/>
            <w:noWrap/>
            <w:tcMar>
              <w:top w:w="15" w:type="dxa"/>
              <w:left w:w="15" w:type="dxa"/>
              <w:right w:w="15" w:type="dxa"/>
            </w:tcMar>
            <w:vAlign w:val="center"/>
          </w:tcPr>
          <w:p>
            <w:pPr>
              <w:jc w:val="center"/>
              <w:rPr>
                <w:rFonts w:hint="eastAsia" w:ascii="宋体" w:hAnsi="宋体" w:eastAsia="宋体" w:cs="宋体"/>
                <w:i w:val="0"/>
                <w:color w:val="000000"/>
                <w:sz w:val="20"/>
                <w:szCs w:val="20"/>
                <w:u w:val="none"/>
              </w:rPr>
            </w:pPr>
          </w:p>
        </w:tc>
        <w:tc>
          <w:tcPr>
            <w:tcW w:w="0" w:type="auto"/>
            <w:tcBorders>
              <w:top w:val="nil"/>
              <w:left w:val="nil"/>
              <w:bottom w:val="nil"/>
              <w:right w:val="nil"/>
            </w:tcBorders>
            <w:shd w:val="clear" w:color="auto" w:fill="auto"/>
            <w:noWrap/>
            <w:tcMar>
              <w:top w:w="15" w:type="dxa"/>
              <w:left w:w="15" w:type="dxa"/>
              <w:right w:w="15" w:type="dxa"/>
            </w:tcMar>
            <w:vAlign w:val="center"/>
          </w:tcPr>
          <w:p>
            <w:pPr>
              <w:jc w:val="center"/>
              <w:rPr>
                <w:rFonts w:hint="eastAsia" w:ascii="宋体" w:hAnsi="宋体" w:eastAsia="宋体" w:cs="宋体"/>
                <w:i w:val="0"/>
                <w:color w:val="000000"/>
                <w:sz w:val="20"/>
                <w:szCs w:val="20"/>
                <w:u w:val="none"/>
              </w:rPr>
            </w:pPr>
          </w:p>
        </w:tc>
        <w:tc>
          <w:tcPr>
            <w:tcW w:w="0" w:type="auto"/>
            <w:tcBorders>
              <w:top w:val="nil"/>
              <w:left w:val="nil"/>
              <w:bottom w:val="nil"/>
              <w:right w:val="nil"/>
            </w:tcBorders>
            <w:shd w:val="clear" w:color="auto" w:fill="auto"/>
            <w:noWrap/>
            <w:tcMar>
              <w:top w:w="15" w:type="dxa"/>
              <w:left w:w="15" w:type="dxa"/>
              <w:right w:w="15" w:type="dxa"/>
            </w:tcMar>
            <w:vAlign w:val="center"/>
          </w:tcPr>
          <w:p>
            <w:pPr>
              <w:jc w:val="center"/>
              <w:rPr>
                <w:rFonts w:hint="eastAsia" w:ascii="宋体" w:hAnsi="宋体" w:eastAsia="宋体" w:cs="宋体"/>
                <w:i w:val="0"/>
                <w:color w:val="000000"/>
                <w:sz w:val="20"/>
                <w:szCs w:val="20"/>
                <w:u w:val="none"/>
              </w:rPr>
            </w:pPr>
          </w:p>
        </w:tc>
        <w:tc>
          <w:tcPr>
            <w:tcW w:w="0" w:type="auto"/>
            <w:tcBorders>
              <w:top w:val="nil"/>
              <w:left w:val="nil"/>
              <w:bottom w:val="nil"/>
              <w:right w:val="nil"/>
            </w:tcBorders>
            <w:shd w:val="clear" w:color="auto" w:fill="auto"/>
            <w:noWrap/>
            <w:tcMar>
              <w:top w:w="15" w:type="dxa"/>
              <w:left w:w="15" w:type="dxa"/>
              <w:right w:w="15" w:type="dxa"/>
            </w:tcMar>
            <w:vAlign w:val="center"/>
          </w:tcPr>
          <w:p>
            <w:pPr>
              <w:jc w:val="center"/>
              <w:rPr>
                <w:rFonts w:hint="eastAsia" w:ascii="宋体" w:hAnsi="宋体" w:eastAsia="宋体" w:cs="宋体"/>
                <w:i w:val="0"/>
                <w:color w:val="000000"/>
                <w:sz w:val="20"/>
                <w:szCs w:val="20"/>
                <w:u w:val="none"/>
              </w:rPr>
            </w:pPr>
          </w:p>
        </w:tc>
        <w:tc>
          <w:tcPr>
            <w:tcW w:w="0" w:type="auto"/>
            <w:tcBorders>
              <w:top w:val="nil"/>
              <w:left w:val="nil"/>
              <w:bottom w:val="nil"/>
              <w:right w:val="nil"/>
            </w:tcBorders>
            <w:shd w:val="clear" w:color="auto" w:fill="auto"/>
            <w:noWrap/>
            <w:tcMar>
              <w:top w:w="15" w:type="dxa"/>
              <w:left w:w="15" w:type="dxa"/>
              <w:right w:w="15" w:type="dxa"/>
            </w:tcMar>
            <w:vAlign w:val="center"/>
          </w:tcPr>
          <w:p>
            <w:pPr>
              <w:jc w:val="center"/>
              <w:rPr>
                <w:rFonts w:hint="eastAsia" w:ascii="宋体" w:hAnsi="宋体" w:eastAsia="宋体" w:cs="宋体"/>
                <w:i w:val="0"/>
                <w:color w:val="000000"/>
                <w:sz w:val="20"/>
                <w:szCs w:val="20"/>
                <w:u w:val="none"/>
              </w:rPr>
            </w:pPr>
          </w:p>
        </w:tc>
        <w:tc>
          <w:tcPr>
            <w:tcW w:w="0" w:type="auto"/>
            <w:tcBorders>
              <w:top w:val="nil"/>
              <w:left w:val="nil"/>
              <w:bottom w:val="nil"/>
              <w:right w:val="nil"/>
            </w:tcBorders>
            <w:shd w:val="clear" w:color="auto" w:fill="auto"/>
            <w:noWrap/>
            <w:tcMar>
              <w:top w:w="15" w:type="dxa"/>
              <w:left w:w="15" w:type="dxa"/>
              <w:right w:w="15" w:type="dxa"/>
            </w:tcMar>
            <w:vAlign w:val="center"/>
          </w:tcPr>
          <w:p>
            <w:pPr>
              <w:jc w:val="center"/>
              <w:rPr>
                <w:rFonts w:hint="eastAsia" w:ascii="宋体" w:hAnsi="宋体" w:eastAsia="宋体" w:cs="宋体"/>
                <w:i w:val="0"/>
                <w:color w:val="000000"/>
                <w:sz w:val="20"/>
                <w:szCs w:val="20"/>
                <w:u w:val="none"/>
              </w:rPr>
            </w:pPr>
          </w:p>
        </w:tc>
        <w:tc>
          <w:tcPr>
            <w:tcW w:w="0" w:type="auto"/>
            <w:tcBorders>
              <w:top w:val="nil"/>
              <w:left w:val="nil"/>
              <w:bottom w:val="nil"/>
              <w:right w:val="nil"/>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金额单位：万元</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468" w:hRule="atLeast"/>
        </w:trPr>
        <w:tc>
          <w:tcPr>
            <w:tcW w:w="1229" w:type="dxa"/>
            <w:tcBorders>
              <w:top w:val="single" w:color="000000" w:sz="4" w:space="0"/>
              <w:left w:val="single" w:color="000000" w:sz="4" w:space="0"/>
              <w:bottom w:val="nil"/>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一、</w:t>
            </w:r>
            <w:r>
              <w:rPr>
                <w:rFonts w:ascii="Calibri" w:hAnsi="Calibri" w:eastAsia="宋体" w:cs="Calibri"/>
                <w:i w:val="0"/>
                <w:color w:val="000000"/>
                <w:kern w:val="0"/>
                <w:sz w:val="20"/>
                <w:szCs w:val="20"/>
                <w:u w:val="none"/>
                <w:lang w:val="en-US" w:eastAsia="zh-CN" w:bidi="ar"/>
              </w:rPr>
              <w:t xml:space="preserve"> </w:t>
            </w:r>
            <w:r>
              <w:rPr>
                <w:rFonts w:hint="eastAsia" w:ascii="宋体" w:hAnsi="宋体" w:eastAsia="宋体" w:cs="宋体"/>
                <w:i w:val="0"/>
                <w:color w:val="000000"/>
                <w:kern w:val="0"/>
                <w:sz w:val="20"/>
                <w:szCs w:val="20"/>
                <w:u w:val="none"/>
                <w:lang w:val="en-US" w:eastAsia="zh-CN" w:bidi="ar"/>
              </w:rPr>
              <w:t>基本情况</w:t>
            </w:r>
          </w:p>
        </w:tc>
        <w:tc>
          <w:tcPr>
            <w:tcW w:w="993"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项目名称</w:t>
            </w:r>
          </w:p>
        </w:tc>
        <w:tc>
          <w:tcPr>
            <w:tcW w:w="2252" w:type="dxa"/>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汇编印制编撰《印象无极》专项经费</w:t>
            </w:r>
          </w:p>
        </w:tc>
        <w:tc>
          <w:tcPr>
            <w:tcW w:w="1392"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实施(主管）单位</w:t>
            </w:r>
          </w:p>
        </w:tc>
        <w:tc>
          <w:tcPr>
            <w:tcW w:w="3614" w:type="dxa"/>
            <w:gridSpan w:val="3"/>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政协办</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346" w:hRule="atLeast"/>
        </w:trPr>
        <w:tc>
          <w:tcPr>
            <w:tcW w:w="1229"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二、预算执行情况</w:t>
            </w:r>
          </w:p>
        </w:tc>
        <w:tc>
          <w:tcPr>
            <w:tcW w:w="1917" w:type="dxa"/>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预算安排情况（调整后）</w:t>
            </w:r>
          </w:p>
        </w:tc>
        <w:tc>
          <w:tcPr>
            <w:tcW w:w="2720" w:type="dxa"/>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资金到位情况</w:t>
            </w:r>
          </w:p>
        </w:tc>
        <w:tc>
          <w:tcPr>
            <w:tcW w:w="2217" w:type="dxa"/>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资金执行情况</w:t>
            </w:r>
          </w:p>
        </w:tc>
        <w:tc>
          <w:tcPr>
            <w:tcW w:w="1397"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预算执行进度</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305" w:hRule="atLeast"/>
        </w:trPr>
        <w:tc>
          <w:tcPr>
            <w:tcW w:w="1229"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宋体" w:hAnsi="宋体" w:eastAsia="宋体" w:cs="宋体"/>
                <w:i w:val="0"/>
                <w:color w:val="000000"/>
                <w:sz w:val="20"/>
                <w:szCs w:val="20"/>
                <w:u w:val="none"/>
              </w:rPr>
            </w:pPr>
          </w:p>
        </w:tc>
        <w:tc>
          <w:tcPr>
            <w:tcW w:w="993"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预算数：</w:t>
            </w:r>
          </w:p>
        </w:tc>
        <w:tc>
          <w:tcPr>
            <w:tcW w:w="924"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righ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5</w:t>
            </w:r>
          </w:p>
        </w:tc>
        <w:tc>
          <w:tcPr>
            <w:tcW w:w="132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到位数：</w:t>
            </w:r>
          </w:p>
        </w:tc>
        <w:tc>
          <w:tcPr>
            <w:tcW w:w="1392"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righ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5</w:t>
            </w:r>
          </w:p>
        </w:tc>
        <w:tc>
          <w:tcPr>
            <w:tcW w:w="107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执行数：</w:t>
            </w:r>
          </w:p>
        </w:tc>
        <w:tc>
          <w:tcPr>
            <w:tcW w:w="1147"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right"/>
              <w:textAlignment w:val="center"/>
              <w:rPr>
                <w:rFonts w:hint="default" w:ascii="Calibri" w:hAnsi="Calibri" w:eastAsia="宋体" w:cs="Calibri"/>
                <w:i w:val="0"/>
                <w:color w:val="000000"/>
                <w:sz w:val="20"/>
                <w:szCs w:val="20"/>
                <w:u w:val="none"/>
              </w:rPr>
            </w:pPr>
            <w:r>
              <w:rPr>
                <w:rFonts w:hint="default" w:ascii="Calibri" w:hAnsi="Calibri" w:eastAsia="宋体" w:cs="Calibri"/>
                <w:i w:val="0"/>
                <w:color w:val="000000"/>
                <w:kern w:val="0"/>
                <w:sz w:val="20"/>
                <w:szCs w:val="20"/>
                <w:u w:val="none"/>
                <w:lang w:val="en-US" w:eastAsia="zh-CN" w:bidi="ar"/>
              </w:rPr>
              <w:t>5</w:t>
            </w:r>
          </w:p>
        </w:tc>
        <w:tc>
          <w:tcPr>
            <w:tcW w:w="1397"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100%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468" w:hRule="atLeast"/>
        </w:trPr>
        <w:tc>
          <w:tcPr>
            <w:tcW w:w="1229"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宋体" w:hAnsi="宋体" w:eastAsia="宋体" w:cs="宋体"/>
                <w:i w:val="0"/>
                <w:color w:val="000000"/>
                <w:sz w:val="20"/>
                <w:szCs w:val="20"/>
                <w:u w:val="none"/>
              </w:rPr>
            </w:pPr>
          </w:p>
        </w:tc>
        <w:tc>
          <w:tcPr>
            <w:tcW w:w="993"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其中：                 财政资金</w:t>
            </w:r>
          </w:p>
        </w:tc>
        <w:tc>
          <w:tcPr>
            <w:tcW w:w="924"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righ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5</w:t>
            </w:r>
          </w:p>
        </w:tc>
        <w:tc>
          <w:tcPr>
            <w:tcW w:w="132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其中：                      财政资金</w:t>
            </w:r>
          </w:p>
        </w:tc>
        <w:tc>
          <w:tcPr>
            <w:tcW w:w="1392"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righ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5</w:t>
            </w:r>
          </w:p>
        </w:tc>
        <w:tc>
          <w:tcPr>
            <w:tcW w:w="107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其中：                     财政资金</w:t>
            </w:r>
          </w:p>
        </w:tc>
        <w:tc>
          <w:tcPr>
            <w:tcW w:w="1147"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right"/>
              <w:textAlignment w:val="center"/>
              <w:rPr>
                <w:rFonts w:hint="default" w:ascii="Calibri" w:hAnsi="Calibri" w:eastAsia="宋体" w:cs="Calibri"/>
                <w:i w:val="0"/>
                <w:color w:val="000000"/>
                <w:sz w:val="20"/>
                <w:szCs w:val="20"/>
                <w:u w:val="none"/>
              </w:rPr>
            </w:pPr>
            <w:r>
              <w:rPr>
                <w:rFonts w:hint="default" w:ascii="Calibri" w:hAnsi="Calibri" w:eastAsia="宋体" w:cs="Calibri"/>
                <w:i w:val="0"/>
                <w:color w:val="000000"/>
                <w:kern w:val="0"/>
                <w:sz w:val="20"/>
                <w:szCs w:val="20"/>
                <w:u w:val="none"/>
                <w:lang w:val="en-US" w:eastAsia="zh-CN" w:bidi="ar"/>
              </w:rPr>
              <w:t>5</w:t>
            </w:r>
          </w:p>
        </w:tc>
        <w:tc>
          <w:tcPr>
            <w:tcW w:w="1397"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宋体" w:hAnsi="宋体" w:eastAsia="宋体" w:cs="宋体"/>
                <w:i w:val="0"/>
                <w:color w:val="000000"/>
                <w:sz w:val="20"/>
                <w:szCs w:val="20"/>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295" w:hRule="atLeast"/>
        </w:trPr>
        <w:tc>
          <w:tcPr>
            <w:tcW w:w="1229"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宋体" w:hAnsi="宋体" w:eastAsia="宋体" w:cs="宋体"/>
                <w:i w:val="0"/>
                <w:color w:val="000000"/>
                <w:sz w:val="20"/>
                <w:szCs w:val="20"/>
                <w:u w:val="none"/>
              </w:rPr>
            </w:pPr>
          </w:p>
        </w:tc>
        <w:tc>
          <w:tcPr>
            <w:tcW w:w="993"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其他</w:t>
            </w:r>
          </w:p>
        </w:tc>
        <w:tc>
          <w:tcPr>
            <w:tcW w:w="924"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left"/>
              <w:rPr>
                <w:rFonts w:hint="default" w:ascii="Calibri" w:hAnsi="Calibri" w:eastAsia="宋体" w:cs="Calibri"/>
                <w:i w:val="0"/>
                <w:color w:val="000000"/>
                <w:sz w:val="20"/>
                <w:szCs w:val="20"/>
                <w:u w:val="none"/>
              </w:rPr>
            </w:pPr>
          </w:p>
        </w:tc>
        <w:tc>
          <w:tcPr>
            <w:tcW w:w="132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其他</w:t>
            </w:r>
          </w:p>
        </w:tc>
        <w:tc>
          <w:tcPr>
            <w:tcW w:w="1392"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left"/>
              <w:rPr>
                <w:rFonts w:hint="eastAsia" w:ascii="宋体" w:hAnsi="宋体" w:eastAsia="宋体" w:cs="宋体"/>
                <w:i w:val="0"/>
                <w:color w:val="000000"/>
                <w:sz w:val="20"/>
                <w:szCs w:val="20"/>
                <w:u w:val="none"/>
              </w:rPr>
            </w:pPr>
          </w:p>
        </w:tc>
        <w:tc>
          <w:tcPr>
            <w:tcW w:w="107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其他</w:t>
            </w:r>
          </w:p>
        </w:tc>
        <w:tc>
          <w:tcPr>
            <w:tcW w:w="1147"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left"/>
              <w:rPr>
                <w:rFonts w:hint="eastAsia" w:ascii="宋体" w:hAnsi="宋体" w:eastAsia="宋体" w:cs="宋体"/>
                <w:i w:val="0"/>
                <w:color w:val="000000"/>
                <w:sz w:val="20"/>
                <w:szCs w:val="20"/>
                <w:u w:val="none"/>
              </w:rPr>
            </w:pPr>
          </w:p>
        </w:tc>
        <w:tc>
          <w:tcPr>
            <w:tcW w:w="1397"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宋体" w:hAnsi="宋体" w:eastAsia="宋体" w:cs="宋体"/>
                <w:i w:val="0"/>
                <w:color w:val="000000"/>
                <w:sz w:val="20"/>
                <w:szCs w:val="20"/>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336" w:hRule="atLeast"/>
        </w:trPr>
        <w:tc>
          <w:tcPr>
            <w:tcW w:w="1229"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三、目标完成情况</w:t>
            </w:r>
          </w:p>
        </w:tc>
        <w:tc>
          <w:tcPr>
            <w:tcW w:w="3245" w:type="dxa"/>
            <w:gridSpan w:val="3"/>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年度预期目标</w:t>
            </w:r>
          </w:p>
        </w:tc>
        <w:tc>
          <w:tcPr>
            <w:tcW w:w="3609" w:type="dxa"/>
            <w:gridSpan w:val="3"/>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具体完成情况</w:t>
            </w:r>
          </w:p>
        </w:tc>
        <w:tc>
          <w:tcPr>
            <w:tcW w:w="1397"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总体完成率</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312" w:hRule="atLeast"/>
        </w:trPr>
        <w:tc>
          <w:tcPr>
            <w:tcW w:w="1229"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宋体" w:hAnsi="宋体" w:eastAsia="宋体" w:cs="宋体"/>
                <w:i w:val="0"/>
                <w:color w:val="000000"/>
                <w:sz w:val="20"/>
                <w:szCs w:val="20"/>
                <w:u w:val="none"/>
              </w:rPr>
            </w:pPr>
          </w:p>
        </w:tc>
        <w:tc>
          <w:tcPr>
            <w:tcW w:w="3245" w:type="dxa"/>
            <w:gridSpan w:val="3"/>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按时完成编印《印象无极》</w:t>
            </w:r>
          </w:p>
        </w:tc>
        <w:tc>
          <w:tcPr>
            <w:tcW w:w="3609" w:type="dxa"/>
            <w:gridSpan w:val="3"/>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已按时完成汇编印制编撰《印象无极》</w:t>
            </w:r>
          </w:p>
        </w:tc>
        <w:tc>
          <w:tcPr>
            <w:tcW w:w="1397"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100%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312" w:hRule="atLeast"/>
        </w:trPr>
        <w:tc>
          <w:tcPr>
            <w:tcW w:w="1229"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宋体" w:hAnsi="宋体" w:eastAsia="宋体" w:cs="宋体"/>
                <w:i w:val="0"/>
                <w:color w:val="000000"/>
                <w:sz w:val="20"/>
                <w:szCs w:val="20"/>
                <w:u w:val="none"/>
              </w:rPr>
            </w:pPr>
          </w:p>
        </w:tc>
        <w:tc>
          <w:tcPr>
            <w:tcW w:w="3245"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宋体" w:hAnsi="宋体" w:eastAsia="宋体" w:cs="宋体"/>
                <w:i w:val="0"/>
                <w:color w:val="000000"/>
                <w:sz w:val="20"/>
                <w:szCs w:val="20"/>
                <w:u w:val="none"/>
              </w:rPr>
            </w:pPr>
          </w:p>
        </w:tc>
        <w:tc>
          <w:tcPr>
            <w:tcW w:w="3609"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宋体" w:hAnsi="宋体" w:eastAsia="宋体" w:cs="宋体"/>
                <w:i w:val="0"/>
                <w:color w:val="000000"/>
                <w:sz w:val="20"/>
                <w:szCs w:val="20"/>
                <w:u w:val="none"/>
              </w:rPr>
            </w:pPr>
          </w:p>
        </w:tc>
        <w:tc>
          <w:tcPr>
            <w:tcW w:w="1397"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宋体" w:hAnsi="宋体" w:eastAsia="宋体" w:cs="宋体"/>
                <w:i w:val="0"/>
                <w:color w:val="000000"/>
                <w:sz w:val="20"/>
                <w:szCs w:val="20"/>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312" w:hRule="atLeast"/>
        </w:trPr>
        <w:tc>
          <w:tcPr>
            <w:tcW w:w="1229"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宋体" w:hAnsi="宋体" w:eastAsia="宋体" w:cs="宋体"/>
                <w:i w:val="0"/>
                <w:color w:val="000000"/>
                <w:sz w:val="20"/>
                <w:szCs w:val="20"/>
                <w:u w:val="none"/>
              </w:rPr>
            </w:pPr>
          </w:p>
        </w:tc>
        <w:tc>
          <w:tcPr>
            <w:tcW w:w="3245"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宋体" w:hAnsi="宋体" w:eastAsia="宋体" w:cs="宋体"/>
                <w:i w:val="0"/>
                <w:color w:val="000000"/>
                <w:sz w:val="20"/>
                <w:szCs w:val="20"/>
                <w:u w:val="none"/>
              </w:rPr>
            </w:pPr>
          </w:p>
        </w:tc>
        <w:tc>
          <w:tcPr>
            <w:tcW w:w="3609"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宋体" w:hAnsi="宋体" w:eastAsia="宋体" w:cs="宋体"/>
                <w:i w:val="0"/>
                <w:color w:val="000000"/>
                <w:sz w:val="20"/>
                <w:szCs w:val="20"/>
                <w:u w:val="none"/>
              </w:rPr>
            </w:pPr>
          </w:p>
        </w:tc>
        <w:tc>
          <w:tcPr>
            <w:tcW w:w="1397"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宋体" w:hAnsi="宋体" w:eastAsia="宋体" w:cs="宋体"/>
                <w:i w:val="0"/>
                <w:color w:val="000000"/>
                <w:sz w:val="20"/>
                <w:szCs w:val="20"/>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305" w:hRule="atLeast"/>
        </w:trPr>
        <w:tc>
          <w:tcPr>
            <w:tcW w:w="1229" w:type="dxa"/>
            <w:vMerge w:val="restart"/>
            <w:tcBorders>
              <w:top w:val="single" w:color="000000" w:sz="4" w:space="0"/>
              <w:left w:val="single" w:color="000000" w:sz="4" w:space="0"/>
              <w:bottom w:val="single" w:color="000000" w:sz="4" w:space="0"/>
              <w:right w:val="nil"/>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四、</w:t>
            </w:r>
            <w:r>
              <w:rPr>
                <w:rFonts w:ascii="Calibri" w:hAnsi="Calibri" w:eastAsia="宋体" w:cs="Calibri"/>
                <w:i w:val="0"/>
                <w:color w:val="000000"/>
                <w:kern w:val="0"/>
                <w:sz w:val="20"/>
                <w:szCs w:val="20"/>
                <w:u w:val="none"/>
                <w:lang w:val="en-US" w:eastAsia="zh-CN" w:bidi="ar"/>
              </w:rPr>
              <w:t xml:space="preserve"> </w:t>
            </w:r>
            <w:r>
              <w:rPr>
                <w:rFonts w:hint="eastAsia" w:ascii="宋体" w:hAnsi="宋体" w:eastAsia="宋体" w:cs="宋体"/>
                <w:i w:val="0"/>
                <w:color w:val="000000"/>
                <w:kern w:val="0"/>
                <w:sz w:val="20"/>
                <w:szCs w:val="20"/>
                <w:u w:val="none"/>
                <w:lang w:val="en-US" w:eastAsia="zh-CN" w:bidi="ar"/>
              </w:rPr>
              <w:t>年度绩效指标完成情况</w:t>
            </w:r>
          </w:p>
        </w:tc>
        <w:tc>
          <w:tcPr>
            <w:tcW w:w="993"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一级指标</w:t>
            </w:r>
          </w:p>
        </w:tc>
        <w:tc>
          <w:tcPr>
            <w:tcW w:w="924"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二级指标</w:t>
            </w:r>
          </w:p>
        </w:tc>
        <w:tc>
          <w:tcPr>
            <w:tcW w:w="2720" w:type="dxa"/>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三级指标</w:t>
            </w:r>
          </w:p>
        </w:tc>
        <w:tc>
          <w:tcPr>
            <w:tcW w:w="107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预期指标值</w:t>
            </w:r>
          </w:p>
        </w:tc>
        <w:tc>
          <w:tcPr>
            <w:tcW w:w="1147"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实际完成值</w:t>
            </w:r>
          </w:p>
        </w:tc>
        <w:tc>
          <w:tcPr>
            <w:tcW w:w="1397"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自评得分</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469" w:hRule="atLeast"/>
        </w:trPr>
        <w:tc>
          <w:tcPr>
            <w:tcW w:w="1229" w:type="dxa"/>
            <w:vMerge w:val="continue"/>
            <w:tcBorders>
              <w:top w:val="single" w:color="000000" w:sz="4" w:space="0"/>
              <w:left w:val="single" w:color="000000" w:sz="4" w:space="0"/>
              <w:bottom w:val="single" w:color="000000" w:sz="4" w:space="0"/>
              <w:right w:val="nil"/>
            </w:tcBorders>
            <w:shd w:val="clear" w:color="auto" w:fill="auto"/>
            <w:tcMar>
              <w:top w:w="15" w:type="dxa"/>
              <w:left w:w="15" w:type="dxa"/>
              <w:right w:w="15" w:type="dxa"/>
            </w:tcMar>
            <w:vAlign w:val="center"/>
          </w:tcPr>
          <w:p>
            <w:pPr>
              <w:jc w:val="center"/>
              <w:rPr>
                <w:rFonts w:hint="eastAsia" w:ascii="宋体" w:hAnsi="宋体" w:eastAsia="宋体" w:cs="宋体"/>
                <w:i w:val="0"/>
                <w:color w:val="000000"/>
                <w:sz w:val="20"/>
                <w:szCs w:val="20"/>
                <w:u w:val="none"/>
              </w:rPr>
            </w:pPr>
          </w:p>
        </w:tc>
        <w:tc>
          <w:tcPr>
            <w:tcW w:w="993" w:type="dxa"/>
            <w:vMerge w:val="restart"/>
            <w:tcBorders>
              <w:top w:val="single" w:color="000000" w:sz="4" w:space="0"/>
              <w:left w:val="single" w:color="000000" w:sz="4" w:space="0"/>
              <w:bottom w:val="nil"/>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产出指标（40）</w:t>
            </w:r>
          </w:p>
        </w:tc>
        <w:tc>
          <w:tcPr>
            <w:tcW w:w="924" w:type="dxa"/>
            <w:tcBorders>
              <w:top w:val="single" w:color="000000" w:sz="4" w:space="0"/>
              <w:left w:val="single" w:color="000000" w:sz="4" w:space="0"/>
              <w:bottom w:val="nil"/>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数量指标</w:t>
            </w:r>
          </w:p>
        </w:tc>
        <w:tc>
          <w:tcPr>
            <w:tcW w:w="2720" w:type="dxa"/>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编印数量</w:t>
            </w:r>
          </w:p>
        </w:tc>
        <w:tc>
          <w:tcPr>
            <w:tcW w:w="107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按时完成编撰任务</w:t>
            </w:r>
          </w:p>
        </w:tc>
        <w:tc>
          <w:tcPr>
            <w:tcW w:w="1147"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完成</w:t>
            </w:r>
          </w:p>
        </w:tc>
        <w:tc>
          <w:tcPr>
            <w:tcW w:w="1397"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10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468" w:hRule="atLeast"/>
        </w:trPr>
        <w:tc>
          <w:tcPr>
            <w:tcW w:w="1229" w:type="dxa"/>
            <w:vMerge w:val="continue"/>
            <w:tcBorders>
              <w:top w:val="single" w:color="000000" w:sz="4" w:space="0"/>
              <w:left w:val="single" w:color="000000" w:sz="4" w:space="0"/>
              <w:bottom w:val="single" w:color="000000" w:sz="4" w:space="0"/>
              <w:right w:val="nil"/>
            </w:tcBorders>
            <w:shd w:val="clear" w:color="auto" w:fill="auto"/>
            <w:tcMar>
              <w:top w:w="15" w:type="dxa"/>
              <w:left w:w="15" w:type="dxa"/>
              <w:right w:w="15" w:type="dxa"/>
            </w:tcMar>
            <w:vAlign w:val="center"/>
          </w:tcPr>
          <w:p>
            <w:pPr>
              <w:jc w:val="center"/>
              <w:rPr>
                <w:rFonts w:hint="eastAsia" w:ascii="宋体" w:hAnsi="宋体" w:eastAsia="宋体" w:cs="宋体"/>
                <w:i w:val="0"/>
                <w:color w:val="000000"/>
                <w:sz w:val="20"/>
                <w:szCs w:val="20"/>
                <w:u w:val="none"/>
              </w:rPr>
            </w:pPr>
          </w:p>
        </w:tc>
        <w:tc>
          <w:tcPr>
            <w:tcW w:w="993" w:type="dxa"/>
            <w:vMerge w:val="continue"/>
            <w:tcBorders>
              <w:top w:val="single" w:color="000000" w:sz="4" w:space="0"/>
              <w:left w:val="single" w:color="000000" w:sz="4" w:space="0"/>
              <w:bottom w:val="nil"/>
              <w:right w:val="single" w:color="000000" w:sz="4" w:space="0"/>
            </w:tcBorders>
            <w:shd w:val="clear" w:color="auto" w:fill="auto"/>
            <w:tcMar>
              <w:top w:w="15" w:type="dxa"/>
              <w:left w:w="15" w:type="dxa"/>
              <w:right w:w="15" w:type="dxa"/>
            </w:tcMar>
            <w:vAlign w:val="center"/>
          </w:tcPr>
          <w:p>
            <w:pPr>
              <w:jc w:val="center"/>
              <w:rPr>
                <w:rFonts w:hint="eastAsia" w:ascii="宋体" w:hAnsi="宋体" w:eastAsia="宋体" w:cs="宋体"/>
                <w:i w:val="0"/>
                <w:color w:val="000000"/>
                <w:sz w:val="20"/>
                <w:szCs w:val="20"/>
                <w:u w:val="none"/>
              </w:rPr>
            </w:pPr>
          </w:p>
        </w:tc>
        <w:tc>
          <w:tcPr>
            <w:tcW w:w="924"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质量指标</w:t>
            </w:r>
          </w:p>
        </w:tc>
        <w:tc>
          <w:tcPr>
            <w:tcW w:w="2720" w:type="dxa"/>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印制质量</w:t>
            </w:r>
          </w:p>
        </w:tc>
        <w:tc>
          <w:tcPr>
            <w:tcW w:w="107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高质量完成编撰工作</w:t>
            </w:r>
          </w:p>
        </w:tc>
        <w:tc>
          <w:tcPr>
            <w:tcW w:w="1147"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完成</w:t>
            </w:r>
          </w:p>
        </w:tc>
        <w:tc>
          <w:tcPr>
            <w:tcW w:w="1397"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default" w:ascii="Calibri" w:hAnsi="Calibri" w:eastAsia="宋体" w:cs="Calibri"/>
                <w:i w:val="0"/>
                <w:color w:val="000000"/>
                <w:sz w:val="20"/>
                <w:szCs w:val="20"/>
                <w:u w:val="none"/>
              </w:rPr>
            </w:pPr>
            <w:r>
              <w:rPr>
                <w:rFonts w:hint="default" w:ascii="Calibri" w:hAnsi="Calibri" w:eastAsia="宋体" w:cs="Calibri"/>
                <w:i w:val="0"/>
                <w:color w:val="000000"/>
                <w:kern w:val="0"/>
                <w:sz w:val="20"/>
                <w:szCs w:val="20"/>
                <w:u w:val="none"/>
                <w:lang w:val="en-US" w:eastAsia="zh-CN" w:bidi="ar"/>
              </w:rPr>
              <w:t>10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468" w:hRule="atLeast"/>
        </w:trPr>
        <w:tc>
          <w:tcPr>
            <w:tcW w:w="1229" w:type="dxa"/>
            <w:vMerge w:val="continue"/>
            <w:tcBorders>
              <w:top w:val="single" w:color="000000" w:sz="4" w:space="0"/>
              <w:left w:val="single" w:color="000000" w:sz="4" w:space="0"/>
              <w:bottom w:val="single" w:color="000000" w:sz="4" w:space="0"/>
              <w:right w:val="nil"/>
            </w:tcBorders>
            <w:shd w:val="clear" w:color="auto" w:fill="auto"/>
            <w:tcMar>
              <w:top w:w="15" w:type="dxa"/>
              <w:left w:w="15" w:type="dxa"/>
              <w:right w:w="15" w:type="dxa"/>
            </w:tcMar>
            <w:vAlign w:val="center"/>
          </w:tcPr>
          <w:p>
            <w:pPr>
              <w:jc w:val="center"/>
              <w:rPr>
                <w:rFonts w:hint="eastAsia" w:ascii="宋体" w:hAnsi="宋体" w:eastAsia="宋体" w:cs="宋体"/>
                <w:i w:val="0"/>
                <w:color w:val="000000"/>
                <w:sz w:val="20"/>
                <w:szCs w:val="20"/>
                <w:u w:val="none"/>
              </w:rPr>
            </w:pPr>
          </w:p>
        </w:tc>
        <w:tc>
          <w:tcPr>
            <w:tcW w:w="993" w:type="dxa"/>
            <w:vMerge w:val="continue"/>
            <w:tcBorders>
              <w:top w:val="single" w:color="000000" w:sz="4" w:space="0"/>
              <w:left w:val="single" w:color="000000" w:sz="4" w:space="0"/>
              <w:bottom w:val="nil"/>
              <w:right w:val="single" w:color="000000" w:sz="4" w:space="0"/>
            </w:tcBorders>
            <w:shd w:val="clear" w:color="auto" w:fill="auto"/>
            <w:tcMar>
              <w:top w:w="15" w:type="dxa"/>
              <w:left w:w="15" w:type="dxa"/>
              <w:right w:w="15" w:type="dxa"/>
            </w:tcMar>
            <w:vAlign w:val="center"/>
          </w:tcPr>
          <w:p>
            <w:pPr>
              <w:jc w:val="center"/>
              <w:rPr>
                <w:rFonts w:hint="eastAsia" w:ascii="宋体" w:hAnsi="宋体" w:eastAsia="宋体" w:cs="宋体"/>
                <w:i w:val="0"/>
                <w:color w:val="000000"/>
                <w:sz w:val="20"/>
                <w:szCs w:val="20"/>
                <w:u w:val="none"/>
              </w:rPr>
            </w:pPr>
          </w:p>
        </w:tc>
        <w:tc>
          <w:tcPr>
            <w:tcW w:w="924"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时效指标</w:t>
            </w:r>
          </w:p>
        </w:tc>
        <w:tc>
          <w:tcPr>
            <w:tcW w:w="2720" w:type="dxa"/>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印制完成时限</w:t>
            </w:r>
          </w:p>
        </w:tc>
        <w:tc>
          <w:tcPr>
            <w:tcW w:w="107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top"/>
          </w:tcPr>
          <w:p>
            <w:pPr>
              <w:keepNext w:val="0"/>
              <w:keepLines w:val="0"/>
              <w:widowControl/>
              <w:suppressLineNumbers w:val="0"/>
              <w:jc w:val="left"/>
              <w:textAlignment w:val="top"/>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及时完成编写工作</w:t>
            </w:r>
          </w:p>
        </w:tc>
        <w:tc>
          <w:tcPr>
            <w:tcW w:w="1147"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完成</w:t>
            </w:r>
          </w:p>
        </w:tc>
        <w:tc>
          <w:tcPr>
            <w:tcW w:w="1397"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default" w:ascii="Calibri" w:hAnsi="Calibri" w:eastAsia="宋体" w:cs="Calibri"/>
                <w:i w:val="0"/>
                <w:color w:val="000000"/>
                <w:sz w:val="20"/>
                <w:szCs w:val="20"/>
                <w:u w:val="none"/>
              </w:rPr>
            </w:pPr>
            <w:r>
              <w:rPr>
                <w:rFonts w:hint="default" w:ascii="Calibri" w:hAnsi="Calibri" w:eastAsia="宋体" w:cs="Calibri"/>
                <w:i w:val="0"/>
                <w:color w:val="000000"/>
                <w:kern w:val="0"/>
                <w:sz w:val="20"/>
                <w:szCs w:val="20"/>
                <w:u w:val="none"/>
                <w:lang w:val="en-US" w:eastAsia="zh-CN" w:bidi="ar"/>
              </w:rPr>
              <w:t>10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243" w:hRule="atLeast"/>
        </w:trPr>
        <w:tc>
          <w:tcPr>
            <w:tcW w:w="1229" w:type="dxa"/>
            <w:vMerge w:val="continue"/>
            <w:tcBorders>
              <w:top w:val="single" w:color="000000" w:sz="4" w:space="0"/>
              <w:left w:val="single" w:color="000000" w:sz="4" w:space="0"/>
              <w:bottom w:val="single" w:color="000000" w:sz="4" w:space="0"/>
              <w:right w:val="nil"/>
            </w:tcBorders>
            <w:shd w:val="clear" w:color="auto" w:fill="auto"/>
            <w:tcMar>
              <w:top w:w="15" w:type="dxa"/>
              <w:left w:w="15" w:type="dxa"/>
              <w:right w:w="15" w:type="dxa"/>
            </w:tcMar>
            <w:vAlign w:val="center"/>
          </w:tcPr>
          <w:p>
            <w:pPr>
              <w:jc w:val="center"/>
              <w:rPr>
                <w:rFonts w:hint="eastAsia" w:ascii="宋体" w:hAnsi="宋体" w:eastAsia="宋体" w:cs="宋体"/>
                <w:i w:val="0"/>
                <w:color w:val="000000"/>
                <w:sz w:val="20"/>
                <w:szCs w:val="20"/>
                <w:u w:val="none"/>
              </w:rPr>
            </w:pPr>
          </w:p>
        </w:tc>
        <w:tc>
          <w:tcPr>
            <w:tcW w:w="993" w:type="dxa"/>
            <w:vMerge w:val="continue"/>
            <w:tcBorders>
              <w:top w:val="single" w:color="000000" w:sz="4" w:space="0"/>
              <w:left w:val="single" w:color="000000" w:sz="4" w:space="0"/>
              <w:bottom w:val="nil"/>
              <w:right w:val="single" w:color="000000" w:sz="4" w:space="0"/>
            </w:tcBorders>
            <w:shd w:val="clear" w:color="auto" w:fill="auto"/>
            <w:tcMar>
              <w:top w:w="15" w:type="dxa"/>
              <w:left w:w="15" w:type="dxa"/>
              <w:right w:w="15" w:type="dxa"/>
            </w:tcMar>
            <w:vAlign w:val="center"/>
          </w:tcPr>
          <w:p>
            <w:pPr>
              <w:jc w:val="center"/>
              <w:rPr>
                <w:rFonts w:hint="eastAsia" w:ascii="宋体" w:hAnsi="宋体" w:eastAsia="宋体" w:cs="宋体"/>
                <w:i w:val="0"/>
                <w:color w:val="000000"/>
                <w:sz w:val="20"/>
                <w:szCs w:val="20"/>
                <w:u w:val="none"/>
              </w:rPr>
            </w:pPr>
          </w:p>
        </w:tc>
        <w:tc>
          <w:tcPr>
            <w:tcW w:w="924"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成本指标</w:t>
            </w:r>
          </w:p>
        </w:tc>
        <w:tc>
          <w:tcPr>
            <w:tcW w:w="2720" w:type="dxa"/>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编印费</w:t>
            </w:r>
          </w:p>
        </w:tc>
        <w:tc>
          <w:tcPr>
            <w:tcW w:w="1070" w:type="dxa"/>
            <w:tcBorders>
              <w:top w:val="single" w:color="000000" w:sz="4" w:space="0"/>
              <w:left w:val="single" w:color="000000" w:sz="4" w:space="0"/>
              <w:bottom w:val="nil"/>
              <w:right w:val="single" w:color="000000" w:sz="4" w:space="0"/>
            </w:tcBorders>
            <w:shd w:val="clear" w:color="auto" w:fill="auto"/>
            <w:tcMar>
              <w:top w:w="15" w:type="dxa"/>
              <w:left w:w="15" w:type="dxa"/>
              <w:right w:w="15" w:type="dxa"/>
            </w:tcMar>
            <w:vAlign w:val="top"/>
          </w:tcPr>
          <w:p>
            <w:pPr>
              <w:keepNext w:val="0"/>
              <w:keepLines w:val="0"/>
              <w:widowControl/>
              <w:suppressLineNumbers w:val="0"/>
              <w:jc w:val="left"/>
              <w:textAlignment w:val="top"/>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节约成本</w:t>
            </w:r>
          </w:p>
        </w:tc>
        <w:tc>
          <w:tcPr>
            <w:tcW w:w="1147"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完成</w:t>
            </w:r>
          </w:p>
        </w:tc>
        <w:tc>
          <w:tcPr>
            <w:tcW w:w="1397"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default" w:ascii="Calibri" w:hAnsi="Calibri" w:eastAsia="宋体" w:cs="Calibri"/>
                <w:i w:val="0"/>
                <w:color w:val="000000"/>
                <w:sz w:val="20"/>
                <w:szCs w:val="20"/>
                <w:u w:val="none"/>
              </w:rPr>
            </w:pPr>
            <w:r>
              <w:rPr>
                <w:rFonts w:hint="default" w:ascii="Calibri" w:hAnsi="Calibri" w:eastAsia="宋体" w:cs="Calibri"/>
                <w:i w:val="0"/>
                <w:color w:val="000000"/>
                <w:kern w:val="0"/>
                <w:sz w:val="20"/>
                <w:szCs w:val="20"/>
                <w:u w:val="none"/>
                <w:lang w:val="en-US" w:eastAsia="zh-CN" w:bidi="ar"/>
              </w:rPr>
              <w:t>10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693" w:hRule="atLeast"/>
        </w:trPr>
        <w:tc>
          <w:tcPr>
            <w:tcW w:w="1229" w:type="dxa"/>
            <w:vMerge w:val="continue"/>
            <w:tcBorders>
              <w:top w:val="single" w:color="000000" w:sz="4" w:space="0"/>
              <w:left w:val="single" w:color="000000" w:sz="4" w:space="0"/>
              <w:bottom w:val="single" w:color="000000" w:sz="4" w:space="0"/>
              <w:right w:val="nil"/>
            </w:tcBorders>
            <w:shd w:val="clear" w:color="auto" w:fill="auto"/>
            <w:tcMar>
              <w:top w:w="15" w:type="dxa"/>
              <w:left w:w="15" w:type="dxa"/>
              <w:right w:w="15" w:type="dxa"/>
            </w:tcMar>
            <w:vAlign w:val="center"/>
          </w:tcPr>
          <w:p>
            <w:pPr>
              <w:jc w:val="center"/>
              <w:rPr>
                <w:rFonts w:hint="eastAsia" w:ascii="宋体" w:hAnsi="宋体" w:eastAsia="宋体" w:cs="宋体"/>
                <w:i w:val="0"/>
                <w:color w:val="000000"/>
                <w:sz w:val="20"/>
                <w:szCs w:val="20"/>
                <w:u w:val="none"/>
              </w:rPr>
            </w:pPr>
          </w:p>
        </w:tc>
        <w:tc>
          <w:tcPr>
            <w:tcW w:w="993"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预算执行率指标</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（10分）</w:t>
            </w:r>
          </w:p>
        </w:tc>
        <w:tc>
          <w:tcPr>
            <w:tcW w:w="924" w:type="dxa"/>
            <w:tcBorders>
              <w:top w:val="nil"/>
              <w:left w:val="nil"/>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预算执行率</w:t>
            </w:r>
          </w:p>
        </w:tc>
        <w:tc>
          <w:tcPr>
            <w:tcW w:w="2720" w:type="dxa"/>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按项目安排如期完成编撰印制</w:t>
            </w:r>
          </w:p>
        </w:tc>
        <w:tc>
          <w:tcPr>
            <w:tcW w:w="107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如期完成编撰印制</w:t>
            </w:r>
          </w:p>
        </w:tc>
        <w:tc>
          <w:tcPr>
            <w:tcW w:w="1147"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完成</w:t>
            </w:r>
          </w:p>
        </w:tc>
        <w:tc>
          <w:tcPr>
            <w:tcW w:w="1397"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default" w:ascii="Calibri" w:hAnsi="Calibri" w:eastAsia="宋体" w:cs="Calibri"/>
                <w:i w:val="0"/>
                <w:color w:val="000000"/>
                <w:sz w:val="20"/>
                <w:szCs w:val="20"/>
                <w:u w:val="none"/>
              </w:rPr>
            </w:pPr>
            <w:r>
              <w:rPr>
                <w:rFonts w:hint="default" w:ascii="Calibri" w:hAnsi="Calibri" w:eastAsia="宋体" w:cs="Calibri"/>
                <w:i w:val="0"/>
                <w:color w:val="000000"/>
                <w:kern w:val="0"/>
                <w:sz w:val="20"/>
                <w:szCs w:val="20"/>
                <w:u w:val="none"/>
                <w:lang w:val="en-US" w:eastAsia="zh-CN" w:bidi="ar"/>
              </w:rPr>
              <w:t>10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468" w:hRule="atLeast"/>
        </w:trPr>
        <w:tc>
          <w:tcPr>
            <w:tcW w:w="1229" w:type="dxa"/>
            <w:vMerge w:val="continue"/>
            <w:tcBorders>
              <w:top w:val="single" w:color="000000" w:sz="4" w:space="0"/>
              <w:left w:val="single" w:color="000000" w:sz="4" w:space="0"/>
              <w:bottom w:val="single" w:color="000000" w:sz="4" w:space="0"/>
              <w:right w:val="nil"/>
            </w:tcBorders>
            <w:shd w:val="clear" w:color="auto" w:fill="auto"/>
            <w:tcMar>
              <w:top w:w="15" w:type="dxa"/>
              <w:left w:w="15" w:type="dxa"/>
              <w:right w:w="15" w:type="dxa"/>
            </w:tcMar>
            <w:vAlign w:val="center"/>
          </w:tcPr>
          <w:p>
            <w:pPr>
              <w:jc w:val="center"/>
              <w:rPr>
                <w:rFonts w:hint="eastAsia" w:ascii="宋体" w:hAnsi="宋体" w:eastAsia="宋体" w:cs="宋体"/>
                <w:i w:val="0"/>
                <w:color w:val="000000"/>
                <w:sz w:val="20"/>
                <w:szCs w:val="20"/>
                <w:u w:val="none"/>
              </w:rPr>
            </w:pPr>
          </w:p>
        </w:tc>
        <w:tc>
          <w:tcPr>
            <w:tcW w:w="993" w:type="dxa"/>
            <w:vMerge w:val="restart"/>
            <w:tcBorders>
              <w:top w:val="nil"/>
              <w:left w:val="single" w:color="000000" w:sz="4" w:space="0"/>
              <w:bottom w:val="nil"/>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效益指标（40）</w:t>
            </w:r>
          </w:p>
        </w:tc>
        <w:tc>
          <w:tcPr>
            <w:tcW w:w="924" w:type="dxa"/>
            <w:tcBorders>
              <w:top w:val="single" w:color="000000" w:sz="4" w:space="0"/>
              <w:left w:val="nil"/>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经济效益指标</w:t>
            </w:r>
          </w:p>
        </w:tc>
        <w:tc>
          <w:tcPr>
            <w:tcW w:w="2720" w:type="dxa"/>
            <w:gridSpan w:val="2"/>
            <w:tcBorders>
              <w:top w:val="nil"/>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助推经济发展</w:t>
            </w:r>
          </w:p>
        </w:tc>
        <w:tc>
          <w:tcPr>
            <w:tcW w:w="107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宣传推介无极县</w:t>
            </w:r>
          </w:p>
        </w:tc>
        <w:tc>
          <w:tcPr>
            <w:tcW w:w="1147"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完成</w:t>
            </w:r>
          </w:p>
        </w:tc>
        <w:tc>
          <w:tcPr>
            <w:tcW w:w="1397"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default" w:ascii="Calibri" w:hAnsi="Calibri" w:eastAsia="宋体" w:cs="Calibri"/>
                <w:i w:val="0"/>
                <w:color w:val="000000"/>
                <w:sz w:val="20"/>
                <w:szCs w:val="20"/>
                <w:u w:val="none"/>
              </w:rPr>
            </w:pPr>
            <w:r>
              <w:rPr>
                <w:rFonts w:hint="default" w:ascii="Calibri" w:hAnsi="Calibri" w:eastAsia="宋体" w:cs="Calibri"/>
                <w:i w:val="0"/>
                <w:color w:val="000000"/>
                <w:kern w:val="0"/>
                <w:sz w:val="20"/>
                <w:szCs w:val="20"/>
                <w:u w:val="none"/>
                <w:lang w:val="en-US" w:eastAsia="zh-CN" w:bidi="ar"/>
              </w:rPr>
              <w:t>10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468" w:hRule="atLeast"/>
        </w:trPr>
        <w:tc>
          <w:tcPr>
            <w:tcW w:w="1229" w:type="dxa"/>
            <w:vMerge w:val="continue"/>
            <w:tcBorders>
              <w:top w:val="single" w:color="000000" w:sz="4" w:space="0"/>
              <w:left w:val="single" w:color="000000" w:sz="4" w:space="0"/>
              <w:bottom w:val="single" w:color="000000" w:sz="4" w:space="0"/>
              <w:right w:val="nil"/>
            </w:tcBorders>
            <w:shd w:val="clear" w:color="auto" w:fill="auto"/>
            <w:tcMar>
              <w:top w:w="15" w:type="dxa"/>
              <w:left w:w="15" w:type="dxa"/>
              <w:right w:w="15" w:type="dxa"/>
            </w:tcMar>
            <w:vAlign w:val="center"/>
          </w:tcPr>
          <w:p>
            <w:pPr>
              <w:jc w:val="center"/>
              <w:rPr>
                <w:rFonts w:hint="eastAsia" w:ascii="宋体" w:hAnsi="宋体" w:eastAsia="宋体" w:cs="宋体"/>
                <w:i w:val="0"/>
                <w:color w:val="000000"/>
                <w:sz w:val="20"/>
                <w:szCs w:val="20"/>
                <w:u w:val="none"/>
              </w:rPr>
            </w:pPr>
          </w:p>
        </w:tc>
        <w:tc>
          <w:tcPr>
            <w:tcW w:w="993" w:type="dxa"/>
            <w:vMerge w:val="continue"/>
            <w:tcBorders>
              <w:top w:val="nil"/>
              <w:left w:val="single" w:color="000000" w:sz="4" w:space="0"/>
              <w:bottom w:val="nil"/>
              <w:right w:val="single" w:color="000000" w:sz="4" w:space="0"/>
            </w:tcBorders>
            <w:shd w:val="clear" w:color="auto" w:fill="auto"/>
            <w:tcMar>
              <w:top w:w="15" w:type="dxa"/>
              <w:left w:w="15" w:type="dxa"/>
              <w:right w:w="15" w:type="dxa"/>
            </w:tcMar>
            <w:vAlign w:val="center"/>
          </w:tcPr>
          <w:p>
            <w:pPr>
              <w:jc w:val="center"/>
              <w:rPr>
                <w:rFonts w:hint="eastAsia" w:ascii="宋体" w:hAnsi="宋体" w:eastAsia="宋体" w:cs="宋体"/>
                <w:i w:val="0"/>
                <w:color w:val="000000"/>
                <w:sz w:val="20"/>
                <w:szCs w:val="20"/>
                <w:u w:val="none"/>
              </w:rPr>
            </w:pPr>
          </w:p>
        </w:tc>
        <w:tc>
          <w:tcPr>
            <w:tcW w:w="924" w:type="dxa"/>
            <w:tcBorders>
              <w:top w:val="single" w:color="000000" w:sz="4" w:space="0"/>
              <w:left w:val="nil"/>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社会效益指标</w:t>
            </w:r>
          </w:p>
        </w:tc>
        <w:tc>
          <w:tcPr>
            <w:tcW w:w="2720" w:type="dxa"/>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助力本土文化传播</w:t>
            </w:r>
          </w:p>
        </w:tc>
        <w:tc>
          <w:tcPr>
            <w:tcW w:w="107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社会效益显著</w:t>
            </w:r>
          </w:p>
        </w:tc>
        <w:tc>
          <w:tcPr>
            <w:tcW w:w="1147"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完成</w:t>
            </w:r>
          </w:p>
        </w:tc>
        <w:tc>
          <w:tcPr>
            <w:tcW w:w="1397"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default" w:ascii="Calibri" w:hAnsi="Calibri" w:eastAsia="宋体" w:cs="Calibri"/>
                <w:i w:val="0"/>
                <w:color w:val="000000"/>
                <w:sz w:val="20"/>
                <w:szCs w:val="20"/>
                <w:u w:val="none"/>
              </w:rPr>
            </w:pPr>
            <w:r>
              <w:rPr>
                <w:rFonts w:hint="default" w:ascii="Calibri" w:hAnsi="Calibri" w:eastAsia="宋体" w:cs="Calibri"/>
                <w:i w:val="0"/>
                <w:color w:val="000000"/>
                <w:kern w:val="0"/>
                <w:sz w:val="20"/>
                <w:szCs w:val="20"/>
                <w:u w:val="none"/>
                <w:lang w:val="en-US" w:eastAsia="zh-CN" w:bidi="ar"/>
              </w:rPr>
              <w:t>10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468" w:hRule="atLeast"/>
        </w:trPr>
        <w:tc>
          <w:tcPr>
            <w:tcW w:w="1229" w:type="dxa"/>
            <w:vMerge w:val="continue"/>
            <w:tcBorders>
              <w:top w:val="single" w:color="000000" w:sz="4" w:space="0"/>
              <w:left w:val="single" w:color="000000" w:sz="4" w:space="0"/>
              <w:bottom w:val="single" w:color="000000" w:sz="4" w:space="0"/>
              <w:right w:val="nil"/>
            </w:tcBorders>
            <w:shd w:val="clear" w:color="auto" w:fill="auto"/>
            <w:tcMar>
              <w:top w:w="15" w:type="dxa"/>
              <w:left w:w="15" w:type="dxa"/>
              <w:right w:w="15" w:type="dxa"/>
            </w:tcMar>
            <w:vAlign w:val="center"/>
          </w:tcPr>
          <w:p>
            <w:pPr>
              <w:jc w:val="center"/>
              <w:rPr>
                <w:rFonts w:hint="eastAsia" w:ascii="宋体" w:hAnsi="宋体" w:eastAsia="宋体" w:cs="宋体"/>
                <w:i w:val="0"/>
                <w:color w:val="000000"/>
                <w:sz w:val="20"/>
                <w:szCs w:val="20"/>
                <w:u w:val="none"/>
              </w:rPr>
            </w:pPr>
          </w:p>
        </w:tc>
        <w:tc>
          <w:tcPr>
            <w:tcW w:w="993" w:type="dxa"/>
            <w:vMerge w:val="continue"/>
            <w:tcBorders>
              <w:top w:val="nil"/>
              <w:left w:val="single" w:color="000000" w:sz="4" w:space="0"/>
              <w:bottom w:val="nil"/>
              <w:right w:val="single" w:color="000000" w:sz="4" w:space="0"/>
            </w:tcBorders>
            <w:shd w:val="clear" w:color="auto" w:fill="auto"/>
            <w:tcMar>
              <w:top w:w="15" w:type="dxa"/>
              <w:left w:w="15" w:type="dxa"/>
              <w:right w:w="15" w:type="dxa"/>
            </w:tcMar>
            <w:vAlign w:val="center"/>
          </w:tcPr>
          <w:p>
            <w:pPr>
              <w:jc w:val="center"/>
              <w:rPr>
                <w:rFonts w:hint="eastAsia" w:ascii="宋体" w:hAnsi="宋体" w:eastAsia="宋体" w:cs="宋体"/>
                <w:i w:val="0"/>
                <w:color w:val="000000"/>
                <w:sz w:val="20"/>
                <w:szCs w:val="20"/>
                <w:u w:val="none"/>
              </w:rPr>
            </w:pPr>
          </w:p>
        </w:tc>
        <w:tc>
          <w:tcPr>
            <w:tcW w:w="924" w:type="dxa"/>
            <w:tcBorders>
              <w:top w:val="single" w:color="000000" w:sz="4" w:space="0"/>
              <w:left w:val="nil"/>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生态效益指标</w:t>
            </w:r>
          </w:p>
        </w:tc>
        <w:tc>
          <w:tcPr>
            <w:tcW w:w="2720" w:type="dxa"/>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营造良好政治生态</w:t>
            </w:r>
          </w:p>
        </w:tc>
        <w:tc>
          <w:tcPr>
            <w:tcW w:w="107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提升社会生态</w:t>
            </w:r>
          </w:p>
        </w:tc>
        <w:tc>
          <w:tcPr>
            <w:tcW w:w="1147"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完成</w:t>
            </w:r>
          </w:p>
        </w:tc>
        <w:tc>
          <w:tcPr>
            <w:tcW w:w="1397"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default" w:ascii="Calibri" w:hAnsi="Calibri" w:eastAsia="宋体" w:cs="Calibri"/>
                <w:i w:val="0"/>
                <w:color w:val="000000"/>
                <w:sz w:val="20"/>
                <w:szCs w:val="20"/>
                <w:u w:val="none"/>
              </w:rPr>
            </w:pPr>
            <w:r>
              <w:rPr>
                <w:rFonts w:hint="default" w:ascii="Calibri" w:hAnsi="Calibri" w:eastAsia="宋体" w:cs="Calibri"/>
                <w:i w:val="0"/>
                <w:color w:val="000000"/>
                <w:kern w:val="0"/>
                <w:sz w:val="20"/>
                <w:szCs w:val="20"/>
                <w:u w:val="none"/>
                <w:lang w:val="en-US" w:eastAsia="zh-CN" w:bidi="ar"/>
              </w:rPr>
              <w:t>10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468" w:hRule="atLeast"/>
        </w:trPr>
        <w:tc>
          <w:tcPr>
            <w:tcW w:w="1229" w:type="dxa"/>
            <w:vMerge w:val="continue"/>
            <w:tcBorders>
              <w:top w:val="single" w:color="000000" w:sz="4" w:space="0"/>
              <w:left w:val="single" w:color="000000" w:sz="4" w:space="0"/>
              <w:bottom w:val="single" w:color="000000" w:sz="4" w:space="0"/>
              <w:right w:val="nil"/>
            </w:tcBorders>
            <w:shd w:val="clear" w:color="auto" w:fill="auto"/>
            <w:tcMar>
              <w:top w:w="15" w:type="dxa"/>
              <w:left w:w="15" w:type="dxa"/>
              <w:right w:w="15" w:type="dxa"/>
            </w:tcMar>
            <w:vAlign w:val="center"/>
          </w:tcPr>
          <w:p>
            <w:pPr>
              <w:jc w:val="center"/>
              <w:rPr>
                <w:rFonts w:hint="eastAsia" w:ascii="宋体" w:hAnsi="宋体" w:eastAsia="宋体" w:cs="宋体"/>
                <w:i w:val="0"/>
                <w:color w:val="000000"/>
                <w:sz w:val="20"/>
                <w:szCs w:val="20"/>
                <w:u w:val="none"/>
              </w:rPr>
            </w:pPr>
          </w:p>
        </w:tc>
        <w:tc>
          <w:tcPr>
            <w:tcW w:w="993" w:type="dxa"/>
            <w:vMerge w:val="continue"/>
            <w:tcBorders>
              <w:top w:val="nil"/>
              <w:left w:val="single" w:color="000000" w:sz="4" w:space="0"/>
              <w:bottom w:val="nil"/>
              <w:right w:val="single" w:color="000000" w:sz="4" w:space="0"/>
            </w:tcBorders>
            <w:shd w:val="clear" w:color="auto" w:fill="auto"/>
            <w:tcMar>
              <w:top w:w="15" w:type="dxa"/>
              <w:left w:w="15" w:type="dxa"/>
              <w:right w:w="15" w:type="dxa"/>
            </w:tcMar>
            <w:vAlign w:val="center"/>
          </w:tcPr>
          <w:p>
            <w:pPr>
              <w:jc w:val="center"/>
              <w:rPr>
                <w:rFonts w:hint="eastAsia" w:ascii="宋体" w:hAnsi="宋体" w:eastAsia="宋体" w:cs="宋体"/>
                <w:i w:val="0"/>
                <w:color w:val="000000"/>
                <w:sz w:val="20"/>
                <w:szCs w:val="20"/>
                <w:u w:val="none"/>
              </w:rPr>
            </w:pPr>
          </w:p>
        </w:tc>
        <w:tc>
          <w:tcPr>
            <w:tcW w:w="924" w:type="dxa"/>
            <w:tcBorders>
              <w:top w:val="single" w:color="000000" w:sz="4" w:space="0"/>
              <w:left w:val="nil"/>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可持续影响指标</w:t>
            </w:r>
          </w:p>
        </w:tc>
        <w:tc>
          <w:tcPr>
            <w:tcW w:w="2720" w:type="dxa"/>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 xml:space="preserve">结果持续应用 </w:t>
            </w:r>
          </w:p>
        </w:tc>
        <w:tc>
          <w:tcPr>
            <w:tcW w:w="107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有长期使用价值</w:t>
            </w:r>
          </w:p>
        </w:tc>
        <w:tc>
          <w:tcPr>
            <w:tcW w:w="1147"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完成</w:t>
            </w:r>
          </w:p>
        </w:tc>
        <w:tc>
          <w:tcPr>
            <w:tcW w:w="1397"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default" w:ascii="Calibri" w:hAnsi="Calibri" w:eastAsia="宋体" w:cs="Calibri"/>
                <w:i w:val="0"/>
                <w:color w:val="000000"/>
                <w:sz w:val="20"/>
                <w:szCs w:val="20"/>
                <w:u w:val="none"/>
              </w:rPr>
            </w:pPr>
            <w:r>
              <w:rPr>
                <w:rFonts w:hint="default" w:ascii="Calibri" w:hAnsi="Calibri" w:eastAsia="宋体" w:cs="Calibri"/>
                <w:i w:val="0"/>
                <w:color w:val="000000"/>
                <w:kern w:val="0"/>
                <w:sz w:val="20"/>
                <w:szCs w:val="20"/>
                <w:u w:val="none"/>
                <w:lang w:val="en-US" w:eastAsia="zh-CN" w:bidi="ar"/>
              </w:rPr>
              <w:t>10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468" w:hRule="atLeast"/>
        </w:trPr>
        <w:tc>
          <w:tcPr>
            <w:tcW w:w="1229" w:type="dxa"/>
            <w:vMerge w:val="continue"/>
            <w:tcBorders>
              <w:top w:val="single" w:color="000000" w:sz="4" w:space="0"/>
              <w:left w:val="single" w:color="000000" w:sz="4" w:space="0"/>
              <w:bottom w:val="single" w:color="000000" w:sz="4" w:space="0"/>
              <w:right w:val="nil"/>
            </w:tcBorders>
            <w:shd w:val="clear" w:color="auto" w:fill="auto"/>
            <w:tcMar>
              <w:top w:w="15" w:type="dxa"/>
              <w:left w:w="15" w:type="dxa"/>
              <w:right w:w="15" w:type="dxa"/>
            </w:tcMar>
            <w:vAlign w:val="center"/>
          </w:tcPr>
          <w:p>
            <w:pPr>
              <w:jc w:val="center"/>
              <w:rPr>
                <w:rFonts w:hint="eastAsia" w:ascii="宋体" w:hAnsi="宋体" w:eastAsia="宋体" w:cs="宋体"/>
                <w:i w:val="0"/>
                <w:color w:val="000000"/>
                <w:sz w:val="20"/>
                <w:szCs w:val="20"/>
                <w:u w:val="none"/>
              </w:rPr>
            </w:pPr>
          </w:p>
        </w:tc>
        <w:tc>
          <w:tcPr>
            <w:tcW w:w="993"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满意度指标</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（10分）</w:t>
            </w:r>
          </w:p>
        </w:tc>
        <w:tc>
          <w:tcPr>
            <w:tcW w:w="924" w:type="dxa"/>
            <w:tcBorders>
              <w:top w:val="single" w:color="000000" w:sz="4" w:space="0"/>
              <w:left w:val="nil"/>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满意度指标</w:t>
            </w:r>
          </w:p>
        </w:tc>
        <w:tc>
          <w:tcPr>
            <w:tcW w:w="2720" w:type="dxa"/>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社会满意</w:t>
            </w:r>
          </w:p>
        </w:tc>
        <w:tc>
          <w:tcPr>
            <w:tcW w:w="107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社会满意</w:t>
            </w:r>
          </w:p>
        </w:tc>
        <w:tc>
          <w:tcPr>
            <w:tcW w:w="1147"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完成</w:t>
            </w:r>
          </w:p>
        </w:tc>
        <w:tc>
          <w:tcPr>
            <w:tcW w:w="1397"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default" w:ascii="Calibri" w:hAnsi="Calibri" w:eastAsia="宋体" w:cs="Calibri"/>
                <w:i w:val="0"/>
                <w:color w:val="000000"/>
                <w:sz w:val="20"/>
                <w:szCs w:val="20"/>
                <w:u w:val="none"/>
              </w:rPr>
            </w:pPr>
            <w:r>
              <w:rPr>
                <w:rFonts w:hint="default" w:ascii="Calibri" w:hAnsi="Calibri" w:eastAsia="宋体" w:cs="Calibri"/>
                <w:i w:val="0"/>
                <w:color w:val="000000"/>
                <w:kern w:val="0"/>
                <w:sz w:val="20"/>
                <w:szCs w:val="20"/>
                <w:u w:val="none"/>
                <w:lang w:val="en-US" w:eastAsia="zh-CN" w:bidi="ar"/>
              </w:rPr>
              <w:t>10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243" w:hRule="atLeast"/>
        </w:trPr>
        <w:tc>
          <w:tcPr>
            <w:tcW w:w="1229" w:type="dxa"/>
            <w:vMerge w:val="continue"/>
            <w:tcBorders>
              <w:top w:val="single" w:color="000000" w:sz="4" w:space="0"/>
              <w:left w:val="single" w:color="000000" w:sz="4" w:space="0"/>
              <w:bottom w:val="single" w:color="000000" w:sz="4" w:space="0"/>
              <w:right w:val="nil"/>
            </w:tcBorders>
            <w:shd w:val="clear" w:color="auto" w:fill="auto"/>
            <w:tcMar>
              <w:top w:w="15" w:type="dxa"/>
              <w:left w:w="15" w:type="dxa"/>
              <w:right w:w="15" w:type="dxa"/>
            </w:tcMar>
            <w:vAlign w:val="center"/>
          </w:tcPr>
          <w:p>
            <w:pPr>
              <w:jc w:val="center"/>
              <w:rPr>
                <w:rFonts w:hint="eastAsia" w:ascii="宋体" w:hAnsi="宋体" w:eastAsia="宋体" w:cs="宋体"/>
                <w:i w:val="0"/>
                <w:color w:val="000000"/>
                <w:sz w:val="20"/>
                <w:szCs w:val="20"/>
                <w:u w:val="none"/>
              </w:rPr>
            </w:pPr>
          </w:p>
        </w:tc>
        <w:tc>
          <w:tcPr>
            <w:tcW w:w="6854" w:type="dxa"/>
            <w:gridSpan w:val="6"/>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总分</w:t>
            </w:r>
          </w:p>
        </w:tc>
        <w:tc>
          <w:tcPr>
            <w:tcW w:w="1397"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default" w:ascii="Calibri" w:hAnsi="Calibri" w:eastAsia="宋体" w:cs="Calibri"/>
                <w:i w:val="0"/>
                <w:color w:val="000000"/>
                <w:sz w:val="20"/>
                <w:szCs w:val="20"/>
                <w:u w:val="none"/>
              </w:rPr>
            </w:pPr>
            <w:r>
              <w:rPr>
                <w:rFonts w:hint="default" w:ascii="Calibri" w:hAnsi="Calibri" w:eastAsia="宋体" w:cs="Calibri"/>
                <w:i w:val="0"/>
                <w:color w:val="000000"/>
                <w:kern w:val="0"/>
                <w:sz w:val="20"/>
                <w:szCs w:val="20"/>
                <w:u w:val="none"/>
                <w:lang w:val="en-US" w:eastAsia="zh-CN" w:bidi="ar"/>
              </w:rPr>
              <w:t>100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693" w:hRule="atLeast"/>
        </w:trPr>
        <w:tc>
          <w:tcPr>
            <w:tcW w:w="1229" w:type="dxa"/>
            <w:tcBorders>
              <w:top w:val="nil"/>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五、</w:t>
            </w:r>
            <w:r>
              <w:rPr>
                <w:rFonts w:ascii="Calibri" w:hAnsi="Calibri" w:eastAsia="宋体" w:cs="Calibri"/>
                <w:i w:val="0"/>
                <w:color w:val="000000"/>
                <w:kern w:val="0"/>
                <w:sz w:val="20"/>
                <w:szCs w:val="20"/>
                <w:u w:val="none"/>
                <w:lang w:val="en-US" w:eastAsia="zh-CN" w:bidi="ar"/>
              </w:rPr>
              <w:t xml:space="preserve"> </w:t>
            </w:r>
            <w:r>
              <w:rPr>
                <w:rFonts w:hint="eastAsia" w:ascii="宋体" w:hAnsi="宋体" w:eastAsia="宋体" w:cs="宋体"/>
                <w:i w:val="0"/>
                <w:color w:val="000000"/>
                <w:kern w:val="0"/>
                <w:sz w:val="20"/>
                <w:szCs w:val="20"/>
                <w:u w:val="none"/>
                <w:lang w:val="en-US" w:eastAsia="zh-CN" w:bidi="ar"/>
              </w:rPr>
              <w:t>存在问题、原因及下一步整改措施</w:t>
            </w:r>
          </w:p>
        </w:tc>
        <w:tc>
          <w:tcPr>
            <w:tcW w:w="8251" w:type="dxa"/>
            <w:gridSpan w:val="7"/>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今后要做好项目前期调研和摸排工作，做好充足的前期准备，对执行过程中可能出现的问题充分预判，做好应急预案，以便项目顺利建设实施。</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288" w:hRule="atLeast"/>
        </w:trPr>
        <w:tc>
          <w:tcPr>
            <w:tcW w:w="0" w:type="auto"/>
            <w:tcBorders>
              <w:top w:val="nil"/>
              <w:left w:val="nil"/>
              <w:bottom w:val="nil"/>
              <w:right w:val="nil"/>
            </w:tcBorders>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填报人：裴辉茹</w:t>
            </w:r>
          </w:p>
        </w:tc>
        <w:tc>
          <w:tcPr>
            <w:tcW w:w="0" w:type="auto"/>
            <w:tcBorders>
              <w:top w:val="nil"/>
              <w:left w:val="nil"/>
              <w:bottom w:val="nil"/>
              <w:right w:val="nil"/>
            </w:tcBorders>
            <w:shd w:val="clear" w:color="auto" w:fill="auto"/>
            <w:noWrap/>
            <w:tcMar>
              <w:top w:w="15" w:type="dxa"/>
              <w:left w:w="15" w:type="dxa"/>
              <w:right w:w="15" w:type="dxa"/>
            </w:tcMar>
            <w:vAlign w:val="center"/>
          </w:tcPr>
          <w:p>
            <w:pPr>
              <w:jc w:val="center"/>
              <w:rPr>
                <w:rFonts w:hint="eastAsia" w:ascii="宋体" w:hAnsi="宋体" w:eastAsia="宋体" w:cs="宋体"/>
                <w:i w:val="0"/>
                <w:color w:val="000000"/>
                <w:sz w:val="20"/>
                <w:szCs w:val="20"/>
                <w:u w:val="none"/>
              </w:rPr>
            </w:pPr>
          </w:p>
        </w:tc>
        <w:tc>
          <w:tcPr>
            <w:tcW w:w="0" w:type="auto"/>
            <w:tcBorders>
              <w:top w:val="nil"/>
              <w:left w:val="nil"/>
              <w:bottom w:val="nil"/>
              <w:right w:val="nil"/>
            </w:tcBorders>
            <w:shd w:val="clear" w:color="auto" w:fill="auto"/>
            <w:noWrap/>
            <w:tcMar>
              <w:top w:w="15" w:type="dxa"/>
              <w:left w:w="15" w:type="dxa"/>
              <w:right w:w="15" w:type="dxa"/>
            </w:tcMar>
            <w:vAlign w:val="center"/>
          </w:tcPr>
          <w:p>
            <w:pPr>
              <w:jc w:val="center"/>
              <w:rPr>
                <w:rFonts w:hint="eastAsia" w:ascii="宋体" w:hAnsi="宋体" w:eastAsia="宋体" w:cs="宋体"/>
                <w:i w:val="0"/>
                <w:color w:val="000000"/>
                <w:sz w:val="20"/>
                <w:szCs w:val="20"/>
                <w:u w:val="none"/>
              </w:rPr>
            </w:pPr>
          </w:p>
        </w:tc>
        <w:tc>
          <w:tcPr>
            <w:tcW w:w="0" w:type="auto"/>
            <w:tcBorders>
              <w:top w:val="nil"/>
              <w:left w:val="nil"/>
              <w:bottom w:val="nil"/>
              <w:right w:val="nil"/>
            </w:tcBorders>
            <w:shd w:val="clear" w:color="auto" w:fill="auto"/>
            <w:noWrap/>
            <w:tcMar>
              <w:top w:w="15" w:type="dxa"/>
              <w:left w:w="15" w:type="dxa"/>
              <w:right w:w="15" w:type="dxa"/>
            </w:tcMar>
            <w:vAlign w:val="center"/>
          </w:tcPr>
          <w:p>
            <w:pPr>
              <w:jc w:val="center"/>
              <w:rPr>
                <w:rFonts w:hint="eastAsia" w:ascii="宋体" w:hAnsi="宋体" w:eastAsia="宋体" w:cs="宋体"/>
                <w:i w:val="0"/>
                <w:color w:val="000000"/>
                <w:sz w:val="20"/>
                <w:szCs w:val="20"/>
                <w:u w:val="none"/>
              </w:rPr>
            </w:pPr>
          </w:p>
        </w:tc>
        <w:tc>
          <w:tcPr>
            <w:tcW w:w="0" w:type="auto"/>
            <w:tcBorders>
              <w:top w:val="nil"/>
              <w:left w:val="nil"/>
              <w:bottom w:val="nil"/>
              <w:right w:val="nil"/>
            </w:tcBorders>
            <w:shd w:val="clear" w:color="auto" w:fill="auto"/>
            <w:noWrap/>
            <w:tcMar>
              <w:top w:w="15" w:type="dxa"/>
              <w:left w:w="15" w:type="dxa"/>
              <w:right w:w="15" w:type="dxa"/>
            </w:tcMar>
            <w:vAlign w:val="center"/>
          </w:tcPr>
          <w:p>
            <w:pPr>
              <w:jc w:val="center"/>
              <w:rPr>
                <w:rFonts w:hint="eastAsia" w:ascii="宋体" w:hAnsi="宋体" w:eastAsia="宋体" w:cs="宋体"/>
                <w:i w:val="0"/>
                <w:color w:val="000000"/>
                <w:sz w:val="20"/>
                <w:szCs w:val="20"/>
                <w:u w:val="none"/>
              </w:rPr>
            </w:pPr>
          </w:p>
        </w:tc>
        <w:tc>
          <w:tcPr>
            <w:tcW w:w="0" w:type="auto"/>
            <w:tcBorders>
              <w:top w:val="nil"/>
              <w:left w:val="nil"/>
              <w:bottom w:val="nil"/>
              <w:right w:val="nil"/>
            </w:tcBorders>
            <w:shd w:val="clear" w:color="auto" w:fill="auto"/>
            <w:noWrap/>
            <w:tcMar>
              <w:top w:w="15" w:type="dxa"/>
              <w:left w:w="15" w:type="dxa"/>
              <w:right w:w="15" w:type="dxa"/>
            </w:tcMar>
            <w:vAlign w:val="center"/>
          </w:tcPr>
          <w:p>
            <w:pPr>
              <w:jc w:val="center"/>
              <w:rPr>
                <w:rFonts w:hint="eastAsia" w:ascii="宋体" w:hAnsi="宋体" w:eastAsia="宋体" w:cs="宋体"/>
                <w:i w:val="0"/>
                <w:color w:val="000000"/>
                <w:sz w:val="20"/>
                <w:szCs w:val="20"/>
                <w:u w:val="none"/>
              </w:rPr>
            </w:pPr>
          </w:p>
        </w:tc>
        <w:tc>
          <w:tcPr>
            <w:tcW w:w="0" w:type="auto"/>
            <w:tcBorders>
              <w:top w:val="nil"/>
              <w:left w:val="nil"/>
              <w:bottom w:val="nil"/>
              <w:right w:val="nil"/>
            </w:tcBorders>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联系电话：</w:t>
            </w:r>
          </w:p>
        </w:tc>
        <w:tc>
          <w:tcPr>
            <w:tcW w:w="0" w:type="auto"/>
            <w:tcBorders>
              <w:top w:val="nil"/>
              <w:left w:val="nil"/>
              <w:bottom w:val="nil"/>
              <w:right w:val="nil"/>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15128151286</w:t>
            </w:r>
          </w:p>
        </w:tc>
      </w:tr>
    </w:tbl>
    <w:p>
      <w:pPr>
        <w:widowControl/>
        <w:spacing w:before="0" w:beforeLines="0" w:beforeAutospacing="0" w:after="0" w:afterLines="0" w:afterAutospacing="0" w:line="360" w:lineRule="auto"/>
        <w:ind w:firstLine="640" w:firstLineChars="200"/>
        <w:jc w:val="left"/>
        <w:rPr>
          <w:rFonts w:ascii="Times New Roman" w:eastAsia="仿宋_GB2312"/>
          <w:sz w:val="32"/>
          <w:szCs w:val="32"/>
        </w:rPr>
      </w:pPr>
    </w:p>
    <w:tbl>
      <w:tblPr>
        <w:tblStyle w:val="11"/>
        <w:tblW w:w="9520"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0" w:type="dxa"/>
          <w:bottom w:w="0" w:type="dxa"/>
          <w:right w:w="0" w:type="dxa"/>
        </w:tblCellMar>
      </w:tblPr>
      <w:tblGrid>
        <w:gridCol w:w="1430"/>
        <w:gridCol w:w="985"/>
        <w:gridCol w:w="784"/>
        <w:gridCol w:w="1273"/>
        <w:gridCol w:w="1303"/>
        <w:gridCol w:w="1177"/>
        <w:gridCol w:w="1138"/>
        <w:gridCol w:w="1430"/>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898" w:hRule="atLeast"/>
        </w:trPr>
        <w:tc>
          <w:tcPr>
            <w:tcW w:w="9520" w:type="dxa"/>
            <w:gridSpan w:val="8"/>
            <w:tcBorders>
              <w:top w:val="nil"/>
              <w:left w:val="nil"/>
              <w:bottom w:val="nil"/>
              <w:right w:val="nil"/>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ascii="方正小标宋_GBK" w:hAnsi="方正小标宋_GBK" w:eastAsia="方正小标宋_GBK" w:cs="方正小标宋_GBK"/>
                <w:i w:val="0"/>
                <w:color w:val="000000"/>
                <w:sz w:val="44"/>
                <w:szCs w:val="44"/>
                <w:u w:val="none"/>
              </w:rPr>
            </w:pPr>
            <w:r>
              <w:rPr>
                <w:rFonts w:hint="eastAsia" w:ascii="方正小标宋_GBK" w:hAnsi="方正小标宋_GBK" w:eastAsia="方正小标宋_GBK" w:cs="方正小标宋_GBK"/>
                <w:i w:val="0"/>
                <w:color w:val="000000"/>
                <w:kern w:val="0"/>
                <w:sz w:val="44"/>
                <w:szCs w:val="44"/>
                <w:u w:val="none"/>
                <w:lang w:val="en-US" w:eastAsia="zh-CN" w:bidi="ar"/>
              </w:rPr>
              <w:t>县级部门预算项目绩效自评表</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309" w:hRule="atLeast"/>
        </w:trPr>
        <w:tc>
          <w:tcPr>
            <w:tcW w:w="0" w:type="auto"/>
            <w:gridSpan w:val="8"/>
            <w:tcBorders>
              <w:top w:val="nil"/>
              <w:left w:val="nil"/>
              <w:bottom w:val="nil"/>
              <w:right w:val="nil"/>
            </w:tcBorders>
            <w:shd w:val="clear" w:color="auto" w:fill="auto"/>
            <w:noWrap/>
            <w:tcMar>
              <w:top w:w="15" w:type="dxa"/>
              <w:left w:w="15" w:type="dxa"/>
              <w:right w:w="15" w:type="dxa"/>
            </w:tcMar>
            <w:vAlign w:val="bottom"/>
          </w:tcPr>
          <w:p>
            <w:pPr>
              <w:keepNext w:val="0"/>
              <w:keepLines w:val="0"/>
              <w:widowControl/>
              <w:suppressLineNumbers w:val="0"/>
              <w:jc w:val="center"/>
              <w:textAlignment w:val="bottom"/>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     2025 年度）</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336" w:hRule="atLeast"/>
        </w:trPr>
        <w:tc>
          <w:tcPr>
            <w:tcW w:w="0" w:type="auto"/>
            <w:tcBorders>
              <w:top w:val="nil"/>
              <w:left w:val="nil"/>
              <w:bottom w:val="nil"/>
              <w:right w:val="nil"/>
            </w:tcBorders>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填报单位：</w:t>
            </w:r>
          </w:p>
        </w:tc>
        <w:tc>
          <w:tcPr>
            <w:tcW w:w="0" w:type="auto"/>
            <w:tcBorders>
              <w:top w:val="nil"/>
              <w:left w:val="nil"/>
              <w:bottom w:val="nil"/>
              <w:right w:val="nil"/>
            </w:tcBorders>
            <w:shd w:val="clear" w:color="auto" w:fill="auto"/>
            <w:noWrap/>
            <w:tcMar>
              <w:top w:w="15" w:type="dxa"/>
              <w:left w:w="15" w:type="dxa"/>
              <w:right w:w="15" w:type="dxa"/>
            </w:tcMar>
            <w:vAlign w:val="center"/>
          </w:tcPr>
          <w:p>
            <w:pPr>
              <w:jc w:val="center"/>
              <w:rPr>
                <w:rFonts w:hint="eastAsia" w:ascii="宋体" w:hAnsi="宋体" w:eastAsia="宋体" w:cs="宋体"/>
                <w:i w:val="0"/>
                <w:color w:val="000000"/>
                <w:sz w:val="20"/>
                <w:szCs w:val="20"/>
                <w:u w:val="none"/>
              </w:rPr>
            </w:pPr>
          </w:p>
        </w:tc>
        <w:tc>
          <w:tcPr>
            <w:tcW w:w="0" w:type="auto"/>
            <w:tcBorders>
              <w:top w:val="nil"/>
              <w:left w:val="nil"/>
              <w:bottom w:val="nil"/>
              <w:right w:val="nil"/>
            </w:tcBorders>
            <w:shd w:val="clear" w:color="auto" w:fill="auto"/>
            <w:noWrap/>
            <w:tcMar>
              <w:top w:w="15" w:type="dxa"/>
              <w:left w:w="15" w:type="dxa"/>
              <w:right w:w="15" w:type="dxa"/>
            </w:tcMar>
            <w:vAlign w:val="center"/>
          </w:tcPr>
          <w:p>
            <w:pPr>
              <w:jc w:val="center"/>
              <w:rPr>
                <w:rFonts w:hint="eastAsia" w:ascii="宋体" w:hAnsi="宋体" w:eastAsia="宋体" w:cs="宋体"/>
                <w:i w:val="0"/>
                <w:color w:val="000000"/>
                <w:sz w:val="20"/>
                <w:szCs w:val="20"/>
                <w:u w:val="none"/>
              </w:rPr>
            </w:pPr>
          </w:p>
        </w:tc>
        <w:tc>
          <w:tcPr>
            <w:tcW w:w="0" w:type="auto"/>
            <w:tcBorders>
              <w:top w:val="nil"/>
              <w:left w:val="nil"/>
              <w:bottom w:val="nil"/>
              <w:right w:val="nil"/>
            </w:tcBorders>
            <w:shd w:val="clear" w:color="auto" w:fill="auto"/>
            <w:noWrap/>
            <w:tcMar>
              <w:top w:w="15" w:type="dxa"/>
              <w:left w:w="15" w:type="dxa"/>
              <w:right w:w="15" w:type="dxa"/>
            </w:tcMar>
            <w:vAlign w:val="center"/>
          </w:tcPr>
          <w:p>
            <w:pPr>
              <w:jc w:val="center"/>
              <w:rPr>
                <w:rFonts w:hint="eastAsia" w:ascii="宋体" w:hAnsi="宋体" w:eastAsia="宋体" w:cs="宋体"/>
                <w:i w:val="0"/>
                <w:color w:val="000000"/>
                <w:sz w:val="20"/>
                <w:szCs w:val="20"/>
                <w:u w:val="none"/>
              </w:rPr>
            </w:pPr>
          </w:p>
        </w:tc>
        <w:tc>
          <w:tcPr>
            <w:tcW w:w="0" w:type="auto"/>
            <w:tcBorders>
              <w:top w:val="nil"/>
              <w:left w:val="nil"/>
              <w:bottom w:val="nil"/>
              <w:right w:val="nil"/>
            </w:tcBorders>
            <w:shd w:val="clear" w:color="auto" w:fill="auto"/>
            <w:noWrap/>
            <w:tcMar>
              <w:top w:w="15" w:type="dxa"/>
              <w:left w:w="15" w:type="dxa"/>
              <w:right w:w="15" w:type="dxa"/>
            </w:tcMar>
            <w:vAlign w:val="center"/>
          </w:tcPr>
          <w:p>
            <w:pPr>
              <w:jc w:val="center"/>
              <w:rPr>
                <w:rFonts w:hint="eastAsia" w:ascii="宋体" w:hAnsi="宋体" w:eastAsia="宋体" w:cs="宋体"/>
                <w:i w:val="0"/>
                <w:color w:val="000000"/>
                <w:sz w:val="20"/>
                <w:szCs w:val="20"/>
                <w:u w:val="none"/>
              </w:rPr>
            </w:pPr>
          </w:p>
        </w:tc>
        <w:tc>
          <w:tcPr>
            <w:tcW w:w="0" w:type="auto"/>
            <w:tcBorders>
              <w:top w:val="nil"/>
              <w:left w:val="nil"/>
              <w:bottom w:val="nil"/>
              <w:right w:val="nil"/>
            </w:tcBorders>
            <w:shd w:val="clear" w:color="auto" w:fill="auto"/>
            <w:noWrap/>
            <w:tcMar>
              <w:top w:w="15" w:type="dxa"/>
              <w:left w:w="15" w:type="dxa"/>
              <w:right w:w="15" w:type="dxa"/>
            </w:tcMar>
            <w:vAlign w:val="center"/>
          </w:tcPr>
          <w:p>
            <w:pPr>
              <w:jc w:val="center"/>
              <w:rPr>
                <w:rFonts w:hint="eastAsia" w:ascii="宋体" w:hAnsi="宋体" w:eastAsia="宋体" w:cs="宋体"/>
                <w:i w:val="0"/>
                <w:color w:val="000000"/>
                <w:sz w:val="20"/>
                <w:szCs w:val="20"/>
                <w:u w:val="none"/>
              </w:rPr>
            </w:pPr>
          </w:p>
        </w:tc>
        <w:tc>
          <w:tcPr>
            <w:tcW w:w="0" w:type="auto"/>
            <w:tcBorders>
              <w:top w:val="nil"/>
              <w:left w:val="nil"/>
              <w:bottom w:val="nil"/>
              <w:right w:val="nil"/>
            </w:tcBorders>
            <w:shd w:val="clear" w:color="auto" w:fill="auto"/>
            <w:noWrap/>
            <w:tcMar>
              <w:top w:w="15" w:type="dxa"/>
              <w:left w:w="15" w:type="dxa"/>
              <w:right w:w="15" w:type="dxa"/>
            </w:tcMar>
            <w:vAlign w:val="center"/>
          </w:tcPr>
          <w:p>
            <w:pPr>
              <w:jc w:val="center"/>
              <w:rPr>
                <w:rFonts w:hint="eastAsia" w:ascii="宋体" w:hAnsi="宋体" w:eastAsia="宋体" w:cs="宋体"/>
                <w:i w:val="0"/>
                <w:color w:val="000000"/>
                <w:sz w:val="20"/>
                <w:szCs w:val="20"/>
                <w:u w:val="none"/>
              </w:rPr>
            </w:pPr>
          </w:p>
        </w:tc>
        <w:tc>
          <w:tcPr>
            <w:tcW w:w="0" w:type="auto"/>
            <w:tcBorders>
              <w:top w:val="nil"/>
              <w:left w:val="nil"/>
              <w:bottom w:val="nil"/>
              <w:right w:val="nil"/>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金额单位：万元</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524" w:hRule="atLeast"/>
        </w:trPr>
        <w:tc>
          <w:tcPr>
            <w:tcW w:w="1219" w:type="dxa"/>
            <w:tcBorders>
              <w:top w:val="single" w:color="000000" w:sz="4" w:space="0"/>
              <w:left w:val="single" w:color="000000" w:sz="4" w:space="0"/>
              <w:bottom w:val="nil"/>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一、</w:t>
            </w:r>
            <w:r>
              <w:rPr>
                <w:rFonts w:ascii="Calibri" w:hAnsi="Calibri" w:eastAsia="宋体" w:cs="Calibri"/>
                <w:i w:val="0"/>
                <w:color w:val="000000"/>
                <w:kern w:val="0"/>
                <w:sz w:val="20"/>
                <w:szCs w:val="20"/>
                <w:u w:val="none"/>
                <w:lang w:val="en-US" w:eastAsia="zh-CN" w:bidi="ar"/>
              </w:rPr>
              <w:t xml:space="preserve"> </w:t>
            </w:r>
            <w:r>
              <w:rPr>
                <w:rFonts w:hint="eastAsia" w:ascii="宋体" w:hAnsi="宋体" w:eastAsia="宋体" w:cs="宋体"/>
                <w:i w:val="0"/>
                <w:color w:val="000000"/>
                <w:kern w:val="0"/>
                <w:sz w:val="20"/>
                <w:szCs w:val="20"/>
                <w:u w:val="none"/>
                <w:lang w:val="en-US" w:eastAsia="zh-CN" w:bidi="ar"/>
              </w:rPr>
              <w:t>基本情况</w:t>
            </w:r>
          </w:p>
        </w:tc>
        <w:tc>
          <w:tcPr>
            <w:tcW w:w="98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项目名称</w:t>
            </w:r>
          </w:p>
        </w:tc>
        <w:tc>
          <w:tcPr>
            <w:tcW w:w="2234" w:type="dxa"/>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专项村志工作经费</w:t>
            </w:r>
          </w:p>
        </w:tc>
        <w:tc>
          <w:tcPr>
            <w:tcW w:w="1381"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实施(主管）单位</w:t>
            </w:r>
          </w:p>
        </w:tc>
        <w:tc>
          <w:tcPr>
            <w:tcW w:w="3701" w:type="dxa"/>
            <w:gridSpan w:val="3"/>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政协办</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453" w:hRule="atLeast"/>
        </w:trPr>
        <w:tc>
          <w:tcPr>
            <w:tcW w:w="1219"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二、预算执行情况</w:t>
            </w:r>
          </w:p>
        </w:tc>
        <w:tc>
          <w:tcPr>
            <w:tcW w:w="1902" w:type="dxa"/>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预算安排情况（调整后）</w:t>
            </w:r>
          </w:p>
        </w:tc>
        <w:tc>
          <w:tcPr>
            <w:tcW w:w="2698" w:type="dxa"/>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资金到位情况</w:t>
            </w:r>
          </w:p>
        </w:tc>
        <w:tc>
          <w:tcPr>
            <w:tcW w:w="2315" w:type="dxa"/>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资金执行情况</w:t>
            </w:r>
          </w:p>
        </w:tc>
        <w:tc>
          <w:tcPr>
            <w:tcW w:w="1386"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预算执行进度</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399" w:hRule="atLeast"/>
        </w:trPr>
        <w:tc>
          <w:tcPr>
            <w:tcW w:w="1219"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宋体" w:hAnsi="宋体" w:eastAsia="宋体" w:cs="宋体"/>
                <w:i w:val="0"/>
                <w:color w:val="000000"/>
                <w:sz w:val="20"/>
                <w:szCs w:val="20"/>
                <w:u w:val="none"/>
              </w:rPr>
            </w:pPr>
          </w:p>
        </w:tc>
        <w:tc>
          <w:tcPr>
            <w:tcW w:w="98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预算数：</w:t>
            </w:r>
          </w:p>
        </w:tc>
        <w:tc>
          <w:tcPr>
            <w:tcW w:w="917"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righ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5</w:t>
            </w:r>
          </w:p>
        </w:tc>
        <w:tc>
          <w:tcPr>
            <w:tcW w:w="1317"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到位数：</w:t>
            </w:r>
          </w:p>
        </w:tc>
        <w:tc>
          <w:tcPr>
            <w:tcW w:w="1381"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righ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5</w:t>
            </w:r>
          </w:p>
        </w:tc>
        <w:tc>
          <w:tcPr>
            <w:tcW w:w="1177"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执行数：</w:t>
            </w:r>
          </w:p>
        </w:tc>
        <w:tc>
          <w:tcPr>
            <w:tcW w:w="113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right"/>
              <w:textAlignment w:val="center"/>
              <w:rPr>
                <w:rFonts w:hint="default" w:ascii="Calibri" w:hAnsi="Calibri" w:eastAsia="宋体" w:cs="Calibri"/>
                <w:i w:val="0"/>
                <w:color w:val="000000"/>
                <w:sz w:val="20"/>
                <w:szCs w:val="20"/>
                <w:u w:val="none"/>
              </w:rPr>
            </w:pPr>
            <w:r>
              <w:rPr>
                <w:rFonts w:hint="default" w:ascii="Calibri" w:hAnsi="Calibri" w:eastAsia="宋体" w:cs="Calibri"/>
                <w:i w:val="0"/>
                <w:color w:val="000000"/>
                <w:kern w:val="0"/>
                <w:sz w:val="20"/>
                <w:szCs w:val="20"/>
                <w:u w:val="none"/>
                <w:lang w:val="en-US" w:eastAsia="zh-CN" w:bidi="ar"/>
              </w:rPr>
              <w:t>4.9881</w:t>
            </w:r>
          </w:p>
        </w:tc>
        <w:tc>
          <w:tcPr>
            <w:tcW w:w="1386"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99.76%</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612" w:hRule="atLeast"/>
        </w:trPr>
        <w:tc>
          <w:tcPr>
            <w:tcW w:w="1219"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宋体" w:hAnsi="宋体" w:eastAsia="宋体" w:cs="宋体"/>
                <w:i w:val="0"/>
                <w:color w:val="000000"/>
                <w:sz w:val="20"/>
                <w:szCs w:val="20"/>
                <w:u w:val="none"/>
              </w:rPr>
            </w:pPr>
          </w:p>
        </w:tc>
        <w:tc>
          <w:tcPr>
            <w:tcW w:w="98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其中：                 财政资金</w:t>
            </w:r>
          </w:p>
        </w:tc>
        <w:tc>
          <w:tcPr>
            <w:tcW w:w="917"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righ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5</w:t>
            </w:r>
          </w:p>
        </w:tc>
        <w:tc>
          <w:tcPr>
            <w:tcW w:w="1317"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其中：                      财政资金</w:t>
            </w:r>
          </w:p>
        </w:tc>
        <w:tc>
          <w:tcPr>
            <w:tcW w:w="1381"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righ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5</w:t>
            </w:r>
          </w:p>
        </w:tc>
        <w:tc>
          <w:tcPr>
            <w:tcW w:w="1177"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其中：                     财政资金</w:t>
            </w:r>
          </w:p>
        </w:tc>
        <w:tc>
          <w:tcPr>
            <w:tcW w:w="113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right"/>
              <w:textAlignment w:val="center"/>
              <w:rPr>
                <w:rFonts w:hint="default" w:ascii="Calibri" w:hAnsi="Calibri" w:eastAsia="宋体" w:cs="Calibri"/>
                <w:i w:val="0"/>
                <w:color w:val="000000"/>
                <w:sz w:val="20"/>
                <w:szCs w:val="20"/>
                <w:u w:val="none"/>
              </w:rPr>
            </w:pPr>
            <w:r>
              <w:rPr>
                <w:rFonts w:hint="default" w:ascii="Calibri" w:hAnsi="Calibri" w:eastAsia="宋体" w:cs="Calibri"/>
                <w:i w:val="0"/>
                <w:color w:val="000000"/>
                <w:kern w:val="0"/>
                <w:sz w:val="20"/>
                <w:szCs w:val="20"/>
                <w:u w:val="none"/>
                <w:lang w:val="en-US" w:eastAsia="zh-CN" w:bidi="ar"/>
              </w:rPr>
              <w:t>4.9881</w:t>
            </w:r>
          </w:p>
        </w:tc>
        <w:tc>
          <w:tcPr>
            <w:tcW w:w="1386"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宋体" w:hAnsi="宋体" w:eastAsia="宋体" w:cs="宋体"/>
                <w:i w:val="0"/>
                <w:color w:val="000000"/>
                <w:sz w:val="20"/>
                <w:szCs w:val="20"/>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386" w:hRule="atLeast"/>
        </w:trPr>
        <w:tc>
          <w:tcPr>
            <w:tcW w:w="1219"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宋体" w:hAnsi="宋体" w:eastAsia="宋体" w:cs="宋体"/>
                <w:i w:val="0"/>
                <w:color w:val="000000"/>
                <w:sz w:val="20"/>
                <w:szCs w:val="20"/>
                <w:u w:val="none"/>
              </w:rPr>
            </w:pPr>
          </w:p>
        </w:tc>
        <w:tc>
          <w:tcPr>
            <w:tcW w:w="98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其他</w:t>
            </w:r>
          </w:p>
        </w:tc>
        <w:tc>
          <w:tcPr>
            <w:tcW w:w="917"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left"/>
              <w:rPr>
                <w:rFonts w:hint="default" w:ascii="Calibri" w:hAnsi="Calibri" w:eastAsia="宋体" w:cs="Calibri"/>
                <w:i w:val="0"/>
                <w:color w:val="000000"/>
                <w:sz w:val="20"/>
                <w:szCs w:val="20"/>
                <w:u w:val="none"/>
              </w:rPr>
            </w:pPr>
          </w:p>
        </w:tc>
        <w:tc>
          <w:tcPr>
            <w:tcW w:w="1317"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其他</w:t>
            </w:r>
          </w:p>
        </w:tc>
        <w:tc>
          <w:tcPr>
            <w:tcW w:w="1381"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left"/>
              <w:rPr>
                <w:rFonts w:hint="eastAsia" w:ascii="宋体" w:hAnsi="宋体" w:eastAsia="宋体" w:cs="宋体"/>
                <w:i w:val="0"/>
                <w:color w:val="000000"/>
                <w:sz w:val="20"/>
                <w:szCs w:val="20"/>
                <w:u w:val="none"/>
              </w:rPr>
            </w:pPr>
          </w:p>
        </w:tc>
        <w:tc>
          <w:tcPr>
            <w:tcW w:w="1177"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其他</w:t>
            </w:r>
          </w:p>
        </w:tc>
        <w:tc>
          <w:tcPr>
            <w:tcW w:w="113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left"/>
              <w:rPr>
                <w:rFonts w:hint="eastAsia" w:ascii="宋体" w:hAnsi="宋体" w:eastAsia="宋体" w:cs="宋体"/>
                <w:i w:val="0"/>
                <w:color w:val="000000"/>
                <w:sz w:val="20"/>
                <w:szCs w:val="20"/>
                <w:u w:val="none"/>
              </w:rPr>
            </w:pPr>
          </w:p>
        </w:tc>
        <w:tc>
          <w:tcPr>
            <w:tcW w:w="1386"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宋体" w:hAnsi="宋体" w:eastAsia="宋体" w:cs="宋体"/>
                <w:i w:val="0"/>
                <w:color w:val="000000"/>
                <w:sz w:val="20"/>
                <w:szCs w:val="20"/>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439" w:hRule="atLeast"/>
        </w:trPr>
        <w:tc>
          <w:tcPr>
            <w:tcW w:w="1219"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三、目标完成情况</w:t>
            </w:r>
          </w:p>
        </w:tc>
        <w:tc>
          <w:tcPr>
            <w:tcW w:w="3219" w:type="dxa"/>
            <w:gridSpan w:val="3"/>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年度预期目标</w:t>
            </w:r>
          </w:p>
        </w:tc>
        <w:tc>
          <w:tcPr>
            <w:tcW w:w="3696" w:type="dxa"/>
            <w:gridSpan w:val="3"/>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具体完成情况</w:t>
            </w:r>
          </w:p>
        </w:tc>
        <w:tc>
          <w:tcPr>
            <w:tcW w:w="1386"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总体完成率</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312" w:hRule="atLeast"/>
        </w:trPr>
        <w:tc>
          <w:tcPr>
            <w:tcW w:w="1219"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宋体" w:hAnsi="宋体" w:eastAsia="宋体" w:cs="宋体"/>
                <w:i w:val="0"/>
                <w:color w:val="000000"/>
                <w:sz w:val="20"/>
                <w:szCs w:val="20"/>
                <w:u w:val="none"/>
              </w:rPr>
            </w:pPr>
          </w:p>
        </w:tc>
        <w:tc>
          <w:tcPr>
            <w:tcW w:w="3219" w:type="dxa"/>
            <w:gridSpan w:val="3"/>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编写村志</w:t>
            </w:r>
          </w:p>
        </w:tc>
        <w:tc>
          <w:tcPr>
            <w:tcW w:w="3696" w:type="dxa"/>
            <w:gridSpan w:val="3"/>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编写村志</w:t>
            </w:r>
          </w:p>
        </w:tc>
        <w:tc>
          <w:tcPr>
            <w:tcW w:w="1386"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100%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312" w:hRule="atLeast"/>
        </w:trPr>
        <w:tc>
          <w:tcPr>
            <w:tcW w:w="1219"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宋体" w:hAnsi="宋体" w:eastAsia="宋体" w:cs="宋体"/>
                <w:i w:val="0"/>
                <w:color w:val="000000"/>
                <w:sz w:val="20"/>
                <w:szCs w:val="20"/>
                <w:u w:val="none"/>
              </w:rPr>
            </w:pPr>
          </w:p>
        </w:tc>
        <w:tc>
          <w:tcPr>
            <w:tcW w:w="3219"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宋体" w:hAnsi="宋体" w:eastAsia="宋体" w:cs="宋体"/>
                <w:i w:val="0"/>
                <w:color w:val="000000"/>
                <w:sz w:val="20"/>
                <w:szCs w:val="20"/>
                <w:u w:val="none"/>
              </w:rPr>
            </w:pPr>
          </w:p>
        </w:tc>
        <w:tc>
          <w:tcPr>
            <w:tcW w:w="3696"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宋体" w:hAnsi="宋体" w:eastAsia="宋体" w:cs="宋体"/>
                <w:i w:val="0"/>
                <w:color w:val="000000"/>
                <w:sz w:val="20"/>
                <w:szCs w:val="20"/>
                <w:u w:val="none"/>
              </w:rPr>
            </w:pPr>
          </w:p>
        </w:tc>
        <w:tc>
          <w:tcPr>
            <w:tcW w:w="1386"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宋体" w:hAnsi="宋体" w:eastAsia="宋体" w:cs="宋体"/>
                <w:i w:val="0"/>
                <w:color w:val="000000"/>
                <w:sz w:val="20"/>
                <w:szCs w:val="20"/>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312" w:hRule="atLeast"/>
        </w:trPr>
        <w:tc>
          <w:tcPr>
            <w:tcW w:w="1219"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宋体" w:hAnsi="宋体" w:eastAsia="宋体" w:cs="宋体"/>
                <w:i w:val="0"/>
                <w:color w:val="000000"/>
                <w:sz w:val="20"/>
                <w:szCs w:val="20"/>
                <w:u w:val="none"/>
              </w:rPr>
            </w:pPr>
          </w:p>
        </w:tc>
        <w:tc>
          <w:tcPr>
            <w:tcW w:w="3219"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宋体" w:hAnsi="宋体" w:eastAsia="宋体" w:cs="宋体"/>
                <w:i w:val="0"/>
                <w:color w:val="000000"/>
                <w:sz w:val="20"/>
                <w:szCs w:val="20"/>
                <w:u w:val="none"/>
              </w:rPr>
            </w:pPr>
          </w:p>
        </w:tc>
        <w:tc>
          <w:tcPr>
            <w:tcW w:w="3696"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宋体" w:hAnsi="宋体" w:eastAsia="宋体" w:cs="宋体"/>
                <w:i w:val="0"/>
                <w:color w:val="000000"/>
                <w:sz w:val="20"/>
                <w:szCs w:val="20"/>
                <w:u w:val="none"/>
              </w:rPr>
            </w:pPr>
          </w:p>
        </w:tc>
        <w:tc>
          <w:tcPr>
            <w:tcW w:w="1386"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宋体" w:hAnsi="宋体" w:eastAsia="宋体" w:cs="宋体"/>
                <w:i w:val="0"/>
                <w:color w:val="000000"/>
                <w:sz w:val="20"/>
                <w:szCs w:val="20"/>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399" w:hRule="atLeast"/>
        </w:trPr>
        <w:tc>
          <w:tcPr>
            <w:tcW w:w="1219" w:type="dxa"/>
            <w:vMerge w:val="restart"/>
            <w:tcBorders>
              <w:top w:val="single" w:color="000000" w:sz="4" w:space="0"/>
              <w:left w:val="single" w:color="000000" w:sz="4" w:space="0"/>
              <w:bottom w:val="single" w:color="000000" w:sz="4" w:space="0"/>
              <w:right w:val="nil"/>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四、</w:t>
            </w:r>
            <w:r>
              <w:rPr>
                <w:rFonts w:ascii="Calibri" w:hAnsi="Calibri" w:eastAsia="宋体" w:cs="Calibri"/>
                <w:i w:val="0"/>
                <w:color w:val="000000"/>
                <w:kern w:val="0"/>
                <w:sz w:val="20"/>
                <w:szCs w:val="20"/>
                <w:u w:val="none"/>
                <w:lang w:val="en-US" w:eastAsia="zh-CN" w:bidi="ar"/>
              </w:rPr>
              <w:t xml:space="preserve"> </w:t>
            </w:r>
            <w:r>
              <w:rPr>
                <w:rFonts w:hint="eastAsia" w:ascii="宋体" w:hAnsi="宋体" w:eastAsia="宋体" w:cs="宋体"/>
                <w:i w:val="0"/>
                <w:color w:val="000000"/>
                <w:kern w:val="0"/>
                <w:sz w:val="20"/>
                <w:szCs w:val="20"/>
                <w:u w:val="none"/>
                <w:lang w:val="en-US" w:eastAsia="zh-CN" w:bidi="ar"/>
              </w:rPr>
              <w:t>年度绩效指标完成情况</w:t>
            </w:r>
          </w:p>
        </w:tc>
        <w:tc>
          <w:tcPr>
            <w:tcW w:w="98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一级指标</w:t>
            </w:r>
          </w:p>
        </w:tc>
        <w:tc>
          <w:tcPr>
            <w:tcW w:w="917"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二级指标</w:t>
            </w:r>
          </w:p>
        </w:tc>
        <w:tc>
          <w:tcPr>
            <w:tcW w:w="2698" w:type="dxa"/>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三级指标</w:t>
            </w:r>
          </w:p>
        </w:tc>
        <w:tc>
          <w:tcPr>
            <w:tcW w:w="1177" w:type="dxa"/>
            <w:tcBorders>
              <w:top w:val="single" w:color="000000" w:sz="4" w:space="0"/>
              <w:left w:val="single" w:color="000000" w:sz="4" w:space="0"/>
              <w:bottom w:val="nil"/>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预期指标值</w:t>
            </w:r>
          </w:p>
        </w:tc>
        <w:tc>
          <w:tcPr>
            <w:tcW w:w="113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实际完成值</w:t>
            </w:r>
          </w:p>
        </w:tc>
        <w:tc>
          <w:tcPr>
            <w:tcW w:w="1386"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自评得分</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614" w:hRule="atLeast"/>
        </w:trPr>
        <w:tc>
          <w:tcPr>
            <w:tcW w:w="1219" w:type="dxa"/>
            <w:vMerge w:val="continue"/>
            <w:tcBorders>
              <w:top w:val="single" w:color="000000" w:sz="4" w:space="0"/>
              <w:left w:val="single" w:color="000000" w:sz="4" w:space="0"/>
              <w:bottom w:val="single" w:color="000000" w:sz="4" w:space="0"/>
              <w:right w:val="nil"/>
            </w:tcBorders>
            <w:shd w:val="clear" w:color="auto" w:fill="auto"/>
            <w:tcMar>
              <w:top w:w="15" w:type="dxa"/>
              <w:left w:w="15" w:type="dxa"/>
              <w:right w:w="15" w:type="dxa"/>
            </w:tcMar>
            <w:vAlign w:val="center"/>
          </w:tcPr>
          <w:p>
            <w:pPr>
              <w:jc w:val="center"/>
              <w:rPr>
                <w:rFonts w:hint="eastAsia" w:ascii="宋体" w:hAnsi="宋体" w:eastAsia="宋体" w:cs="宋体"/>
                <w:i w:val="0"/>
                <w:color w:val="000000"/>
                <w:sz w:val="20"/>
                <w:szCs w:val="20"/>
                <w:u w:val="none"/>
              </w:rPr>
            </w:pPr>
          </w:p>
        </w:tc>
        <w:tc>
          <w:tcPr>
            <w:tcW w:w="985" w:type="dxa"/>
            <w:vMerge w:val="restart"/>
            <w:tcBorders>
              <w:top w:val="single" w:color="000000" w:sz="4" w:space="0"/>
              <w:left w:val="single" w:color="000000" w:sz="4" w:space="0"/>
              <w:bottom w:val="nil"/>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产出指标（40）</w:t>
            </w:r>
          </w:p>
        </w:tc>
        <w:tc>
          <w:tcPr>
            <w:tcW w:w="917" w:type="dxa"/>
            <w:tcBorders>
              <w:top w:val="single" w:color="000000" w:sz="4" w:space="0"/>
              <w:left w:val="single" w:color="000000" w:sz="4" w:space="0"/>
              <w:bottom w:val="nil"/>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数量指标</w:t>
            </w:r>
          </w:p>
        </w:tc>
        <w:tc>
          <w:tcPr>
            <w:tcW w:w="0" w:type="auto"/>
            <w:gridSpan w:val="2"/>
            <w:tcBorders>
              <w:top w:val="single" w:color="000000" w:sz="4" w:space="0"/>
              <w:left w:val="single" w:color="000000" w:sz="4" w:space="0"/>
              <w:bottom w:val="nil"/>
              <w:right w:val="nil"/>
            </w:tcBorders>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default" w:ascii="Calibri" w:hAnsi="Calibri" w:eastAsia="宋体" w:cs="Calibri"/>
                <w:i w:val="0"/>
                <w:color w:val="000000"/>
                <w:sz w:val="20"/>
                <w:szCs w:val="20"/>
                <w:u w:val="none"/>
              </w:rPr>
            </w:pPr>
            <w:r>
              <w:rPr>
                <w:rFonts w:hint="default" w:ascii="Calibri" w:hAnsi="Calibri" w:eastAsia="宋体" w:cs="Calibri"/>
                <w:i w:val="0"/>
                <w:color w:val="000000"/>
                <w:kern w:val="0"/>
                <w:sz w:val="20"/>
                <w:szCs w:val="20"/>
                <w:u w:val="none"/>
                <w:lang w:val="en-US" w:eastAsia="zh-CN" w:bidi="ar"/>
              </w:rPr>
              <w:t>文字报告成果数量</w:t>
            </w:r>
          </w:p>
        </w:tc>
        <w:tc>
          <w:tcPr>
            <w:tcW w:w="1177"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top"/>
          </w:tcPr>
          <w:p>
            <w:pPr>
              <w:keepNext w:val="0"/>
              <w:keepLines w:val="0"/>
              <w:widowControl/>
              <w:suppressLineNumbers w:val="0"/>
              <w:jc w:val="left"/>
              <w:textAlignment w:val="top"/>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及时完成</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搜索整理</w:t>
            </w:r>
          </w:p>
        </w:tc>
        <w:tc>
          <w:tcPr>
            <w:tcW w:w="113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完成</w:t>
            </w:r>
          </w:p>
        </w:tc>
        <w:tc>
          <w:tcPr>
            <w:tcW w:w="1386"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10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641" w:hRule="atLeast"/>
        </w:trPr>
        <w:tc>
          <w:tcPr>
            <w:tcW w:w="1219" w:type="dxa"/>
            <w:vMerge w:val="continue"/>
            <w:tcBorders>
              <w:top w:val="single" w:color="000000" w:sz="4" w:space="0"/>
              <w:left w:val="single" w:color="000000" w:sz="4" w:space="0"/>
              <w:bottom w:val="single" w:color="000000" w:sz="4" w:space="0"/>
              <w:right w:val="nil"/>
            </w:tcBorders>
            <w:shd w:val="clear" w:color="auto" w:fill="auto"/>
            <w:tcMar>
              <w:top w:w="15" w:type="dxa"/>
              <w:left w:w="15" w:type="dxa"/>
              <w:right w:w="15" w:type="dxa"/>
            </w:tcMar>
            <w:vAlign w:val="center"/>
          </w:tcPr>
          <w:p>
            <w:pPr>
              <w:jc w:val="center"/>
              <w:rPr>
                <w:rFonts w:hint="eastAsia" w:ascii="宋体" w:hAnsi="宋体" w:eastAsia="宋体" w:cs="宋体"/>
                <w:i w:val="0"/>
                <w:color w:val="000000"/>
                <w:sz w:val="20"/>
                <w:szCs w:val="20"/>
                <w:u w:val="none"/>
              </w:rPr>
            </w:pPr>
          </w:p>
        </w:tc>
        <w:tc>
          <w:tcPr>
            <w:tcW w:w="985" w:type="dxa"/>
            <w:vMerge w:val="continue"/>
            <w:tcBorders>
              <w:top w:val="single" w:color="000000" w:sz="4" w:space="0"/>
              <w:left w:val="single" w:color="000000" w:sz="4" w:space="0"/>
              <w:bottom w:val="nil"/>
              <w:right w:val="single" w:color="000000" w:sz="4" w:space="0"/>
            </w:tcBorders>
            <w:shd w:val="clear" w:color="auto" w:fill="auto"/>
            <w:tcMar>
              <w:top w:w="15" w:type="dxa"/>
              <w:left w:w="15" w:type="dxa"/>
              <w:right w:w="15" w:type="dxa"/>
            </w:tcMar>
            <w:vAlign w:val="center"/>
          </w:tcPr>
          <w:p>
            <w:pPr>
              <w:jc w:val="center"/>
              <w:rPr>
                <w:rFonts w:hint="eastAsia" w:ascii="宋体" w:hAnsi="宋体" w:eastAsia="宋体" w:cs="宋体"/>
                <w:i w:val="0"/>
                <w:color w:val="000000"/>
                <w:sz w:val="20"/>
                <w:szCs w:val="20"/>
                <w:u w:val="none"/>
              </w:rPr>
            </w:pPr>
          </w:p>
        </w:tc>
        <w:tc>
          <w:tcPr>
            <w:tcW w:w="917"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质量指标</w:t>
            </w:r>
          </w:p>
        </w:tc>
        <w:tc>
          <w:tcPr>
            <w:tcW w:w="0" w:type="auto"/>
            <w:gridSpan w:val="2"/>
            <w:tcBorders>
              <w:top w:val="single" w:color="000000" w:sz="4" w:space="0"/>
              <w:left w:val="single" w:color="000000" w:sz="4" w:space="0"/>
              <w:bottom w:val="nil"/>
              <w:right w:val="nil"/>
            </w:tcBorders>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default" w:ascii="Calibri" w:hAnsi="Calibri" w:eastAsia="宋体" w:cs="Calibri"/>
                <w:i w:val="0"/>
                <w:color w:val="000000"/>
                <w:sz w:val="20"/>
                <w:szCs w:val="20"/>
                <w:u w:val="none"/>
              </w:rPr>
            </w:pPr>
            <w:r>
              <w:rPr>
                <w:rFonts w:hint="default" w:ascii="Calibri" w:hAnsi="Calibri" w:eastAsia="宋体" w:cs="Calibri"/>
                <w:i w:val="0"/>
                <w:color w:val="000000"/>
                <w:kern w:val="0"/>
                <w:sz w:val="20"/>
                <w:szCs w:val="20"/>
                <w:u w:val="none"/>
                <w:lang w:val="en-US" w:eastAsia="zh-CN" w:bidi="ar"/>
              </w:rPr>
              <w:t>优、良</w:t>
            </w:r>
          </w:p>
        </w:tc>
        <w:tc>
          <w:tcPr>
            <w:tcW w:w="1177"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top"/>
          </w:tcPr>
          <w:p>
            <w:pPr>
              <w:keepNext w:val="0"/>
              <w:keepLines w:val="0"/>
              <w:widowControl/>
              <w:suppressLineNumbers w:val="0"/>
              <w:jc w:val="left"/>
              <w:textAlignment w:val="top"/>
              <w:rPr>
                <w:rFonts w:hint="default" w:ascii="Calibri" w:hAnsi="Calibri" w:eastAsia="宋体" w:cs="Calibri"/>
                <w:i w:val="0"/>
                <w:color w:val="000000"/>
                <w:sz w:val="20"/>
                <w:szCs w:val="20"/>
                <w:u w:val="none"/>
              </w:rPr>
            </w:pPr>
            <w:r>
              <w:rPr>
                <w:rFonts w:hint="default" w:ascii="Calibri" w:hAnsi="Calibri" w:eastAsia="宋体" w:cs="Calibri"/>
                <w:i w:val="0"/>
                <w:color w:val="000000"/>
                <w:kern w:val="0"/>
                <w:sz w:val="20"/>
                <w:szCs w:val="20"/>
                <w:u w:val="none"/>
                <w:lang w:val="en-US" w:eastAsia="zh-CN" w:bidi="ar"/>
              </w:rPr>
              <w:t>资料的准确性真实性</w:t>
            </w:r>
          </w:p>
        </w:tc>
        <w:tc>
          <w:tcPr>
            <w:tcW w:w="113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完成</w:t>
            </w:r>
          </w:p>
        </w:tc>
        <w:tc>
          <w:tcPr>
            <w:tcW w:w="1386"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default" w:ascii="Calibri" w:hAnsi="Calibri" w:eastAsia="宋体" w:cs="Calibri"/>
                <w:i w:val="0"/>
                <w:color w:val="000000"/>
                <w:sz w:val="20"/>
                <w:szCs w:val="20"/>
                <w:u w:val="none"/>
              </w:rPr>
            </w:pPr>
            <w:r>
              <w:rPr>
                <w:rFonts w:hint="default" w:ascii="Calibri" w:hAnsi="Calibri" w:eastAsia="宋体" w:cs="Calibri"/>
                <w:i w:val="0"/>
                <w:color w:val="000000"/>
                <w:kern w:val="0"/>
                <w:sz w:val="20"/>
                <w:szCs w:val="20"/>
                <w:u w:val="none"/>
                <w:lang w:val="en-US" w:eastAsia="zh-CN" w:bidi="ar"/>
              </w:rPr>
              <w:t>10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612" w:hRule="atLeast"/>
        </w:trPr>
        <w:tc>
          <w:tcPr>
            <w:tcW w:w="1219" w:type="dxa"/>
            <w:vMerge w:val="continue"/>
            <w:tcBorders>
              <w:top w:val="single" w:color="000000" w:sz="4" w:space="0"/>
              <w:left w:val="single" w:color="000000" w:sz="4" w:space="0"/>
              <w:bottom w:val="single" w:color="000000" w:sz="4" w:space="0"/>
              <w:right w:val="nil"/>
            </w:tcBorders>
            <w:shd w:val="clear" w:color="auto" w:fill="auto"/>
            <w:tcMar>
              <w:top w:w="15" w:type="dxa"/>
              <w:left w:w="15" w:type="dxa"/>
              <w:right w:w="15" w:type="dxa"/>
            </w:tcMar>
            <w:vAlign w:val="center"/>
          </w:tcPr>
          <w:p>
            <w:pPr>
              <w:jc w:val="center"/>
              <w:rPr>
                <w:rFonts w:hint="eastAsia" w:ascii="宋体" w:hAnsi="宋体" w:eastAsia="宋体" w:cs="宋体"/>
                <w:i w:val="0"/>
                <w:color w:val="000000"/>
                <w:sz w:val="20"/>
                <w:szCs w:val="20"/>
                <w:u w:val="none"/>
              </w:rPr>
            </w:pPr>
          </w:p>
        </w:tc>
        <w:tc>
          <w:tcPr>
            <w:tcW w:w="985" w:type="dxa"/>
            <w:vMerge w:val="continue"/>
            <w:tcBorders>
              <w:top w:val="single" w:color="000000" w:sz="4" w:space="0"/>
              <w:left w:val="single" w:color="000000" w:sz="4" w:space="0"/>
              <w:bottom w:val="nil"/>
              <w:right w:val="single" w:color="000000" w:sz="4" w:space="0"/>
            </w:tcBorders>
            <w:shd w:val="clear" w:color="auto" w:fill="auto"/>
            <w:tcMar>
              <w:top w:w="15" w:type="dxa"/>
              <w:left w:w="15" w:type="dxa"/>
              <w:right w:w="15" w:type="dxa"/>
            </w:tcMar>
            <w:vAlign w:val="center"/>
          </w:tcPr>
          <w:p>
            <w:pPr>
              <w:jc w:val="center"/>
              <w:rPr>
                <w:rFonts w:hint="eastAsia" w:ascii="宋体" w:hAnsi="宋体" w:eastAsia="宋体" w:cs="宋体"/>
                <w:i w:val="0"/>
                <w:color w:val="000000"/>
                <w:sz w:val="20"/>
                <w:szCs w:val="20"/>
                <w:u w:val="none"/>
              </w:rPr>
            </w:pPr>
          </w:p>
        </w:tc>
        <w:tc>
          <w:tcPr>
            <w:tcW w:w="917"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时效指标</w:t>
            </w:r>
          </w:p>
        </w:tc>
        <w:tc>
          <w:tcPr>
            <w:tcW w:w="0" w:type="auto"/>
            <w:gridSpan w:val="2"/>
            <w:tcBorders>
              <w:top w:val="single" w:color="000000" w:sz="4" w:space="0"/>
              <w:left w:val="single" w:color="000000" w:sz="4" w:space="0"/>
              <w:bottom w:val="nil"/>
              <w:right w:val="nil"/>
            </w:tcBorders>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default" w:ascii="Calibri" w:hAnsi="Calibri" w:eastAsia="宋体" w:cs="Calibri"/>
                <w:i w:val="0"/>
                <w:color w:val="000000"/>
                <w:sz w:val="20"/>
                <w:szCs w:val="20"/>
                <w:u w:val="none"/>
              </w:rPr>
            </w:pPr>
            <w:r>
              <w:rPr>
                <w:rFonts w:hint="default" w:ascii="Calibri" w:hAnsi="Calibri" w:eastAsia="宋体" w:cs="Calibri"/>
                <w:i w:val="0"/>
                <w:color w:val="000000"/>
                <w:kern w:val="0"/>
                <w:sz w:val="20"/>
                <w:szCs w:val="20"/>
                <w:u w:val="none"/>
                <w:lang w:val="en-US" w:eastAsia="zh-CN" w:bidi="ar"/>
              </w:rPr>
              <w:t>前期文件编制时效满足</w:t>
            </w:r>
          </w:p>
        </w:tc>
        <w:tc>
          <w:tcPr>
            <w:tcW w:w="1177"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top"/>
          </w:tcPr>
          <w:p>
            <w:pPr>
              <w:keepNext w:val="0"/>
              <w:keepLines w:val="0"/>
              <w:widowControl/>
              <w:suppressLineNumbers w:val="0"/>
              <w:jc w:val="left"/>
              <w:textAlignment w:val="top"/>
              <w:rPr>
                <w:rFonts w:hint="default" w:ascii="Calibri" w:hAnsi="Calibri" w:eastAsia="宋体" w:cs="Calibri"/>
                <w:i w:val="0"/>
                <w:color w:val="000000"/>
                <w:sz w:val="20"/>
                <w:szCs w:val="20"/>
                <w:u w:val="none"/>
              </w:rPr>
            </w:pPr>
            <w:r>
              <w:rPr>
                <w:rFonts w:hint="default" w:ascii="Calibri" w:hAnsi="Calibri" w:eastAsia="宋体" w:cs="Calibri"/>
                <w:i w:val="0"/>
                <w:color w:val="000000"/>
                <w:kern w:val="0"/>
                <w:sz w:val="20"/>
                <w:szCs w:val="20"/>
                <w:u w:val="none"/>
                <w:lang w:val="en-US" w:eastAsia="zh-CN" w:bidi="ar"/>
              </w:rPr>
              <w:t>及时完成编写工作</w:t>
            </w:r>
          </w:p>
        </w:tc>
        <w:tc>
          <w:tcPr>
            <w:tcW w:w="113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完成</w:t>
            </w:r>
          </w:p>
        </w:tc>
        <w:tc>
          <w:tcPr>
            <w:tcW w:w="1386"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default" w:ascii="Calibri" w:hAnsi="Calibri" w:eastAsia="宋体" w:cs="Calibri"/>
                <w:i w:val="0"/>
                <w:color w:val="000000"/>
                <w:sz w:val="20"/>
                <w:szCs w:val="20"/>
                <w:u w:val="none"/>
              </w:rPr>
            </w:pPr>
            <w:r>
              <w:rPr>
                <w:rFonts w:hint="default" w:ascii="Calibri" w:hAnsi="Calibri" w:eastAsia="宋体" w:cs="Calibri"/>
                <w:i w:val="0"/>
                <w:color w:val="000000"/>
                <w:kern w:val="0"/>
                <w:sz w:val="20"/>
                <w:szCs w:val="20"/>
                <w:u w:val="none"/>
                <w:lang w:val="en-US" w:eastAsia="zh-CN" w:bidi="ar"/>
              </w:rPr>
              <w:t>10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318" w:hRule="atLeast"/>
        </w:trPr>
        <w:tc>
          <w:tcPr>
            <w:tcW w:w="1219" w:type="dxa"/>
            <w:vMerge w:val="continue"/>
            <w:tcBorders>
              <w:top w:val="single" w:color="000000" w:sz="4" w:space="0"/>
              <w:left w:val="single" w:color="000000" w:sz="4" w:space="0"/>
              <w:bottom w:val="single" w:color="000000" w:sz="4" w:space="0"/>
              <w:right w:val="nil"/>
            </w:tcBorders>
            <w:shd w:val="clear" w:color="auto" w:fill="auto"/>
            <w:tcMar>
              <w:top w:w="15" w:type="dxa"/>
              <w:left w:w="15" w:type="dxa"/>
              <w:right w:w="15" w:type="dxa"/>
            </w:tcMar>
            <w:vAlign w:val="center"/>
          </w:tcPr>
          <w:p>
            <w:pPr>
              <w:jc w:val="center"/>
              <w:rPr>
                <w:rFonts w:hint="eastAsia" w:ascii="宋体" w:hAnsi="宋体" w:eastAsia="宋体" w:cs="宋体"/>
                <w:i w:val="0"/>
                <w:color w:val="000000"/>
                <w:sz w:val="20"/>
                <w:szCs w:val="20"/>
                <w:u w:val="none"/>
              </w:rPr>
            </w:pPr>
          </w:p>
        </w:tc>
        <w:tc>
          <w:tcPr>
            <w:tcW w:w="985" w:type="dxa"/>
            <w:vMerge w:val="continue"/>
            <w:tcBorders>
              <w:top w:val="single" w:color="000000" w:sz="4" w:space="0"/>
              <w:left w:val="single" w:color="000000" w:sz="4" w:space="0"/>
              <w:bottom w:val="nil"/>
              <w:right w:val="single" w:color="000000" w:sz="4" w:space="0"/>
            </w:tcBorders>
            <w:shd w:val="clear" w:color="auto" w:fill="auto"/>
            <w:tcMar>
              <w:top w:w="15" w:type="dxa"/>
              <w:left w:w="15" w:type="dxa"/>
              <w:right w:w="15" w:type="dxa"/>
            </w:tcMar>
            <w:vAlign w:val="center"/>
          </w:tcPr>
          <w:p>
            <w:pPr>
              <w:jc w:val="center"/>
              <w:rPr>
                <w:rFonts w:hint="eastAsia" w:ascii="宋体" w:hAnsi="宋体" w:eastAsia="宋体" w:cs="宋体"/>
                <w:i w:val="0"/>
                <w:color w:val="000000"/>
                <w:sz w:val="20"/>
                <w:szCs w:val="20"/>
                <w:u w:val="none"/>
              </w:rPr>
            </w:pPr>
          </w:p>
        </w:tc>
        <w:tc>
          <w:tcPr>
            <w:tcW w:w="917"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成本指标</w:t>
            </w:r>
          </w:p>
        </w:tc>
        <w:tc>
          <w:tcPr>
            <w:tcW w:w="0" w:type="auto"/>
            <w:gridSpan w:val="2"/>
            <w:tcBorders>
              <w:top w:val="single" w:color="000000" w:sz="4" w:space="0"/>
              <w:left w:val="single" w:color="000000" w:sz="4" w:space="0"/>
              <w:bottom w:val="nil"/>
              <w:right w:val="nil"/>
            </w:tcBorders>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default" w:ascii="Calibri" w:hAnsi="Calibri" w:eastAsia="宋体" w:cs="Calibri"/>
                <w:i w:val="0"/>
                <w:color w:val="000000"/>
                <w:sz w:val="20"/>
                <w:szCs w:val="20"/>
                <w:u w:val="none"/>
              </w:rPr>
            </w:pPr>
            <w:r>
              <w:rPr>
                <w:rFonts w:hint="default" w:ascii="Calibri" w:hAnsi="Calibri" w:eastAsia="宋体" w:cs="Calibri"/>
                <w:i w:val="0"/>
                <w:color w:val="000000"/>
                <w:kern w:val="0"/>
                <w:sz w:val="20"/>
                <w:szCs w:val="20"/>
                <w:u w:val="none"/>
                <w:lang w:val="en-US" w:eastAsia="zh-CN" w:bidi="ar"/>
              </w:rPr>
              <w:t>工作开展所需的成本情况</w:t>
            </w:r>
          </w:p>
        </w:tc>
        <w:tc>
          <w:tcPr>
            <w:tcW w:w="1177" w:type="dxa"/>
            <w:tcBorders>
              <w:top w:val="single" w:color="000000" w:sz="4" w:space="0"/>
              <w:left w:val="single" w:color="000000" w:sz="4" w:space="0"/>
              <w:bottom w:val="nil"/>
              <w:right w:val="single" w:color="000000" w:sz="4" w:space="0"/>
            </w:tcBorders>
            <w:shd w:val="clear" w:color="auto" w:fill="auto"/>
            <w:tcMar>
              <w:top w:w="15" w:type="dxa"/>
              <w:left w:w="15" w:type="dxa"/>
              <w:right w:w="15" w:type="dxa"/>
            </w:tcMar>
            <w:vAlign w:val="top"/>
          </w:tcPr>
          <w:p>
            <w:pPr>
              <w:keepNext w:val="0"/>
              <w:keepLines w:val="0"/>
              <w:widowControl/>
              <w:suppressLineNumbers w:val="0"/>
              <w:jc w:val="left"/>
              <w:textAlignment w:val="top"/>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节约成本</w:t>
            </w:r>
          </w:p>
        </w:tc>
        <w:tc>
          <w:tcPr>
            <w:tcW w:w="1138" w:type="dxa"/>
            <w:tcBorders>
              <w:top w:val="single" w:color="000000" w:sz="4" w:space="0"/>
              <w:left w:val="single" w:color="000000" w:sz="4" w:space="0"/>
              <w:bottom w:val="nil"/>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完成</w:t>
            </w:r>
          </w:p>
        </w:tc>
        <w:tc>
          <w:tcPr>
            <w:tcW w:w="1386"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default" w:ascii="Calibri" w:hAnsi="Calibri" w:eastAsia="宋体" w:cs="Calibri"/>
                <w:i w:val="0"/>
                <w:color w:val="000000"/>
                <w:sz w:val="20"/>
                <w:szCs w:val="20"/>
                <w:u w:val="none"/>
              </w:rPr>
            </w:pPr>
            <w:r>
              <w:rPr>
                <w:rFonts w:hint="default" w:ascii="Calibri" w:hAnsi="Calibri" w:eastAsia="宋体" w:cs="Calibri"/>
                <w:i w:val="0"/>
                <w:color w:val="000000"/>
                <w:kern w:val="0"/>
                <w:sz w:val="20"/>
                <w:szCs w:val="20"/>
                <w:u w:val="none"/>
                <w:lang w:val="en-US" w:eastAsia="zh-CN" w:bidi="ar"/>
              </w:rPr>
              <w:t>10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907" w:hRule="atLeast"/>
        </w:trPr>
        <w:tc>
          <w:tcPr>
            <w:tcW w:w="1219" w:type="dxa"/>
            <w:vMerge w:val="continue"/>
            <w:tcBorders>
              <w:top w:val="single" w:color="000000" w:sz="4" w:space="0"/>
              <w:left w:val="single" w:color="000000" w:sz="4" w:space="0"/>
              <w:bottom w:val="single" w:color="000000" w:sz="4" w:space="0"/>
              <w:right w:val="nil"/>
            </w:tcBorders>
            <w:shd w:val="clear" w:color="auto" w:fill="auto"/>
            <w:tcMar>
              <w:top w:w="15" w:type="dxa"/>
              <w:left w:w="15" w:type="dxa"/>
              <w:right w:w="15" w:type="dxa"/>
            </w:tcMar>
            <w:vAlign w:val="center"/>
          </w:tcPr>
          <w:p>
            <w:pPr>
              <w:jc w:val="center"/>
              <w:rPr>
                <w:rFonts w:hint="eastAsia" w:ascii="宋体" w:hAnsi="宋体" w:eastAsia="宋体" w:cs="宋体"/>
                <w:i w:val="0"/>
                <w:color w:val="000000"/>
                <w:sz w:val="20"/>
                <w:szCs w:val="20"/>
                <w:u w:val="none"/>
              </w:rPr>
            </w:pPr>
          </w:p>
        </w:tc>
        <w:tc>
          <w:tcPr>
            <w:tcW w:w="98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预算执行率指标</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（10分）</w:t>
            </w:r>
          </w:p>
        </w:tc>
        <w:tc>
          <w:tcPr>
            <w:tcW w:w="917" w:type="dxa"/>
            <w:tcBorders>
              <w:top w:val="nil"/>
              <w:left w:val="nil"/>
              <w:bottom w:val="single" w:color="000000" w:sz="4" w:space="0"/>
              <w:right w:val="nil"/>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预算执行率</w:t>
            </w:r>
          </w:p>
        </w:tc>
        <w:tc>
          <w:tcPr>
            <w:tcW w:w="2698" w:type="dxa"/>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按项目安排如期完成编写</w:t>
            </w:r>
          </w:p>
        </w:tc>
        <w:tc>
          <w:tcPr>
            <w:tcW w:w="1177"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如期完成编写</w:t>
            </w:r>
          </w:p>
        </w:tc>
        <w:tc>
          <w:tcPr>
            <w:tcW w:w="113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完成</w:t>
            </w:r>
          </w:p>
        </w:tc>
        <w:tc>
          <w:tcPr>
            <w:tcW w:w="1386" w:type="dxa"/>
            <w:tcBorders>
              <w:top w:val="single" w:color="000000" w:sz="4" w:space="0"/>
              <w:left w:val="nil"/>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default" w:ascii="Calibri" w:hAnsi="Calibri" w:eastAsia="宋体" w:cs="Calibri"/>
                <w:i w:val="0"/>
                <w:color w:val="000000"/>
                <w:sz w:val="20"/>
                <w:szCs w:val="20"/>
                <w:u w:val="none"/>
              </w:rPr>
            </w:pPr>
            <w:r>
              <w:rPr>
                <w:rFonts w:hint="default" w:ascii="Calibri" w:hAnsi="Calibri" w:eastAsia="宋体" w:cs="Calibri"/>
                <w:i w:val="0"/>
                <w:color w:val="000000"/>
                <w:kern w:val="0"/>
                <w:sz w:val="20"/>
                <w:szCs w:val="20"/>
                <w:u w:val="none"/>
                <w:lang w:val="en-US" w:eastAsia="zh-CN" w:bidi="ar"/>
              </w:rPr>
              <w:t>10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612" w:hRule="atLeast"/>
        </w:trPr>
        <w:tc>
          <w:tcPr>
            <w:tcW w:w="1219" w:type="dxa"/>
            <w:vMerge w:val="continue"/>
            <w:tcBorders>
              <w:top w:val="single" w:color="000000" w:sz="4" w:space="0"/>
              <w:left w:val="single" w:color="000000" w:sz="4" w:space="0"/>
              <w:bottom w:val="single" w:color="000000" w:sz="4" w:space="0"/>
              <w:right w:val="nil"/>
            </w:tcBorders>
            <w:shd w:val="clear" w:color="auto" w:fill="auto"/>
            <w:tcMar>
              <w:top w:w="15" w:type="dxa"/>
              <w:left w:w="15" w:type="dxa"/>
              <w:right w:w="15" w:type="dxa"/>
            </w:tcMar>
            <w:vAlign w:val="center"/>
          </w:tcPr>
          <w:p>
            <w:pPr>
              <w:jc w:val="center"/>
              <w:rPr>
                <w:rFonts w:hint="eastAsia" w:ascii="宋体" w:hAnsi="宋体" w:eastAsia="宋体" w:cs="宋体"/>
                <w:i w:val="0"/>
                <w:color w:val="000000"/>
                <w:sz w:val="20"/>
                <w:szCs w:val="20"/>
                <w:u w:val="none"/>
              </w:rPr>
            </w:pPr>
          </w:p>
        </w:tc>
        <w:tc>
          <w:tcPr>
            <w:tcW w:w="985"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效益指标（40）</w:t>
            </w:r>
          </w:p>
        </w:tc>
        <w:tc>
          <w:tcPr>
            <w:tcW w:w="917" w:type="dxa"/>
            <w:tcBorders>
              <w:top w:val="single" w:color="000000" w:sz="4" w:space="0"/>
              <w:left w:val="nil"/>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经济效益指标</w:t>
            </w:r>
          </w:p>
        </w:tc>
        <w:tc>
          <w:tcPr>
            <w:tcW w:w="2698" w:type="dxa"/>
            <w:gridSpan w:val="2"/>
            <w:tcBorders>
              <w:top w:val="nil"/>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助推乡村历史文化发展</w:t>
            </w:r>
          </w:p>
        </w:tc>
        <w:tc>
          <w:tcPr>
            <w:tcW w:w="1177"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宣传村级文化</w:t>
            </w:r>
          </w:p>
        </w:tc>
        <w:tc>
          <w:tcPr>
            <w:tcW w:w="113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完成</w:t>
            </w:r>
          </w:p>
        </w:tc>
        <w:tc>
          <w:tcPr>
            <w:tcW w:w="1386" w:type="dxa"/>
            <w:tcBorders>
              <w:top w:val="single" w:color="000000" w:sz="4" w:space="0"/>
              <w:left w:val="nil"/>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default" w:ascii="Calibri" w:hAnsi="Calibri" w:eastAsia="宋体" w:cs="Calibri"/>
                <w:i w:val="0"/>
                <w:color w:val="000000"/>
                <w:sz w:val="20"/>
                <w:szCs w:val="20"/>
                <w:u w:val="none"/>
              </w:rPr>
            </w:pPr>
            <w:r>
              <w:rPr>
                <w:rFonts w:hint="default" w:ascii="Calibri" w:hAnsi="Calibri" w:eastAsia="宋体" w:cs="Calibri"/>
                <w:i w:val="0"/>
                <w:color w:val="000000"/>
                <w:kern w:val="0"/>
                <w:sz w:val="20"/>
                <w:szCs w:val="20"/>
                <w:u w:val="none"/>
                <w:lang w:val="en-US" w:eastAsia="zh-CN" w:bidi="ar"/>
              </w:rPr>
              <w:t>10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612" w:hRule="atLeast"/>
        </w:trPr>
        <w:tc>
          <w:tcPr>
            <w:tcW w:w="1219" w:type="dxa"/>
            <w:vMerge w:val="continue"/>
            <w:tcBorders>
              <w:top w:val="single" w:color="000000" w:sz="4" w:space="0"/>
              <w:left w:val="single" w:color="000000" w:sz="4" w:space="0"/>
              <w:bottom w:val="single" w:color="000000" w:sz="4" w:space="0"/>
              <w:right w:val="nil"/>
            </w:tcBorders>
            <w:shd w:val="clear" w:color="auto" w:fill="auto"/>
            <w:tcMar>
              <w:top w:w="15" w:type="dxa"/>
              <w:left w:w="15" w:type="dxa"/>
              <w:right w:w="15" w:type="dxa"/>
            </w:tcMar>
            <w:vAlign w:val="center"/>
          </w:tcPr>
          <w:p>
            <w:pPr>
              <w:jc w:val="center"/>
              <w:rPr>
                <w:rFonts w:hint="eastAsia" w:ascii="宋体" w:hAnsi="宋体" w:eastAsia="宋体" w:cs="宋体"/>
                <w:i w:val="0"/>
                <w:color w:val="000000"/>
                <w:sz w:val="20"/>
                <w:szCs w:val="20"/>
                <w:u w:val="none"/>
              </w:rPr>
            </w:pPr>
          </w:p>
        </w:tc>
        <w:tc>
          <w:tcPr>
            <w:tcW w:w="98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宋体" w:hAnsi="宋体" w:eastAsia="宋体" w:cs="宋体"/>
                <w:i w:val="0"/>
                <w:color w:val="000000"/>
                <w:sz w:val="20"/>
                <w:szCs w:val="20"/>
                <w:u w:val="none"/>
              </w:rPr>
            </w:pPr>
          </w:p>
        </w:tc>
        <w:tc>
          <w:tcPr>
            <w:tcW w:w="917" w:type="dxa"/>
            <w:tcBorders>
              <w:top w:val="single" w:color="000000" w:sz="4" w:space="0"/>
              <w:left w:val="nil"/>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社会效益指标</w:t>
            </w:r>
          </w:p>
        </w:tc>
        <w:tc>
          <w:tcPr>
            <w:tcW w:w="2698" w:type="dxa"/>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助力本土文化传播</w:t>
            </w:r>
          </w:p>
        </w:tc>
        <w:tc>
          <w:tcPr>
            <w:tcW w:w="1177"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社会影响大</w:t>
            </w:r>
          </w:p>
        </w:tc>
        <w:tc>
          <w:tcPr>
            <w:tcW w:w="113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完成</w:t>
            </w:r>
          </w:p>
        </w:tc>
        <w:tc>
          <w:tcPr>
            <w:tcW w:w="1386"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default" w:ascii="Calibri" w:hAnsi="Calibri" w:eastAsia="宋体" w:cs="Calibri"/>
                <w:i w:val="0"/>
                <w:color w:val="000000"/>
                <w:sz w:val="20"/>
                <w:szCs w:val="20"/>
                <w:u w:val="none"/>
              </w:rPr>
            </w:pPr>
            <w:r>
              <w:rPr>
                <w:rFonts w:hint="default" w:ascii="Calibri" w:hAnsi="Calibri" w:eastAsia="宋体" w:cs="Calibri"/>
                <w:i w:val="0"/>
                <w:color w:val="000000"/>
                <w:kern w:val="0"/>
                <w:sz w:val="20"/>
                <w:szCs w:val="20"/>
                <w:u w:val="none"/>
                <w:lang w:val="en-US" w:eastAsia="zh-CN" w:bidi="ar"/>
              </w:rPr>
              <w:t>10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612" w:hRule="atLeast"/>
        </w:trPr>
        <w:tc>
          <w:tcPr>
            <w:tcW w:w="1219" w:type="dxa"/>
            <w:vMerge w:val="continue"/>
            <w:tcBorders>
              <w:top w:val="single" w:color="000000" w:sz="4" w:space="0"/>
              <w:left w:val="single" w:color="000000" w:sz="4" w:space="0"/>
              <w:bottom w:val="single" w:color="000000" w:sz="4" w:space="0"/>
              <w:right w:val="nil"/>
            </w:tcBorders>
            <w:shd w:val="clear" w:color="auto" w:fill="auto"/>
            <w:tcMar>
              <w:top w:w="15" w:type="dxa"/>
              <w:left w:w="15" w:type="dxa"/>
              <w:right w:w="15" w:type="dxa"/>
            </w:tcMar>
            <w:vAlign w:val="center"/>
          </w:tcPr>
          <w:p>
            <w:pPr>
              <w:jc w:val="center"/>
              <w:rPr>
                <w:rFonts w:hint="eastAsia" w:ascii="宋体" w:hAnsi="宋体" w:eastAsia="宋体" w:cs="宋体"/>
                <w:i w:val="0"/>
                <w:color w:val="000000"/>
                <w:sz w:val="20"/>
                <w:szCs w:val="20"/>
                <w:u w:val="none"/>
              </w:rPr>
            </w:pPr>
          </w:p>
        </w:tc>
        <w:tc>
          <w:tcPr>
            <w:tcW w:w="98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宋体" w:hAnsi="宋体" w:eastAsia="宋体" w:cs="宋体"/>
                <w:i w:val="0"/>
                <w:color w:val="000000"/>
                <w:sz w:val="20"/>
                <w:szCs w:val="20"/>
                <w:u w:val="none"/>
              </w:rPr>
            </w:pPr>
          </w:p>
        </w:tc>
        <w:tc>
          <w:tcPr>
            <w:tcW w:w="917" w:type="dxa"/>
            <w:tcBorders>
              <w:top w:val="single" w:color="000000" w:sz="4" w:space="0"/>
              <w:left w:val="nil"/>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生态效益指标</w:t>
            </w:r>
          </w:p>
        </w:tc>
        <w:tc>
          <w:tcPr>
            <w:tcW w:w="2698" w:type="dxa"/>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营造良好政治生态</w:t>
            </w:r>
          </w:p>
        </w:tc>
        <w:tc>
          <w:tcPr>
            <w:tcW w:w="1177"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社会生态好</w:t>
            </w:r>
          </w:p>
        </w:tc>
        <w:tc>
          <w:tcPr>
            <w:tcW w:w="113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完成</w:t>
            </w:r>
          </w:p>
        </w:tc>
        <w:tc>
          <w:tcPr>
            <w:tcW w:w="1386"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default" w:ascii="Calibri" w:hAnsi="Calibri" w:eastAsia="宋体" w:cs="Calibri"/>
                <w:i w:val="0"/>
                <w:color w:val="000000"/>
                <w:sz w:val="20"/>
                <w:szCs w:val="20"/>
                <w:u w:val="none"/>
              </w:rPr>
            </w:pPr>
            <w:r>
              <w:rPr>
                <w:rFonts w:hint="default" w:ascii="Calibri" w:hAnsi="Calibri" w:eastAsia="宋体" w:cs="Calibri"/>
                <w:i w:val="0"/>
                <w:color w:val="000000"/>
                <w:kern w:val="0"/>
                <w:sz w:val="20"/>
                <w:szCs w:val="20"/>
                <w:u w:val="none"/>
                <w:lang w:val="en-US" w:eastAsia="zh-CN" w:bidi="ar"/>
              </w:rPr>
              <w:t>10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612" w:hRule="atLeast"/>
        </w:trPr>
        <w:tc>
          <w:tcPr>
            <w:tcW w:w="1219" w:type="dxa"/>
            <w:vMerge w:val="continue"/>
            <w:tcBorders>
              <w:top w:val="single" w:color="000000" w:sz="4" w:space="0"/>
              <w:left w:val="single" w:color="000000" w:sz="4" w:space="0"/>
              <w:bottom w:val="single" w:color="000000" w:sz="4" w:space="0"/>
              <w:right w:val="nil"/>
            </w:tcBorders>
            <w:shd w:val="clear" w:color="auto" w:fill="auto"/>
            <w:tcMar>
              <w:top w:w="15" w:type="dxa"/>
              <w:left w:w="15" w:type="dxa"/>
              <w:right w:w="15" w:type="dxa"/>
            </w:tcMar>
            <w:vAlign w:val="center"/>
          </w:tcPr>
          <w:p>
            <w:pPr>
              <w:jc w:val="center"/>
              <w:rPr>
                <w:rFonts w:hint="eastAsia" w:ascii="宋体" w:hAnsi="宋体" w:eastAsia="宋体" w:cs="宋体"/>
                <w:i w:val="0"/>
                <w:color w:val="000000"/>
                <w:sz w:val="20"/>
                <w:szCs w:val="20"/>
                <w:u w:val="none"/>
              </w:rPr>
            </w:pPr>
          </w:p>
        </w:tc>
        <w:tc>
          <w:tcPr>
            <w:tcW w:w="98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宋体" w:hAnsi="宋体" w:eastAsia="宋体" w:cs="宋体"/>
                <w:i w:val="0"/>
                <w:color w:val="000000"/>
                <w:sz w:val="20"/>
                <w:szCs w:val="20"/>
                <w:u w:val="none"/>
              </w:rPr>
            </w:pPr>
          </w:p>
        </w:tc>
        <w:tc>
          <w:tcPr>
            <w:tcW w:w="917" w:type="dxa"/>
            <w:tcBorders>
              <w:top w:val="single" w:color="000000" w:sz="4" w:space="0"/>
              <w:left w:val="nil"/>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可持续影响指标</w:t>
            </w:r>
          </w:p>
        </w:tc>
        <w:tc>
          <w:tcPr>
            <w:tcW w:w="2698" w:type="dxa"/>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 xml:space="preserve">结果持续应用 </w:t>
            </w:r>
          </w:p>
        </w:tc>
        <w:tc>
          <w:tcPr>
            <w:tcW w:w="1177"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有长期使用价值</w:t>
            </w:r>
          </w:p>
        </w:tc>
        <w:tc>
          <w:tcPr>
            <w:tcW w:w="113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完成</w:t>
            </w:r>
          </w:p>
        </w:tc>
        <w:tc>
          <w:tcPr>
            <w:tcW w:w="1386"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default" w:ascii="Calibri" w:hAnsi="Calibri" w:eastAsia="宋体" w:cs="Calibri"/>
                <w:i w:val="0"/>
                <w:color w:val="000000"/>
                <w:sz w:val="20"/>
                <w:szCs w:val="20"/>
                <w:u w:val="none"/>
              </w:rPr>
            </w:pPr>
            <w:r>
              <w:rPr>
                <w:rFonts w:hint="default" w:ascii="Calibri" w:hAnsi="Calibri" w:eastAsia="宋体" w:cs="Calibri"/>
                <w:i w:val="0"/>
                <w:color w:val="000000"/>
                <w:kern w:val="0"/>
                <w:sz w:val="20"/>
                <w:szCs w:val="20"/>
                <w:u w:val="none"/>
                <w:lang w:val="en-US" w:eastAsia="zh-CN" w:bidi="ar"/>
              </w:rPr>
              <w:t>10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612" w:hRule="atLeast"/>
        </w:trPr>
        <w:tc>
          <w:tcPr>
            <w:tcW w:w="1219" w:type="dxa"/>
            <w:vMerge w:val="continue"/>
            <w:tcBorders>
              <w:top w:val="single" w:color="000000" w:sz="4" w:space="0"/>
              <w:left w:val="single" w:color="000000" w:sz="4" w:space="0"/>
              <w:bottom w:val="single" w:color="000000" w:sz="4" w:space="0"/>
              <w:right w:val="nil"/>
            </w:tcBorders>
            <w:shd w:val="clear" w:color="auto" w:fill="auto"/>
            <w:tcMar>
              <w:top w:w="15" w:type="dxa"/>
              <w:left w:w="15" w:type="dxa"/>
              <w:right w:w="15" w:type="dxa"/>
            </w:tcMar>
            <w:vAlign w:val="center"/>
          </w:tcPr>
          <w:p>
            <w:pPr>
              <w:jc w:val="center"/>
              <w:rPr>
                <w:rFonts w:hint="eastAsia" w:ascii="宋体" w:hAnsi="宋体" w:eastAsia="宋体" w:cs="宋体"/>
                <w:i w:val="0"/>
                <w:color w:val="000000"/>
                <w:sz w:val="20"/>
                <w:szCs w:val="20"/>
                <w:u w:val="none"/>
              </w:rPr>
            </w:pPr>
          </w:p>
        </w:tc>
        <w:tc>
          <w:tcPr>
            <w:tcW w:w="98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满意度指标</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（20分）</w:t>
            </w:r>
          </w:p>
        </w:tc>
        <w:tc>
          <w:tcPr>
            <w:tcW w:w="917" w:type="dxa"/>
            <w:tcBorders>
              <w:top w:val="single" w:color="000000" w:sz="4" w:space="0"/>
              <w:left w:val="nil"/>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满意度指标</w:t>
            </w:r>
          </w:p>
        </w:tc>
        <w:tc>
          <w:tcPr>
            <w:tcW w:w="2698" w:type="dxa"/>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服务满意度</w:t>
            </w:r>
          </w:p>
        </w:tc>
        <w:tc>
          <w:tcPr>
            <w:tcW w:w="1177"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社会满意</w:t>
            </w:r>
          </w:p>
        </w:tc>
        <w:tc>
          <w:tcPr>
            <w:tcW w:w="113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完成</w:t>
            </w:r>
          </w:p>
        </w:tc>
        <w:tc>
          <w:tcPr>
            <w:tcW w:w="1386"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default" w:ascii="Calibri" w:hAnsi="Calibri" w:eastAsia="宋体" w:cs="Calibri"/>
                <w:i w:val="0"/>
                <w:color w:val="000000"/>
                <w:sz w:val="20"/>
                <w:szCs w:val="20"/>
                <w:u w:val="none"/>
              </w:rPr>
            </w:pPr>
            <w:r>
              <w:rPr>
                <w:rFonts w:hint="default" w:ascii="Calibri" w:hAnsi="Calibri" w:eastAsia="宋体" w:cs="Calibri"/>
                <w:i w:val="0"/>
                <w:color w:val="000000"/>
                <w:kern w:val="0"/>
                <w:sz w:val="20"/>
                <w:szCs w:val="20"/>
                <w:u w:val="none"/>
                <w:lang w:val="en-US" w:eastAsia="zh-CN" w:bidi="ar"/>
              </w:rPr>
              <w:t>10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318" w:hRule="atLeast"/>
        </w:trPr>
        <w:tc>
          <w:tcPr>
            <w:tcW w:w="1219" w:type="dxa"/>
            <w:vMerge w:val="continue"/>
            <w:tcBorders>
              <w:top w:val="single" w:color="000000" w:sz="4" w:space="0"/>
              <w:left w:val="single" w:color="000000" w:sz="4" w:space="0"/>
              <w:bottom w:val="single" w:color="000000" w:sz="4" w:space="0"/>
              <w:right w:val="nil"/>
            </w:tcBorders>
            <w:shd w:val="clear" w:color="auto" w:fill="auto"/>
            <w:tcMar>
              <w:top w:w="15" w:type="dxa"/>
              <w:left w:w="15" w:type="dxa"/>
              <w:right w:w="15" w:type="dxa"/>
            </w:tcMar>
            <w:vAlign w:val="center"/>
          </w:tcPr>
          <w:p>
            <w:pPr>
              <w:jc w:val="center"/>
              <w:rPr>
                <w:rFonts w:hint="eastAsia" w:ascii="宋体" w:hAnsi="宋体" w:eastAsia="宋体" w:cs="宋体"/>
                <w:i w:val="0"/>
                <w:color w:val="000000"/>
                <w:sz w:val="20"/>
                <w:szCs w:val="20"/>
                <w:u w:val="none"/>
              </w:rPr>
            </w:pPr>
          </w:p>
        </w:tc>
        <w:tc>
          <w:tcPr>
            <w:tcW w:w="6915" w:type="dxa"/>
            <w:gridSpan w:val="6"/>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总分</w:t>
            </w:r>
          </w:p>
        </w:tc>
        <w:tc>
          <w:tcPr>
            <w:tcW w:w="1386"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default" w:ascii="Calibri" w:hAnsi="Calibri" w:eastAsia="宋体" w:cs="Calibri"/>
                <w:i w:val="0"/>
                <w:color w:val="000000"/>
                <w:sz w:val="20"/>
                <w:szCs w:val="20"/>
                <w:u w:val="none"/>
              </w:rPr>
            </w:pPr>
            <w:r>
              <w:rPr>
                <w:rFonts w:hint="default" w:ascii="Calibri" w:hAnsi="Calibri" w:eastAsia="宋体" w:cs="Calibri"/>
                <w:i w:val="0"/>
                <w:color w:val="000000"/>
                <w:kern w:val="0"/>
                <w:sz w:val="20"/>
                <w:szCs w:val="20"/>
                <w:u w:val="none"/>
                <w:lang w:val="en-US" w:eastAsia="zh-CN" w:bidi="ar"/>
              </w:rPr>
              <w:t>100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907" w:hRule="atLeast"/>
        </w:trPr>
        <w:tc>
          <w:tcPr>
            <w:tcW w:w="1219" w:type="dxa"/>
            <w:tcBorders>
              <w:top w:val="nil"/>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五、</w:t>
            </w:r>
            <w:r>
              <w:rPr>
                <w:rFonts w:ascii="Calibri" w:hAnsi="Calibri" w:eastAsia="宋体" w:cs="Calibri"/>
                <w:i w:val="0"/>
                <w:color w:val="000000"/>
                <w:kern w:val="0"/>
                <w:sz w:val="20"/>
                <w:szCs w:val="20"/>
                <w:u w:val="none"/>
                <w:lang w:val="en-US" w:eastAsia="zh-CN" w:bidi="ar"/>
              </w:rPr>
              <w:t xml:space="preserve"> </w:t>
            </w:r>
            <w:r>
              <w:rPr>
                <w:rFonts w:hint="eastAsia" w:ascii="宋体" w:hAnsi="宋体" w:eastAsia="宋体" w:cs="宋体"/>
                <w:i w:val="0"/>
                <w:color w:val="000000"/>
                <w:kern w:val="0"/>
                <w:sz w:val="20"/>
                <w:szCs w:val="20"/>
                <w:u w:val="none"/>
                <w:lang w:val="en-US" w:eastAsia="zh-CN" w:bidi="ar"/>
              </w:rPr>
              <w:t>存在问题、原因及下一步整改措施</w:t>
            </w:r>
          </w:p>
        </w:tc>
        <w:tc>
          <w:tcPr>
            <w:tcW w:w="8301" w:type="dxa"/>
            <w:gridSpan w:val="7"/>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今后要做好项目前期调研和摸排工作，做好充足的前期准备，对执行过程中可能出现的问题充分预判，做好应急预案，以便项目顺利建设实施。</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377" w:hRule="atLeast"/>
        </w:trPr>
        <w:tc>
          <w:tcPr>
            <w:tcW w:w="0" w:type="auto"/>
            <w:tcBorders>
              <w:top w:val="nil"/>
              <w:left w:val="nil"/>
              <w:bottom w:val="nil"/>
              <w:right w:val="nil"/>
            </w:tcBorders>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填报人：裴辉茹</w:t>
            </w:r>
          </w:p>
        </w:tc>
        <w:tc>
          <w:tcPr>
            <w:tcW w:w="0" w:type="auto"/>
            <w:tcBorders>
              <w:top w:val="nil"/>
              <w:left w:val="nil"/>
              <w:bottom w:val="nil"/>
              <w:right w:val="nil"/>
            </w:tcBorders>
            <w:shd w:val="clear" w:color="auto" w:fill="auto"/>
            <w:noWrap/>
            <w:tcMar>
              <w:top w:w="15" w:type="dxa"/>
              <w:left w:w="15" w:type="dxa"/>
              <w:right w:w="15" w:type="dxa"/>
            </w:tcMar>
            <w:vAlign w:val="center"/>
          </w:tcPr>
          <w:p>
            <w:pPr>
              <w:jc w:val="center"/>
              <w:rPr>
                <w:rFonts w:hint="eastAsia" w:ascii="宋体" w:hAnsi="宋体" w:eastAsia="宋体" w:cs="宋体"/>
                <w:i w:val="0"/>
                <w:color w:val="000000"/>
                <w:sz w:val="20"/>
                <w:szCs w:val="20"/>
                <w:u w:val="none"/>
              </w:rPr>
            </w:pPr>
          </w:p>
        </w:tc>
        <w:tc>
          <w:tcPr>
            <w:tcW w:w="0" w:type="auto"/>
            <w:tcBorders>
              <w:top w:val="nil"/>
              <w:left w:val="nil"/>
              <w:bottom w:val="nil"/>
              <w:right w:val="nil"/>
            </w:tcBorders>
            <w:shd w:val="clear" w:color="auto" w:fill="auto"/>
            <w:noWrap/>
            <w:tcMar>
              <w:top w:w="15" w:type="dxa"/>
              <w:left w:w="15" w:type="dxa"/>
              <w:right w:w="15" w:type="dxa"/>
            </w:tcMar>
            <w:vAlign w:val="center"/>
          </w:tcPr>
          <w:p>
            <w:pPr>
              <w:jc w:val="center"/>
              <w:rPr>
                <w:rFonts w:hint="eastAsia" w:ascii="宋体" w:hAnsi="宋体" w:eastAsia="宋体" w:cs="宋体"/>
                <w:i w:val="0"/>
                <w:color w:val="000000"/>
                <w:sz w:val="20"/>
                <w:szCs w:val="20"/>
                <w:u w:val="none"/>
              </w:rPr>
            </w:pPr>
          </w:p>
        </w:tc>
        <w:tc>
          <w:tcPr>
            <w:tcW w:w="0" w:type="auto"/>
            <w:tcBorders>
              <w:top w:val="nil"/>
              <w:left w:val="nil"/>
              <w:bottom w:val="nil"/>
              <w:right w:val="nil"/>
            </w:tcBorders>
            <w:shd w:val="clear" w:color="auto" w:fill="auto"/>
            <w:noWrap/>
            <w:tcMar>
              <w:top w:w="15" w:type="dxa"/>
              <w:left w:w="15" w:type="dxa"/>
              <w:right w:w="15" w:type="dxa"/>
            </w:tcMar>
            <w:vAlign w:val="center"/>
          </w:tcPr>
          <w:p>
            <w:pPr>
              <w:jc w:val="center"/>
              <w:rPr>
                <w:rFonts w:hint="eastAsia" w:ascii="宋体" w:hAnsi="宋体" w:eastAsia="宋体" w:cs="宋体"/>
                <w:i w:val="0"/>
                <w:color w:val="000000"/>
                <w:sz w:val="20"/>
                <w:szCs w:val="20"/>
                <w:u w:val="none"/>
              </w:rPr>
            </w:pPr>
          </w:p>
        </w:tc>
        <w:tc>
          <w:tcPr>
            <w:tcW w:w="0" w:type="auto"/>
            <w:tcBorders>
              <w:top w:val="nil"/>
              <w:left w:val="nil"/>
              <w:bottom w:val="nil"/>
              <w:right w:val="nil"/>
            </w:tcBorders>
            <w:shd w:val="clear" w:color="auto" w:fill="auto"/>
            <w:noWrap/>
            <w:tcMar>
              <w:top w:w="15" w:type="dxa"/>
              <w:left w:w="15" w:type="dxa"/>
              <w:right w:w="15" w:type="dxa"/>
            </w:tcMar>
            <w:vAlign w:val="center"/>
          </w:tcPr>
          <w:p>
            <w:pPr>
              <w:jc w:val="center"/>
              <w:rPr>
                <w:rFonts w:hint="eastAsia" w:ascii="宋体" w:hAnsi="宋体" w:eastAsia="宋体" w:cs="宋体"/>
                <w:i w:val="0"/>
                <w:color w:val="000000"/>
                <w:sz w:val="20"/>
                <w:szCs w:val="20"/>
                <w:u w:val="none"/>
              </w:rPr>
            </w:pPr>
          </w:p>
        </w:tc>
        <w:tc>
          <w:tcPr>
            <w:tcW w:w="0" w:type="auto"/>
            <w:tcBorders>
              <w:top w:val="nil"/>
              <w:left w:val="nil"/>
              <w:bottom w:val="nil"/>
              <w:right w:val="nil"/>
            </w:tcBorders>
            <w:shd w:val="clear" w:color="auto" w:fill="auto"/>
            <w:noWrap/>
            <w:tcMar>
              <w:top w:w="15" w:type="dxa"/>
              <w:left w:w="15" w:type="dxa"/>
              <w:right w:w="15" w:type="dxa"/>
            </w:tcMar>
            <w:vAlign w:val="center"/>
          </w:tcPr>
          <w:p>
            <w:pPr>
              <w:jc w:val="center"/>
              <w:rPr>
                <w:rFonts w:hint="eastAsia" w:ascii="宋体" w:hAnsi="宋体" w:eastAsia="宋体" w:cs="宋体"/>
                <w:i w:val="0"/>
                <w:color w:val="000000"/>
                <w:sz w:val="20"/>
                <w:szCs w:val="20"/>
                <w:u w:val="none"/>
              </w:rPr>
            </w:pPr>
          </w:p>
        </w:tc>
        <w:tc>
          <w:tcPr>
            <w:tcW w:w="0" w:type="auto"/>
            <w:tcBorders>
              <w:top w:val="nil"/>
              <w:left w:val="nil"/>
              <w:bottom w:val="nil"/>
              <w:right w:val="nil"/>
            </w:tcBorders>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联系电话：</w:t>
            </w:r>
          </w:p>
        </w:tc>
        <w:tc>
          <w:tcPr>
            <w:tcW w:w="0" w:type="auto"/>
            <w:tcBorders>
              <w:top w:val="nil"/>
              <w:left w:val="nil"/>
              <w:bottom w:val="nil"/>
              <w:right w:val="nil"/>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15128151286</w:t>
            </w:r>
          </w:p>
        </w:tc>
      </w:tr>
    </w:tbl>
    <w:p>
      <w:pPr>
        <w:widowControl/>
        <w:spacing w:before="0" w:beforeLines="0" w:beforeAutospacing="0" w:after="0" w:afterLines="0" w:afterAutospacing="0" w:line="360" w:lineRule="auto"/>
        <w:ind w:firstLine="640" w:firstLineChars="200"/>
        <w:jc w:val="left"/>
        <w:rPr>
          <w:rFonts w:ascii="Times New Roman" w:eastAsia="仿宋_GB2312"/>
          <w:sz w:val="32"/>
          <w:szCs w:val="32"/>
        </w:rPr>
      </w:pPr>
    </w:p>
    <w:tbl>
      <w:tblPr>
        <w:tblStyle w:val="11"/>
        <w:tblW w:w="8800"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0" w:type="dxa"/>
          <w:bottom w:w="0" w:type="dxa"/>
          <w:right w:w="0" w:type="dxa"/>
        </w:tblCellMar>
      </w:tblPr>
      <w:tblGrid>
        <w:gridCol w:w="1463"/>
        <w:gridCol w:w="947"/>
        <w:gridCol w:w="673"/>
        <w:gridCol w:w="1109"/>
        <w:gridCol w:w="1036"/>
        <w:gridCol w:w="1012"/>
        <w:gridCol w:w="1094"/>
        <w:gridCol w:w="1466"/>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1000" w:hRule="atLeast"/>
        </w:trPr>
        <w:tc>
          <w:tcPr>
            <w:tcW w:w="8800" w:type="dxa"/>
            <w:gridSpan w:val="8"/>
            <w:tcBorders>
              <w:top w:val="nil"/>
              <w:left w:val="nil"/>
              <w:bottom w:val="nil"/>
              <w:right w:val="nil"/>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ascii="方正小标宋_GBK" w:hAnsi="方正小标宋_GBK" w:eastAsia="方正小标宋_GBK" w:cs="方正小标宋_GBK"/>
                <w:i w:val="0"/>
                <w:color w:val="000000"/>
                <w:sz w:val="44"/>
                <w:szCs w:val="44"/>
                <w:u w:val="none"/>
              </w:rPr>
            </w:pPr>
            <w:r>
              <w:rPr>
                <w:rFonts w:hint="eastAsia" w:ascii="方正小标宋_GBK" w:hAnsi="方正小标宋_GBK" w:eastAsia="方正小标宋_GBK" w:cs="方正小标宋_GBK"/>
                <w:i w:val="0"/>
                <w:color w:val="000000"/>
                <w:kern w:val="0"/>
                <w:sz w:val="44"/>
                <w:szCs w:val="44"/>
                <w:u w:val="none"/>
                <w:lang w:val="en-US" w:eastAsia="zh-CN" w:bidi="ar"/>
              </w:rPr>
              <w:t>县级部门预算项目绩效自评表</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344" w:hRule="atLeast"/>
        </w:trPr>
        <w:tc>
          <w:tcPr>
            <w:tcW w:w="0" w:type="auto"/>
            <w:gridSpan w:val="8"/>
            <w:tcBorders>
              <w:top w:val="nil"/>
              <w:left w:val="nil"/>
              <w:bottom w:val="nil"/>
              <w:right w:val="nil"/>
            </w:tcBorders>
            <w:shd w:val="clear" w:color="auto" w:fill="auto"/>
            <w:noWrap/>
            <w:tcMar>
              <w:top w:w="15" w:type="dxa"/>
              <w:left w:w="15" w:type="dxa"/>
              <w:right w:w="15" w:type="dxa"/>
            </w:tcMar>
            <w:vAlign w:val="bottom"/>
          </w:tcPr>
          <w:p>
            <w:pPr>
              <w:keepNext w:val="0"/>
              <w:keepLines w:val="0"/>
              <w:widowControl/>
              <w:suppressLineNumbers w:val="0"/>
              <w:jc w:val="center"/>
              <w:textAlignment w:val="bottom"/>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     2025 年度）</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344" w:hRule="atLeast"/>
        </w:trPr>
        <w:tc>
          <w:tcPr>
            <w:tcW w:w="0" w:type="auto"/>
            <w:tcBorders>
              <w:top w:val="nil"/>
              <w:left w:val="nil"/>
              <w:bottom w:val="nil"/>
              <w:right w:val="nil"/>
            </w:tcBorders>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填报单位：</w:t>
            </w:r>
          </w:p>
        </w:tc>
        <w:tc>
          <w:tcPr>
            <w:tcW w:w="0" w:type="auto"/>
            <w:tcBorders>
              <w:top w:val="nil"/>
              <w:left w:val="nil"/>
              <w:bottom w:val="nil"/>
              <w:right w:val="nil"/>
            </w:tcBorders>
            <w:shd w:val="clear" w:color="auto" w:fill="auto"/>
            <w:noWrap/>
            <w:tcMar>
              <w:top w:w="15" w:type="dxa"/>
              <w:left w:w="15" w:type="dxa"/>
              <w:right w:w="15" w:type="dxa"/>
            </w:tcMar>
            <w:vAlign w:val="center"/>
          </w:tcPr>
          <w:p>
            <w:pPr>
              <w:jc w:val="center"/>
              <w:rPr>
                <w:rFonts w:hint="eastAsia" w:ascii="宋体" w:hAnsi="宋体" w:eastAsia="宋体" w:cs="宋体"/>
                <w:i w:val="0"/>
                <w:color w:val="000000"/>
                <w:sz w:val="20"/>
                <w:szCs w:val="20"/>
                <w:u w:val="none"/>
              </w:rPr>
            </w:pPr>
          </w:p>
        </w:tc>
        <w:tc>
          <w:tcPr>
            <w:tcW w:w="0" w:type="auto"/>
            <w:tcBorders>
              <w:top w:val="nil"/>
              <w:left w:val="nil"/>
              <w:bottom w:val="nil"/>
              <w:right w:val="nil"/>
            </w:tcBorders>
            <w:shd w:val="clear" w:color="auto" w:fill="auto"/>
            <w:noWrap/>
            <w:tcMar>
              <w:top w:w="15" w:type="dxa"/>
              <w:left w:w="15" w:type="dxa"/>
              <w:right w:w="15" w:type="dxa"/>
            </w:tcMar>
            <w:vAlign w:val="center"/>
          </w:tcPr>
          <w:p>
            <w:pPr>
              <w:jc w:val="center"/>
              <w:rPr>
                <w:rFonts w:hint="eastAsia" w:ascii="宋体" w:hAnsi="宋体" w:eastAsia="宋体" w:cs="宋体"/>
                <w:i w:val="0"/>
                <w:color w:val="000000"/>
                <w:sz w:val="20"/>
                <w:szCs w:val="20"/>
                <w:u w:val="none"/>
              </w:rPr>
            </w:pPr>
          </w:p>
        </w:tc>
        <w:tc>
          <w:tcPr>
            <w:tcW w:w="0" w:type="auto"/>
            <w:tcBorders>
              <w:top w:val="nil"/>
              <w:left w:val="nil"/>
              <w:bottom w:val="nil"/>
              <w:right w:val="nil"/>
            </w:tcBorders>
            <w:shd w:val="clear" w:color="auto" w:fill="auto"/>
            <w:noWrap/>
            <w:tcMar>
              <w:top w:w="15" w:type="dxa"/>
              <w:left w:w="15" w:type="dxa"/>
              <w:right w:w="15" w:type="dxa"/>
            </w:tcMar>
            <w:vAlign w:val="center"/>
          </w:tcPr>
          <w:p>
            <w:pPr>
              <w:jc w:val="center"/>
              <w:rPr>
                <w:rFonts w:hint="eastAsia" w:ascii="宋体" w:hAnsi="宋体" w:eastAsia="宋体" w:cs="宋体"/>
                <w:i w:val="0"/>
                <w:color w:val="000000"/>
                <w:sz w:val="20"/>
                <w:szCs w:val="20"/>
                <w:u w:val="none"/>
              </w:rPr>
            </w:pPr>
          </w:p>
        </w:tc>
        <w:tc>
          <w:tcPr>
            <w:tcW w:w="0" w:type="auto"/>
            <w:tcBorders>
              <w:top w:val="nil"/>
              <w:left w:val="nil"/>
              <w:bottom w:val="nil"/>
              <w:right w:val="nil"/>
            </w:tcBorders>
            <w:shd w:val="clear" w:color="auto" w:fill="auto"/>
            <w:noWrap/>
            <w:tcMar>
              <w:top w:w="15" w:type="dxa"/>
              <w:left w:w="15" w:type="dxa"/>
              <w:right w:w="15" w:type="dxa"/>
            </w:tcMar>
            <w:vAlign w:val="center"/>
          </w:tcPr>
          <w:p>
            <w:pPr>
              <w:jc w:val="center"/>
              <w:rPr>
                <w:rFonts w:hint="eastAsia" w:ascii="宋体" w:hAnsi="宋体" w:eastAsia="宋体" w:cs="宋体"/>
                <w:i w:val="0"/>
                <w:color w:val="000000"/>
                <w:sz w:val="20"/>
                <w:szCs w:val="20"/>
                <w:u w:val="none"/>
              </w:rPr>
            </w:pPr>
          </w:p>
        </w:tc>
        <w:tc>
          <w:tcPr>
            <w:tcW w:w="0" w:type="auto"/>
            <w:tcBorders>
              <w:top w:val="nil"/>
              <w:left w:val="nil"/>
              <w:bottom w:val="nil"/>
              <w:right w:val="nil"/>
            </w:tcBorders>
            <w:shd w:val="clear" w:color="auto" w:fill="auto"/>
            <w:noWrap/>
            <w:tcMar>
              <w:top w:w="15" w:type="dxa"/>
              <w:left w:w="15" w:type="dxa"/>
              <w:right w:w="15" w:type="dxa"/>
            </w:tcMar>
            <w:vAlign w:val="center"/>
          </w:tcPr>
          <w:p>
            <w:pPr>
              <w:jc w:val="center"/>
              <w:rPr>
                <w:rFonts w:hint="eastAsia" w:ascii="宋体" w:hAnsi="宋体" w:eastAsia="宋体" w:cs="宋体"/>
                <w:i w:val="0"/>
                <w:color w:val="000000"/>
                <w:sz w:val="20"/>
                <w:szCs w:val="20"/>
                <w:u w:val="none"/>
              </w:rPr>
            </w:pPr>
          </w:p>
        </w:tc>
        <w:tc>
          <w:tcPr>
            <w:tcW w:w="0" w:type="auto"/>
            <w:tcBorders>
              <w:top w:val="nil"/>
              <w:left w:val="nil"/>
              <w:bottom w:val="nil"/>
              <w:right w:val="nil"/>
            </w:tcBorders>
            <w:shd w:val="clear" w:color="auto" w:fill="auto"/>
            <w:noWrap/>
            <w:tcMar>
              <w:top w:w="15" w:type="dxa"/>
              <w:left w:w="15" w:type="dxa"/>
              <w:right w:w="15" w:type="dxa"/>
            </w:tcMar>
            <w:vAlign w:val="center"/>
          </w:tcPr>
          <w:p>
            <w:pPr>
              <w:jc w:val="center"/>
              <w:rPr>
                <w:rFonts w:hint="eastAsia" w:ascii="宋体" w:hAnsi="宋体" w:eastAsia="宋体" w:cs="宋体"/>
                <w:i w:val="0"/>
                <w:color w:val="000000"/>
                <w:sz w:val="20"/>
                <w:szCs w:val="20"/>
                <w:u w:val="none"/>
              </w:rPr>
            </w:pPr>
          </w:p>
        </w:tc>
        <w:tc>
          <w:tcPr>
            <w:tcW w:w="0" w:type="auto"/>
            <w:tcBorders>
              <w:top w:val="nil"/>
              <w:left w:val="nil"/>
              <w:bottom w:val="nil"/>
              <w:right w:val="nil"/>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金额单位：万元</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425" w:hRule="atLeast"/>
        </w:trPr>
        <w:tc>
          <w:tcPr>
            <w:tcW w:w="1463" w:type="dxa"/>
            <w:tcBorders>
              <w:top w:val="single" w:color="000000" w:sz="4" w:space="0"/>
              <w:left w:val="single" w:color="000000" w:sz="4" w:space="0"/>
              <w:bottom w:val="nil"/>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一、</w:t>
            </w:r>
            <w:r>
              <w:rPr>
                <w:rStyle w:val="28"/>
                <w:rFonts w:eastAsia="宋体"/>
                <w:lang w:val="en-US" w:eastAsia="zh-CN" w:bidi="ar"/>
              </w:rPr>
              <w:t xml:space="preserve"> </w:t>
            </w:r>
            <w:r>
              <w:rPr>
                <w:rFonts w:hint="eastAsia" w:ascii="宋体" w:hAnsi="宋体" w:eastAsia="宋体" w:cs="宋体"/>
                <w:i w:val="0"/>
                <w:color w:val="000000"/>
                <w:kern w:val="0"/>
                <w:sz w:val="20"/>
                <w:szCs w:val="20"/>
                <w:u w:val="none"/>
                <w:lang w:val="en-US" w:eastAsia="zh-CN" w:bidi="ar"/>
              </w:rPr>
              <w:t>基本情况</w:t>
            </w:r>
          </w:p>
        </w:tc>
        <w:tc>
          <w:tcPr>
            <w:tcW w:w="947"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项目名称</w:t>
            </w:r>
          </w:p>
        </w:tc>
        <w:tc>
          <w:tcPr>
            <w:tcW w:w="1782" w:type="dxa"/>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李狄三红色文化经费</w:t>
            </w:r>
          </w:p>
        </w:tc>
        <w:tc>
          <w:tcPr>
            <w:tcW w:w="1036"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实施(主管）单位</w:t>
            </w:r>
          </w:p>
        </w:tc>
        <w:tc>
          <w:tcPr>
            <w:tcW w:w="3572" w:type="dxa"/>
            <w:gridSpan w:val="3"/>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政协办</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682" w:hRule="atLeast"/>
        </w:trPr>
        <w:tc>
          <w:tcPr>
            <w:tcW w:w="1463"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二、预算执行情况</w:t>
            </w:r>
          </w:p>
        </w:tc>
        <w:tc>
          <w:tcPr>
            <w:tcW w:w="1620" w:type="dxa"/>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预算安排情况（调整后）</w:t>
            </w:r>
          </w:p>
        </w:tc>
        <w:tc>
          <w:tcPr>
            <w:tcW w:w="2145" w:type="dxa"/>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资金到位情况</w:t>
            </w:r>
          </w:p>
        </w:tc>
        <w:tc>
          <w:tcPr>
            <w:tcW w:w="2106" w:type="dxa"/>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资金执行情况</w:t>
            </w:r>
          </w:p>
        </w:tc>
        <w:tc>
          <w:tcPr>
            <w:tcW w:w="1466"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预算执行进度</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354" w:hRule="atLeast"/>
        </w:trPr>
        <w:tc>
          <w:tcPr>
            <w:tcW w:w="1463"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宋体" w:hAnsi="宋体" w:eastAsia="宋体" w:cs="宋体"/>
                <w:i w:val="0"/>
                <w:color w:val="000000"/>
                <w:sz w:val="20"/>
                <w:szCs w:val="20"/>
                <w:u w:val="none"/>
              </w:rPr>
            </w:pPr>
          </w:p>
        </w:tc>
        <w:tc>
          <w:tcPr>
            <w:tcW w:w="947"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预算数：</w:t>
            </w:r>
          </w:p>
        </w:tc>
        <w:tc>
          <w:tcPr>
            <w:tcW w:w="673"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righ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13</w:t>
            </w:r>
          </w:p>
        </w:tc>
        <w:tc>
          <w:tcPr>
            <w:tcW w:w="1109"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到位数：</w:t>
            </w:r>
          </w:p>
        </w:tc>
        <w:tc>
          <w:tcPr>
            <w:tcW w:w="1036"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righ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13</w:t>
            </w:r>
          </w:p>
        </w:tc>
        <w:tc>
          <w:tcPr>
            <w:tcW w:w="1012"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执行数：</w:t>
            </w:r>
          </w:p>
        </w:tc>
        <w:tc>
          <w:tcPr>
            <w:tcW w:w="1094"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right"/>
              <w:textAlignment w:val="center"/>
              <w:rPr>
                <w:rFonts w:hint="default" w:ascii="Calibri" w:hAnsi="Calibri" w:eastAsia="宋体" w:cs="Calibri"/>
                <w:i w:val="0"/>
                <w:color w:val="000000"/>
                <w:sz w:val="20"/>
                <w:szCs w:val="20"/>
                <w:u w:val="none"/>
              </w:rPr>
            </w:pPr>
            <w:r>
              <w:rPr>
                <w:rFonts w:hint="default" w:ascii="Calibri" w:hAnsi="Calibri" w:eastAsia="宋体" w:cs="Calibri"/>
                <w:i w:val="0"/>
                <w:color w:val="000000"/>
                <w:kern w:val="0"/>
                <w:sz w:val="20"/>
                <w:szCs w:val="20"/>
                <w:u w:val="none"/>
                <w:lang w:val="en-US" w:eastAsia="zh-CN" w:bidi="ar"/>
              </w:rPr>
              <w:t>13</w:t>
            </w:r>
          </w:p>
        </w:tc>
        <w:tc>
          <w:tcPr>
            <w:tcW w:w="1466"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100%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682" w:hRule="atLeast"/>
        </w:trPr>
        <w:tc>
          <w:tcPr>
            <w:tcW w:w="1463"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宋体" w:hAnsi="宋体" w:eastAsia="宋体" w:cs="宋体"/>
                <w:i w:val="0"/>
                <w:color w:val="000000"/>
                <w:sz w:val="20"/>
                <w:szCs w:val="20"/>
                <w:u w:val="none"/>
              </w:rPr>
            </w:pPr>
          </w:p>
        </w:tc>
        <w:tc>
          <w:tcPr>
            <w:tcW w:w="947"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其中：                 财政资金</w:t>
            </w:r>
          </w:p>
        </w:tc>
        <w:tc>
          <w:tcPr>
            <w:tcW w:w="673"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righ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13</w:t>
            </w:r>
          </w:p>
        </w:tc>
        <w:tc>
          <w:tcPr>
            <w:tcW w:w="1109"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其中：                      财政资金</w:t>
            </w:r>
          </w:p>
        </w:tc>
        <w:tc>
          <w:tcPr>
            <w:tcW w:w="1036"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righ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13</w:t>
            </w:r>
          </w:p>
        </w:tc>
        <w:tc>
          <w:tcPr>
            <w:tcW w:w="1012"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其中：                     财政资金</w:t>
            </w:r>
          </w:p>
        </w:tc>
        <w:tc>
          <w:tcPr>
            <w:tcW w:w="1094"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right"/>
              <w:textAlignment w:val="center"/>
              <w:rPr>
                <w:rFonts w:hint="default" w:ascii="Calibri" w:hAnsi="Calibri" w:eastAsia="宋体" w:cs="Calibri"/>
                <w:i w:val="0"/>
                <w:color w:val="000000"/>
                <w:sz w:val="20"/>
                <w:szCs w:val="20"/>
                <w:u w:val="none"/>
              </w:rPr>
            </w:pPr>
            <w:r>
              <w:rPr>
                <w:rFonts w:hint="default" w:ascii="Calibri" w:hAnsi="Calibri" w:eastAsia="宋体" w:cs="Calibri"/>
                <w:i w:val="0"/>
                <w:color w:val="000000"/>
                <w:kern w:val="0"/>
                <w:sz w:val="20"/>
                <w:szCs w:val="20"/>
                <w:u w:val="none"/>
                <w:lang w:val="en-US" w:eastAsia="zh-CN" w:bidi="ar"/>
              </w:rPr>
              <w:t>13</w:t>
            </w:r>
          </w:p>
        </w:tc>
        <w:tc>
          <w:tcPr>
            <w:tcW w:w="1466"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宋体" w:hAnsi="宋体" w:eastAsia="宋体" w:cs="宋体"/>
                <w:i w:val="0"/>
                <w:color w:val="000000"/>
                <w:sz w:val="20"/>
                <w:szCs w:val="20"/>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354" w:hRule="atLeast"/>
        </w:trPr>
        <w:tc>
          <w:tcPr>
            <w:tcW w:w="1463"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宋体" w:hAnsi="宋体" w:eastAsia="宋体" w:cs="宋体"/>
                <w:i w:val="0"/>
                <w:color w:val="000000"/>
                <w:sz w:val="20"/>
                <w:szCs w:val="20"/>
                <w:u w:val="none"/>
              </w:rPr>
            </w:pPr>
          </w:p>
        </w:tc>
        <w:tc>
          <w:tcPr>
            <w:tcW w:w="947"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其他</w:t>
            </w:r>
          </w:p>
        </w:tc>
        <w:tc>
          <w:tcPr>
            <w:tcW w:w="673"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left"/>
              <w:rPr>
                <w:rFonts w:hint="default" w:ascii="Calibri" w:hAnsi="Calibri" w:eastAsia="宋体" w:cs="Calibri"/>
                <w:i w:val="0"/>
                <w:color w:val="000000"/>
                <w:sz w:val="20"/>
                <w:szCs w:val="20"/>
                <w:u w:val="none"/>
              </w:rPr>
            </w:pPr>
          </w:p>
        </w:tc>
        <w:tc>
          <w:tcPr>
            <w:tcW w:w="1109"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其他</w:t>
            </w:r>
          </w:p>
        </w:tc>
        <w:tc>
          <w:tcPr>
            <w:tcW w:w="1036"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left"/>
              <w:rPr>
                <w:rFonts w:hint="eastAsia" w:ascii="宋体" w:hAnsi="宋体" w:eastAsia="宋体" w:cs="宋体"/>
                <w:i w:val="0"/>
                <w:color w:val="000000"/>
                <w:sz w:val="20"/>
                <w:szCs w:val="20"/>
                <w:u w:val="none"/>
              </w:rPr>
            </w:pPr>
          </w:p>
        </w:tc>
        <w:tc>
          <w:tcPr>
            <w:tcW w:w="1012"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其他</w:t>
            </w:r>
          </w:p>
        </w:tc>
        <w:tc>
          <w:tcPr>
            <w:tcW w:w="1094"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left"/>
              <w:rPr>
                <w:rFonts w:hint="eastAsia" w:ascii="宋体" w:hAnsi="宋体" w:eastAsia="宋体" w:cs="宋体"/>
                <w:i w:val="0"/>
                <w:color w:val="000000"/>
                <w:sz w:val="20"/>
                <w:szCs w:val="20"/>
                <w:u w:val="none"/>
              </w:rPr>
            </w:pPr>
          </w:p>
        </w:tc>
        <w:tc>
          <w:tcPr>
            <w:tcW w:w="1466"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宋体" w:hAnsi="宋体" w:eastAsia="宋体" w:cs="宋体"/>
                <w:i w:val="0"/>
                <w:color w:val="000000"/>
                <w:sz w:val="20"/>
                <w:szCs w:val="20"/>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354" w:hRule="atLeast"/>
        </w:trPr>
        <w:tc>
          <w:tcPr>
            <w:tcW w:w="1463"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三、目标完成情况</w:t>
            </w:r>
          </w:p>
        </w:tc>
        <w:tc>
          <w:tcPr>
            <w:tcW w:w="2729" w:type="dxa"/>
            <w:gridSpan w:val="3"/>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年度预期目标</w:t>
            </w:r>
          </w:p>
        </w:tc>
        <w:tc>
          <w:tcPr>
            <w:tcW w:w="3142" w:type="dxa"/>
            <w:gridSpan w:val="3"/>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具体完成情况</w:t>
            </w:r>
          </w:p>
        </w:tc>
        <w:tc>
          <w:tcPr>
            <w:tcW w:w="1466"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总体完成率</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337" w:hRule="atLeast"/>
        </w:trPr>
        <w:tc>
          <w:tcPr>
            <w:tcW w:w="1463"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宋体" w:hAnsi="宋体" w:eastAsia="宋体" w:cs="宋体"/>
                <w:i w:val="0"/>
                <w:color w:val="000000"/>
                <w:sz w:val="20"/>
                <w:szCs w:val="20"/>
                <w:u w:val="none"/>
              </w:rPr>
            </w:pPr>
          </w:p>
        </w:tc>
        <w:tc>
          <w:tcPr>
            <w:tcW w:w="2729" w:type="dxa"/>
            <w:gridSpan w:val="3"/>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李狄三红色文化历史资料的搜集、研究、论证、撰写、整理、书籍印制工作</w:t>
            </w:r>
          </w:p>
        </w:tc>
        <w:tc>
          <w:tcPr>
            <w:tcW w:w="3142" w:type="dxa"/>
            <w:gridSpan w:val="3"/>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已按时完成李狄三红色文化历史资料的搜集、研究、论证、撰写、整理、书籍印制等工作</w:t>
            </w:r>
          </w:p>
        </w:tc>
        <w:tc>
          <w:tcPr>
            <w:tcW w:w="1466"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100%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337" w:hRule="atLeast"/>
        </w:trPr>
        <w:tc>
          <w:tcPr>
            <w:tcW w:w="1463"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宋体" w:hAnsi="宋体" w:eastAsia="宋体" w:cs="宋体"/>
                <w:i w:val="0"/>
                <w:color w:val="000000"/>
                <w:sz w:val="20"/>
                <w:szCs w:val="20"/>
                <w:u w:val="none"/>
              </w:rPr>
            </w:pPr>
          </w:p>
        </w:tc>
        <w:tc>
          <w:tcPr>
            <w:tcW w:w="2729"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宋体" w:hAnsi="宋体" w:eastAsia="宋体" w:cs="宋体"/>
                <w:i w:val="0"/>
                <w:color w:val="000000"/>
                <w:sz w:val="20"/>
                <w:szCs w:val="20"/>
                <w:u w:val="none"/>
              </w:rPr>
            </w:pPr>
          </w:p>
        </w:tc>
        <w:tc>
          <w:tcPr>
            <w:tcW w:w="3142"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宋体" w:hAnsi="宋体" w:eastAsia="宋体" w:cs="宋体"/>
                <w:i w:val="0"/>
                <w:color w:val="000000"/>
                <w:sz w:val="20"/>
                <w:szCs w:val="20"/>
                <w:u w:val="none"/>
              </w:rPr>
            </w:pPr>
          </w:p>
        </w:tc>
        <w:tc>
          <w:tcPr>
            <w:tcW w:w="1466"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宋体" w:hAnsi="宋体" w:eastAsia="宋体" w:cs="宋体"/>
                <w:i w:val="0"/>
                <w:color w:val="000000"/>
                <w:sz w:val="20"/>
                <w:szCs w:val="20"/>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338" w:hRule="atLeast"/>
        </w:trPr>
        <w:tc>
          <w:tcPr>
            <w:tcW w:w="1463"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宋体" w:hAnsi="宋体" w:eastAsia="宋体" w:cs="宋体"/>
                <w:i w:val="0"/>
                <w:color w:val="000000"/>
                <w:sz w:val="20"/>
                <w:szCs w:val="20"/>
                <w:u w:val="none"/>
              </w:rPr>
            </w:pPr>
          </w:p>
        </w:tc>
        <w:tc>
          <w:tcPr>
            <w:tcW w:w="2729"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宋体" w:hAnsi="宋体" w:eastAsia="宋体" w:cs="宋体"/>
                <w:i w:val="0"/>
                <w:color w:val="000000"/>
                <w:sz w:val="20"/>
                <w:szCs w:val="20"/>
                <w:u w:val="none"/>
              </w:rPr>
            </w:pPr>
          </w:p>
        </w:tc>
        <w:tc>
          <w:tcPr>
            <w:tcW w:w="3142"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宋体" w:hAnsi="宋体" w:eastAsia="宋体" w:cs="宋体"/>
                <w:i w:val="0"/>
                <w:color w:val="000000"/>
                <w:sz w:val="20"/>
                <w:szCs w:val="20"/>
                <w:u w:val="none"/>
              </w:rPr>
            </w:pPr>
          </w:p>
        </w:tc>
        <w:tc>
          <w:tcPr>
            <w:tcW w:w="1466"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宋体" w:hAnsi="宋体" w:eastAsia="宋体" w:cs="宋体"/>
                <w:i w:val="0"/>
                <w:color w:val="000000"/>
                <w:sz w:val="20"/>
                <w:szCs w:val="20"/>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682" w:hRule="atLeast"/>
        </w:trPr>
        <w:tc>
          <w:tcPr>
            <w:tcW w:w="1463" w:type="dxa"/>
            <w:vMerge w:val="restart"/>
            <w:tcBorders>
              <w:top w:val="single" w:color="000000" w:sz="4" w:space="0"/>
              <w:left w:val="single" w:color="000000" w:sz="4" w:space="0"/>
              <w:bottom w:val="single" w:color="000000" w:sz="4" w:space="0"/>
              <w:right w:val="nil"/>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四、</w:t>
            </w:r>
            <w:r>
              <w:rPr>
                <w:rStyle w:val="28"/>
                <w:rFonts w:eastAsia="宋体"/>
                <w:lang w:val="en-US" w:eastAsia="zh-CN" w:bidi="ar"/>
              </w:rPr>
              <w:t xml:space="preserve"> </w:t>
            </w:r>
            <w:r>
              <w:rPr>
                <w:rFonts w:hint="eastAsia" w:ascii="宋体" w:hAnsi="宋体" w:eastAsia="宋体" w:cs="宋体"/>
                <w:i w:val="0"/>
                <w:color w:val="000000"/>
                <w:kern w:val="0"/>
                <w:sz w:val="20"/>
                <w:szCs w:val="20"/>
                <w:u w:val="none"/>
                <w:lang w:val="en-US" w:eastAsia="zh-CN" w:bidi="ar"/>
              </w:rPr>
              <w:t>年度绩效指标完成情况</w:t>
            </w:r>
          </w:p>
        </w:tc>
        <w:tc>
          <w:tcPr>
            <w:tcW w:w="947"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一级指标</w:t>
            </w:r>
          </w:p>
        </w:tc>
        <w:tc>
          <w:tcPr>
            <w:tcW w:w="673"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二级指标</w:t>
            </w:r>
          </w:p>
        </w:tc>
        <w:tc>
          <w:tcPr>
            <w:tcW w:w="2145" w:type="dxa"/>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三级指标</w:t>
            </w:r>
          </w:p>
        </w:tc>
        <w:tc>
          <w:tcPr>
            <w:tcW w:w="1012"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预期指标值</w:t>
            </w:r>
          </w:p>
        </w:tc>
        <w:tc>
          <w:tcPr>
            <w:tcW w:w="1094"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实际完成值</w:t>
            </w:r>
          </w:p>
        </w:tc>
        <w:tc>
          <w:tcPr>
            <w:tcW w:w="1466"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自评得分</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1667" w:hRule="atLeast"/>
        </w:trPr>
        <w:tc>
          <w:tcPr>
            <w:tcW w:w="1463" w:type="dxa"/>
            <w:vMerge w:val="continue"/>
            <w:tcBorders>
              <w:top w:val="single" w:color="000000" w:sz="4" w:space="0"/>
              <w:left w:val="single" w:color="000000" w:sz="4" w:space="0"/>
              <w:bottom w:val="single" w:color="000000" w:sz="4" w:space="0"/>
              <w:right w:val="nil"/>
            </w:tcBorders>
            <w:shd w:val="clear" w:color="auto" w:fill="auto"/>
            <w:tcMar>
              <w:top w:w="15" w:type="dxa"/>
              <w:left w:w="15" w:type="dxa"/>
              <w:right w:w="15" w:type="dxa"/>
            </w:tcMar>
            <w:vAlign w:val="center"/>
          </w:tcPr>
          <w:p>
            <w:pPr>
              <w:jc w:val="center"/>
              <w:rPr>
                <w:rFonts w:hint="eastAsia" w:ascii="宋体" w:hAnsi="宋体" w:eastAsia="宋体" w:cs="宋体"/>
                <w:i w:val="0"/>
                <w:color w:val="000000"/>
                <w:sz w:val="20"/>
                <w:szCs w:val="20"/>
                <w:u w:val="none"/>
              </w:rPr>
            </w:pPr>
          </w:p>
        </w:tc>
        <w:tc>
          <w:tcPr>
            <w:tcW w:w="947" w:type="dxa"/>
            <w:vMerge w:val="restart"/>
            <w:tcBorders>
              <w:top w:val="single" w:color="000000" w:sz="4" w:space="0"/>
              <w:left w:val="single" w:color="000000" w:sz="4" w:space="0"/>
              <w:bottom w:val="nil"/>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产出指标（40）</w:t>
            </w:r>
          </w:p>
        </w:tc>
        <w:tc>
          <w:tcPr>
            <w:tcW w:w="673" w:type="dxa"/>
            <w:tcBorders>
              <w:top w:val="single" w:color="000000" w:sz="4" w:space="0"/>
              <w:left w:val="single" w:color="000000" w:sz="4" w:space="0"/>
              <w:bottom w:val="nil"/>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数量指标</w:t>
            </w:r>
          </w:p>
        </w:tc>
        <w:tc>
          <w:tcPr>
            <w:tcW w:w="0" w:type="auto"/>
            <w:gridSpan w:val="2"/>
            <w:tcBorders>
              <w:top w:val="single" w:color="000000" w:sz="4" w:space="0"/>
              <w:left w:val="single" w:color="000000" w:sz="4" w:space="0"/>
              <w:bottom w:val="nil"/>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default" w:ascii="Calibri" w:hAnsi="Calibri" w:eastAsia="宋体" w:cs="Calibri"/>
                <w:i w:val="0"/>
                <w:color w:val="000000"/>
                <w:sz w:val="20"/>
                <w:szCs w:val="20"/>
                <w:u w:val="none"/>
              </w:rPr>
            </w:pPr>
            <w:r>
              <w:rPr>
                <w:rFonts w:hint="default" w:ascii="Calibri" w:hAnsi="Calibri" w:eastAsia="宋体" w:cs="Calibri"/>
                <w:i w:val="0"/>
                <w:color w:val="000000"/>
                <w:kern w:val="0"/>
                <w:sz w:val="20"/>
                <w:szCs w:val="20"/>
                <w:u w:val="none"/>
                <w:lang w:val="en-US" w:eastAsia="zh-CN" w:bidi="ar"/>
              </w:rPr>
              <w:t>数据整理完成率</w:t>
            </w:r>
          </w:p>
        </w:tc>
        <w:tc>
          <w:tcPr>
            <w:tcW w:w="1012"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考证、搜集、整理、挖掘、编审、印制李狄三红色文化资料</w:t>
            </w:r>
          </w:p>
        </w:tc>
        <w:tc>
          <w:tcPr>
            <w:tcW w:w="1094"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完成</w:t>
            </w:r>
          </w:p>
        </w:tc>
        <w:tc>
          <w:tcPr>
            <w:tcW w:w="1466"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10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1339" w:hRule="atLeast"/>
        </w:trPr>
        <w:tc>
          <w:tcPr>
            <w:tcW w:w="1463" w:type="dxa"/>
            <w:vMerge w:val="continue"/>
            <w:tcBorders>
              <w:top w:val="single" w:color="000000" w:sz="4" w:space="0"/>
              <w:left w:val="single" w:color="000000" w:sz="4" w:space="0"/>
              <w:bottom w:val="single" w:color="000000" w:sz="4" w:space="0"/>
              <w:right w:val="nil"/>
            </w:tcBorders>
            <w:shd w:val="clear" w:color="auto" w:fill="auto"/>
            <w:tcMar>
              <w:top w:w="15" w:type="dxa"/>
              <w:left w:w="15" w:type="dxa"/>
              <w:right w:w="15" w:type="dxa"/>
            </w:tcMar>
            <w:vAlign w:val="center"/>
          </w:tcPr>
          <w:p>
            <w:pPr>
              <w:jc w:val="center"/>
              <w:rPr>
                <w:rFonts w:hint="eastAsia" w:ascii="宋体" w:hAnsi="宋体" w:eastAsia="宋体" w:cs="宋体"/>
                <w:i w:val="0"/>
                <w:color w:val="000000"/>
                <w:sz w:val="20"/>
                <w:szCs w:val="20"/>
                <w:u w:val="none"/>
              </w:rPr>
            </w:pPr>
          </w:p>
        </w:tc>
        <w:tc>
          <w:tcPr>
            <w:tcW w:w="947" w:type="dxa"/>
            <w:vMerge w:val="continue"/>
            <w:tcBorders>
              <w:top w:val="single" w:color="000000" w:sz="4" w:space="0"/>
              <w:left w:val="single" w:color="000000" w:sz="4" w:space="0"/>
              <w:bottom w:val="nil"/>
              <w:right w:val="single" w:color="000000" w:sz="4" w:space="0"/>
            </w:tcBorders>
            <w:shd w:val="clear" w:color="auto" w:fill="auto"/>
            <w:tcMar>
              <w:top w:w="15" w:type="dxa"/>
              <w:left w:w="15" w:type="dxa"/>
              <w:right w:w="15" w:type="dxa"/>
            </w:tcMar>
            <w:vAlign w:val="center"/>
          </w:tcPr>
          <w:p>
            <w:pPr>
              <w:jc w:val="center"/>
              <w:rPr>
                <w:rFonts w:hint="eastAsia" w:ascii="宋体" w:hAnsi="宋体" w:eastAsia="宋体" w:cs="宋体"/>
                <w:i w:val="0"/>
                <w:color w:val="000000"/>
                <w:sz w:val="20"/>
                <w:szCs w:val="20"/>
                <w:u w:val="none"/>
              </w:rPr>
            </w:pPr>
          </w:p>
        </w:tc>
        <w:tc>
          <w:tcPr>
            <w:tcW w:w="673"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质量指标</w:t>
            </w:r>
          </w:p>
        </w:tc>
        <w:tc>
          <w:tcPr>
            <w:tcW w:w="0" w:type="auto"/>
            <w:gridSpan w:val="2"/>
            <w:tcBorders>
              <w:top w:val="single" w:color="000000" w:sz="4" w:space="0"/>
              <w:left w:val="single" w:color="000000" w:sz="4" w:space="0"/>
              <w:bottom w:val="nil"/>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default" w:ascii="Calibri" w:hAnsi="Calibri" w:eastAsia="宋体" w:cs="Calibri"/>
                <w:i w:val="0"/>
                <w:color w:val="000000"/>
                <w:sz w:val="20"/>
                <w:szCs w:val="20"/>
                <w:u w:val="none"/>
              </w:rPr>
            </w:pPr>
            <w:r>
              <w:rPr>
                <w:rFonts w:hint="default" w:ascii="Calibri" w:hAnsi="Calibri" w:eastAsia="宋体" w:cs="Calibri"/>
                <w:i w:val="0"/>
                <w:color w:val="000000"/>
                <w:kern w:val="0"/>
                <w:sz w:val="20"/>
                <w:szCs w:val="20"/>
                <w:u w:val="none"/>
                <w:lang w:val="en-US" w:eastAsia="zh-CN" w:bidi="ar"/>
              </w:rPr>
              <w:t>印制质量</w:t>
            </w:r>
          </w:p>
        </w:tc>
        <w:tc>
          <w:tcPr>
            <w:tcW w:w="1012"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收集整理、印制李狄三红色文化资料</w:t>
            </w:r>
          </w:p>
        </w:tc>
        <w:tc>
          <w:tcPr>
            <w:tcW w:w="1094"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完成</w:t>
            </w:r>
          </w:p>
        </w:tc>
        <w:tc>
          <w:tcPr>
            <w:tcW w:w="1466"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default" w:ascii="Calibri" w:hAnsi="Calibri" w:eastAsia="宋体" w:cs="Calibri"/>
                <w:i w:val="0"/>
                <w:color w:val="000000"/>
                <w:sz w:val="20"/>
                <w:szCs w:val="20"/>
                <w:u w:val="none"/>
              </w:rPr>
            </w:pPr>
            <w:r>
              <w:rPr>
                <w:rFonts w:hint="default" w:ascii="Calibri" w:hAnsi="Calibri" w:eastAsia="宋体" w:cs="Calibri"/>
                <w:i w:val="0"/>
                <w:color w:val="000000"/>
                <w:kern w:val="0"/>
                <w:sz w:val="20"/>
                <w:szCs w:val="20"/>
                <w:u w:val="none"/>
                <w:lang w:val="en-US" w:eastAsia="zh-CN" w:bidi="ar"/>
              </w:rPr>
              <w:t>10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1010" w:hRule="atLeast"/>
        </w:trPr>
        <w:tc>
          <w:tcPr>
            <w:tcW w:w="1463" w:type="dxa"/>
            <w:vMerge w:val="continue"/>
            <w:tcBorders>
              <w:top w:val="single" w:color="000000" w:sz="4" w:space="0"/>
              <w:left w:val="single" w:color="000000" w:sz="4" w:space="0"/>
              <w:bottom w:val="single" w:color="000000" w:sz="4" w:space="0"/>
              <w:right w:val="nil"/>
            </w:tcBorders>
            <w:shd w:val="clear" w:color="auto" w:fill="auto"/>
            <w:tcMar>
              <w:top w:w="15" w:type="dxa"/>
              <w:left w:w="15" w:type="dxa"/>
              <w:right w:w="15" w:type="dxa"/>
            </w:tcMar>
            <w:vAlign w:val="center"/>
          </w:tcPr>
          <w:p>
            <w:pPr>
              <w:jc w:val="center"/>
              <w:rPr>
                <w:rFonts w:hint="eastAsia" w:ascii="宋体" w:hAnsi="宋体" w:eastAsia="宋体" w:cs="宋体"/>
                <w:i w:val="0"/>
                <w:color w:val="000000"/>
                <w:sz w:val="20"/>
                <w:szCs w:val="20"/>
                <w:u w:val="none"/>
              </w:rPr>
            </w:pPr>
          </w:p>
        </w:tc>
        <w:tc>
          <w:tcPr>
            <w:tcW w:w="947" w:type="dxa"/>
            <w:vMerge w:val="continue"/>
            <w:tcBorders>
              <w:top w:val="single" w:color="000000" w:sz="4" w:space="0"/>
              <w:left w:val="single" w:color="000000" w:sz="4" w:space="0"/>
              <w:bottom w:val="nil"/>
              <w:right w:val="single" w:color="000000" w:sz="4" w:space="0"/>
            </w:tcBorders>
            <w:shd w:val="clear" w:color="auto" w:fill="auto"/>
            <w:tcMar>
              <w:top w:w="15" w:type="dxa"/>
              <w:left w:w="15" w:type="dxa"/>
              <w:right w:w="15" w:type="dxa"/>
            </w:tcMar>
            <w:vAlign w:val="center"/>
          </w:tcPr>
          <w:p>
            <w:pPr>
              <w:jc w:val="center"/>
              <w:rPr>
                <w:rFonts w:hint="eastAsia" w:ascii="宋体" w:hAnsi="宋体" w:eastAsia="宋体" w:cs="宋体"/>
                <w:i w:val="0"/>
                <w:color w:val="000000"/>
                <w:sz w:val="20"/>
                <w:szCs w:val="20"/>
                <w:u w:val="none"/>
              </w:rPr>
            </w:pPr>
          </w:p>
        </w:tc>
        <w:tc>
          <w:tcPr>
            <w:tcW w:w="673"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时效指标</w:t>
            </w:r>
          </w:p>
        </w:tc>
        <w:tc>
          <w:tcPr>
            <w:tcW w:w="0" w:type="auto"/>
            <w:gridSpan w:val="2"/>
            <w:tcBorders>
              <w:top w:val="single" w:color="000000" w:sz="4" w:space="0"/>
              <w:left w:val="single" w:color="000000" w:sz="4" w:space="0"/>
              <w:bottom w:val="nil"/>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default" w:ascii="Calibri" w:hAnsi="Calibri" w:eastAsia="宋体" w:cs="Calibri"/>
                <w:i w:val="0"/>
                <w:color w:val="000000"/>
                <w:sz w:val="20"/>
                <w:szCs w:val="20"/>
                <w:u w:val="none"/>
              </w:rPr>
            </w:pPr>
            <w:r>
              <w:rPr>
                <w:rFonts w:hint="default" w:ascii="Calibri" w:hAnsi="Calibri" w:eastAsia="宋体" w:cs="Calibri"/>
                <w:i w:val="0"/>
                <w:color w:val="000000"/>
                <w:kern w:val="0"/>
                <w:sz w:val="20"/>
                <w:szCs w:val="20"/>
                <w:u w:val="none"/>
                <w:lang w:val="en-US" w:eastAsia="zh-CN" w:bidi="ar"/>
              </w:rPr>
              <w:t>按时完成编制规划任务</w:t>
            </w:r>
          </w:p>
        </w:tc>
        <w:tc>
          <w:tcPr>
            <w:tcW w:w="1012"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各项红色文化工作任务按时完成</w:t>
            </w:r>
          </w:p>
        </w:tc>
        <w:tc>
          <w:tcPr>
            <w:tcW w:w="1094"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完成</w:t>
            </w:r>
          </w:p>
        </w:tc>
        <w:tc>
          <w:tcPr>
            <w:tcW w:w="1466"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default" w:ascii="Calibri" w:hAnsi="Calibri" w:eastAsia="宋体" w:cs="Calibri"/>
                <w:i w:val="0"/>
                <w:color w:val="000000"/>
                <w:sz w:val="20"/>
                <w:szCs w:val="20"/>
                <w:u w:val="none"/>
              </w:rPr>
            </w:pPr>
            <w:r>
              <w:rPr>
                <w:rFonts w:hint="default" w:ascii="Calibri" w:hAnsi="Calibri" w:eastAsia="宋体" w:cs="Calibri"/>
                <w:i w:val="0"/>
                <w:color w:val="000000"/>
                <w:kern w:val="0"/>
                <w:sz w:val="20"/>
                <w:szCs w:val="20"/>
                <w:u w:val="none"/>
                <w:lang w:val="en-US" w:eastAsia="zh-CN" w:bidi="ar"/>
              </w:rPr>
              <w:t>10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1010" w:hRule="atLeast"/>
        </w:trPr>
        <w:tc>
          <w:tcPr>
            <w:tcW w:w="1463" w:type="dxa"/>
            <w:vMerge w:val="continue"/>
            <w:tcBorders>
              <w:top w:val="single" w:color="000000" w:sz="4" w:space="0"/>
              <w:left w:val="single" w:color="000000" w:sz="4" w:space="0"/>
              <w:bottom w:val="single" w:color="000000" w:sz="4" w:space="0"/>
              <w:right w:val="nil"/>
            </w:tcBorders>
            <w:shd w:val="clear" w:color="auto" w:fill="auto"/>
            <w:tcMar>
              <w:top w:w="15" w:type="dxa"/>
              <w:left w:w="15" w:type="dxa"/>
              <w:right w:w="15" w:type="dxa"/>
            </w:tcMar>
            <w:vAlign w:val="center"/>
          </w:tcPr>
          <w:p>
            <w:pPr>
              <w:jc w:val="center"/>
              <w:rPr>
                <w:rFonts w:hint="eastAsia" w:ascii="宋体" w:hAnsi="宋体" w:eastAsia="宋体" w:cs="宋体"/>
                <w:i w:val="0"/>
                <w:color w:val="000000"/>
                <w:sz w:val="20"/>
                <w:szCs w:val="20"/>
                <w:u w:val="none"/>
              </w:rPr>
            </w:pPr>
          </w:p>
        </w:tc>
        <w:tc>
          <w:tcPr>
            <w:tcW w:w="947" w:type="dxa"/>
            <w:vMerge w:val="continue"/>
            <w:tcBorders>
              <w:top w:val="single" w:color="000000" w:sz="4" w:space="0"/>
              <w:left w:val="single" w:color="000000" w:sz="4" w:space="0"/>
              <w:bottom w:val="nil"/>
              <w:right w:val="single" w:color="000000" w:sz="4" w:space="0"/>
            </w:tcBorders>
            <w:shd w:val="clear" w:color="auto" w:fill="auto"/>
            <w:tcMar>
              <w:top w:w="15" w:type="dxa"/>
              <w:left w:w="15" w:type="dxa"/>
              <w:right w:w="15" w:type="dxa"/>
            </w:tcMar>
            <w:vAlign w:val="center"/>
          </w:tcPr>
          <w:p>
            <w:pPr>
              <w:jc w:val="center"/>
              <w:rPr>
                <w:rFonts w:hint="eastAsia" w:ascii="宋体" w:hAnsi="宋体" w:eastAsia="宋体" w:cs="宋体"/>
                <w:i w:val="0"/>
                <w:color w:val="000000"/>
                <w:sz w:val="20"/>
                <w:szCs w:val="20"/>
                <w:u w:val="none"/>
              </w:rPr>
            </w:pPr>
          </w:p>
        </w:tc>
        <w:tc>
          <w:tcPr>
            <w:tcW w:w="673"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成本指标</w:t>
            </w:r>
          </w:p>
        </w:tc>
        <w:tc>
          <w:tcPr>
            <w:tcW w:w="0" w:type="auto"/>
            <w:gridSpan w:val="2"/>
            <w:tcBorders>
              <w:top w:val="single" w:color="000000" w:sz="4" w:space="0"/>
              <w:left w:val="single" w:color="000000" w:sz="4" w:space="0"/>
              <w:bottom w:val="nil"/>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default" w:ascii="Calibri" w:hAnsi="Calibri" w:eastAsia="宋体" w:cs="Calibri"/>
                <w:i w:val="0"/>
                <w:color w:val="000000"/>
                <w:sz w:val="20"/>
                <w:szCs w:val="20"/>
                <w:u w:val="none"/>
              </w:rPr>
            </w:pPr>
            <w:r>
              <w:rPr>
                <w:rFonts w:hint="default" w:ascii="Calibri" w:hAnsi="Calibri" w:eastAsia="宋体" w:cs="Calibri"/>
                <w:i w:val="0"/>
                <w:color w:val="000000"/>
                <w:kern w:val="0"/>
                <w:sz w:val="20"/>
                <w:szCs w:val="20"/>
                <w:u w:val="none"/>
                <w:lang w:val="en-US" w:eastAsia="zh-CN" w:bidi="ar"/>
              </w:rPr>
              <w:t>成本控制</w:t>
            </w:r>
          </w:p>
        </w:tc>
        <w:tc>
          <w:tcPr>
            <w:tcW w:w="1012"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红色文化经费使用合理度</w:t>
            </w:r>
          </w:p>
        </w:tc>
        <w:tc>
          <w:tcPr>
            <w:tcW w:w="1094"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完成</w:t>
            </w:r>
          </w:p>
        </w:tc>
        <w:tc>
          <w:tcPr>
            <w:tcW w:w="1466"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default" w:ascii="Calibri" w:hAnsi="Calibri" w:eastAsia="宋体" w:cs="Calibri"/>
                <w:i w:val="0"/>
                <w:color w:val="000000"/>
                <w:sz w:val="20"/>
                <w:szCs w:val="20"/>
                <w:u w:val="none"/>
              </w:rPr>
            </w:pPr>
            <w:r>
              <w:rPr>
                <w:rFonts w:hint="default" w:ascii="Calibri" w:hAnsi="Calibri" w:eastAsia="宋体" w:cs="Calibri"/>
                <w:i w:val="0"/>
                <w:color w:val="000000"/>
                <w:kern w:val="0"/>
                <w:sz w:val="20"/>
                <w:szCs w:val="20"/>
                <w:u w:val="none"/>
                <w:lang w:val="en-US" w:eastAsia="zh-CN" w:bidi="ar"/>
              </w:rPr>
              <w:t>10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1010" w:hRule="atLeast"/>
        </w:trPr>
        <w:tc>
          <w:tcPr>
            <w:tcW w:w="1463" w:type="dxa"/>
            <w:vMerge w:val="continue"/>
            <w:tcBorders>
              <w:top w:val="single" w:color="000000" w:sz="4" w:space="0"/>
              <w:left w:val="single" w:color="000000" w:sz="4" w:space="0"/>
              <w:bottom w:val="single" w:color="000000" w:sz="4" w:space="0"/>
              <w:right w:val="nil"/>
            </w:tcBorders>
            <w:shd w:val="clear" w:color="auto" w:fill="auto"/>
            <w:tcMar>
              <w:top w:w="15" w:type="dxa"/>
              <w:left w:w="15" w:type="dxa"/>
              <w:right w:w="15" w:type="dxa"/>
            </w:tcMar>
            <w:vAlign w:val="center"/>
          </w:tcPr>
          <w:p>
            <w:pPr>
              <w:jc w:val="center"/>
              <w:rPr>
                <w:rFonts w:hint="eastAsia" w:ascii="宋体" w:hAnsi="宋体" w:eastAsia="宋体" w:cs="宋体"/>
                <w:i w:val="0"/>
                <w:color w:val="000000"/>
                <w:sz w:val="20"/>
                <w:szCs w:val="20"/>
                <w:u w:val="none"/>
              </w:rPr>
            </w:pPr>
          </w:p>
        </w:tc>
        <w:tc>
          <w:tcPr>
            <w:tcW w:w="947"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预算执行率指标</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（10分）</w:t>
            </w:r>
          </w:p>
        </w:tc>
        <w:tc>
          <w:tcPr>
            <w:tcW w:w="673" w:type="dxa"/>
            <w:tcBorders>
              <w:top w:val="nil"/>
              <w:left w:val="nil"/>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预算执行率</w:t>
            </w:r>
          </w:p>
        </w:tc>
        <w:tc>
          <w:tcPr>
            <w:tcW w:w="2145" w:type="dxa"/>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按期完成各项工作</w:t>
            </w:r>
          </w:p>
        </w:tc>
        <w:tc>
          <w:tcPr>
            <w:tcW w:w="1012"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达到社会满意</w:t>
            </w:r>
          </w:p>
        </w:tc>
        <w:tc>
          <w:tcPr>
            <w:tcW w:w="1094"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完成</w:t>
            </w:r>
          </w:p>
        </w:tc>
        <w:tc>
          <w:tcPr>
            <w:tcW w:w="1466"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default" w:ascii="Calibri" w:hAnsi="Calibri" w:eastAsia="宋体" w:cs="Calibri"/>
                <w:i w:val="0"/>
                <w:color w:val="000000"/>
                <w:sz w:val="20"/>
                <w:szCs w:val="20"/>
                <w:u w:val="none"/>
              </w:rPr>
            </w:pPr>
            <w:r>
              <w:rPr>
                <w:rFonts w:hint="default" w:ascii="Calibri" w:hAnsi="Calibri" w:eastAsia="宋体" w:cs="Calibri"/>
                <w:i w:val="0"/>
                <w:color w:val="000000"/>
                <w:kern w:val="0"/>
                <w:sz w:val="20"/>
                <w:szCs w:val="20"/>
                <w:u w:val="none"/>
                <w:lang w:val="en-US" w:eastAsia="zh-CN" w:bidi="ar"/>
              </w:rPr>
              <w:t>10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1339" w:hRule="atLeast"/>
        </w:trPr>
        <w:tc>
          <w:tcPr>
            <w:tcW w:w="1463" w:type="dxa"/>
            <w:vMerge w:val="continue"/>
            <w:tcBorders>
              <w:top w:val="single" w:color="000000" w:sz="4" w:space="0"/>
              <w:left w:val="single" w:color="000000" w:sz="4" w:space="0"/>
              <w:bottom w:val="single" w:color="000000" w:sz="4" w:space="0"/>
              <w:right w:val="nil"/>
            </w:tcBorders>
            <w:shd w:val="clear" w:color="auto" w:fill="auto"/>
            <w:tcMar>
              <w:top w:w="15" w:type="dxa"/>
              <w:left w:w="15" w:type="dxa"/>
              <w:right w:w="15" w:type="dxa"/>
            </w:tcMar>
            <w:vAlign w:val="center"/>
          </w:tcPr>
          <w:p>
            <w:pPr>
              <w:jc w:val="center"/>
              <w:rPr>
                <w:rFonts w:hint="eastAsia" w:ascii="宋体" w:hAnsi="宋体" w:eastAsia="宋体" w:cs="宋体"/>
                <w:i w:val="0"/>
                <w:color w:val="000000"/>
                <w:sz w:val="20"/>
                <w:szCs w:val="20"/>
                <w:u w:val="none"/>
              </w:rPr>
            </w:pPr>
          </w:p>
        </w:tc>
        <w:tc>
          <w:tcPr>
            <w:tcW w:w="947" w:type="dxa"/>
            <w:vMerge w:val="restart"/>
            <w:tcBorders>
              <w:top w:val="nil"/>
              <w:left w:val="single" w:color="000000" w:sz="4" w:space="0"/>
              <w:bottom w:val="nil"/>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效益指标（40）</w:t>
            </w:r>
          </w:p>
        </w:tc>
        <w:tc>
          <w:tcPr>
            <w:tcW w:w="673" w:type="dxa"/>
            <w:tcBorders>
              <w:top w:val="single" w:color="000000" w:sz="4" w:space="0"/>
              <w:left w:val="nil"/>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经济效益指标</w:t>
            </w:r>
          </w:p>
        </w:tc>
        <w:tc>
          <w:tcPr>
            <w:tcW w:w="2145" w:type="dxa"/>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助推经济发展</w:t>
            </w:r>
          </w:p>
        </w:tc>
        <w:tc>
          <w:tcPr>
            <w:tcW w:w="1012"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红色文化发展带动相关产业发展</w:t>
            </w:r>
          </w:p>
        </w:tc>
        <w:tc>
          <w:tcPr>
            <w:tcW w:w="1094"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完成</w:t>
            </w:r>
          </w:p>
        </w:tc>
        <w:tc>
          <w:tcPr>
            <w:tcW w:w="1466"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default" w:ascii="Calibri" w:hAnsi="Calibri" w:eastAsia="宋体" w:cs="Calibri"/>
                <w:i w:val="0"/>
                <w:color w:val="000000"/>
                <w:sz w:val="20"/>
                <w:szCs w:val="20"/>
                <w:u w:val="none"/>
              </w:rPr>
            </w:pPr>
            <w:r>
              <w:rPr>
                <w:rFonts w:hint="default" w:ascii="Calibri" w:hAnsi="Calibri" w:eastAsia="宋体" w:cs="Calibri"/>
                <w:i w:val="0"/>
                <w:color w:val="000000"/>
                <w:kern w:val="0"/>
                <w:sz w:val="20"/>
                <w:szCs w:val="20"/>
                <w:u w:val="none"/>
                <w:lang w:val="en-US" w:eastAsia="zh-CN" w:bidi="ar"/>
              </w:rPr>
              <w:t>10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682" w:hRule="atLeast"/>
        </w:trPr>
        <w:tc>
          <w:tcPr>
            <w:tcW w:w="1463" w:type="dxa"/>
            <w:vMerge w:val="continue"/>
            <w:tcBorders>
              <w:top w:val="single" w:color="000000" w:sz="4" w:space="0"/>
              <w:left w:val="single" w:color="000000" w:sz="4" w:space="0"/>
              <w:bottom w:val="single" w:color="000000" w:sz="4" w:space="0"/>
              <w:right w:val="nil"/>
            </w:tcBorders>
            <w:shd w:val="clear" w:color="auto" w:fill="auto"/>
            <w:tcMar>
              <w:top w:w="15" w:type="dxa"/>
              <w:left w:w="15" w:type="dxa"/>
              <w:right w:w="15" w:type="dxa"/>
            </w:tcMar>
            <w:vAlign w:val="center"/>
          </w:tcPr>
          <w:p>
            <w:pPr>
              <w:jc w:val="center"/>
              <w:rPr>
                <w:rFonts w:hint="eastAsia" w:ascii="宋体" w:hAnsi="宋体" w:eastAsia="宋体" w:cs="宋体"/>
                <w:i w:val="0"/>
                <w:color w:val="000000"/>
                <w:sz w:val="20"/>
                <w:szCs w:val="20"/>
                <w:u w:val="none"/>
              </w:rPr>
            </w:pPr>
          </w:p>
        </w:tc>
        <w:tc>
          <w:tcPr>
            <w:tcW w:w="947" w:type="dxa"/>
            <w:vMerge w:val="continue"/>
            <w:tcBorders>
              <w:top w:val="nil"/>
              <w:left w:val="single" w:color="000000" w:sz="4" w:space="0"/>
              <w:bottom w:val="nil"/>
              <w:right w:val="single" w:color="000000" w:sz="4" w:space="0"/>
            </w:tcBorders>
            <w:shd w:val="clear" w:color="auto" w:fill="auto"/>
            <w:tcMar>
              <w:top w:w="15" w:type="dxa"/>
              <w:left w:w="15" w:type="dxa"/>
              <w:right w:w="15" w:type="dxa"/>
            </w:tcMar>
            <w:vAlign w:val="center"/>
          </w:tcPr>
          <w:p>
            <w:pPr>
              <w:jc w:val="center"/>
              <w:rPr>
                <w:rFonts w:hint="eastAsia" w:ascii="宋体" w:hAnsi="宋体" w:eastAsia="宋体" w:cs="宋体"/>
                <w:i w:val="0"/>
                <w:color w:val="000000"/>
                <w:sz w:val="20"/>
                <w:szCs w:val="20"/>
                <w:u w:val="none"/>
              </w:rPr>
            </w:pPr>
          </w:p>
        </w:tc>
        <w:tc>
          <w:tcPr>
            <w:tcW w:w="673" w:type="dxa"/>
            <w:tcBorders>
              <w:top w:val="single" w:color="000000" w:sz="4" w:space="0"/>
              <w:left w:val="nil"/>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社会效益指标</w:t>
            </w:r>
          </w:p>
        </w:tc>
        <w:tc>
          <w:tcPr>
            <w:tcW w:w="2145" w:type="dxa"/>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社会影响面广</w:t>
            </w:r>
          </w:p>
        </w:tc>
        <w:tc>
          <w:tcPr>
            <w:tcW w:w="1012"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红色文化社  会影响力</w:t>
            </w:r>
          </w:p>
        </w:tc>
        <w:tc>
          <w:tcPr>
            <w:tcW w:w="1094"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完成</w:t>
            </w:r>
          </w:p>
        </w:tc>
        <w:tc>
          <w:tcPr>
            <w:tcW w:w="1466"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default" w:ascii="Calibri" w:hAnsi="Calibri" w:eastAsia="宋体" w:cs="Calibri"/>
                <w:i w:val="0"/>
                <w:color w:val="000000"/>
                <w:sz w:val="20"/>
                <w:szCs w:val="20"/>
                <w:u w:val="none"/>
              </w:rPr>
            </w:pPr>
            <w:r>
              <w:rPr>
                <w:rFonts w:hint="default" w:ascii="Calibri" w:hAnsi="Calibri" w:eastAsia="宋体" w:cs="Calibri"/>
                <w:i w:val="0"/>
                <w:color w:val="000000"/>
                <w:kern w:val="0"/>
                <w:sz w:val="20"/>
                <w:szCs w:val="20"/>
                <w:u w:val="none"/>
                <w:lang w:val="en-US" w:eastAsia="zh-CN" w:bidi="ar"/>
              </w:rPr>
              <w:t>10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682" w:hRule="atLeast"/>
        </w:trPr>
        <w:tc>
          <w:tcPr>
            <w:tcW w:w="1463" w:type="dxa"/>
            <w:vMerge w:val="continue"/>
            <w:tcBorders>
              <w:top w:val="single" w:color="000000" w:sz="4" w:space="0"/>
              <w:left w:val="single" w:color="000000" w:sz="4" w:space="0"/>
              <w:bottom w:val="single" w:color="000000" w:sz="4" w:space="0"/>
              <w:right w:val="nil"/>
            </w:tcBorders>
            <w:shd w:val="clear" w:color="auto" w:fill="auto"/>
            <w:tcMar>
              <w:top w:w="15" w:type="dxa"/>
              <w:left w:w="15" w:type="dxa"/>
              <w:right w:w="15" w:type="dxa"/>
            </w:tcMar>
            <w:vAlign w:val="center"/>
          </w:tcPr>
          <w:p>
            <w:pPr>
              <w:jc w:val="center"/>
              <w:rPr>
                <w:rFonts w:hint="eastAsia" w:ascii="宋体" w:hAnsi="宋体" w:eastAsia="宋体" w:cs="宋体"/>
                <w:i w:val="0"/>
                <w:color w:val="000000"/>
                <w:sz w:val="20"/>
                <w:szCs w:val="20"/>
                <w:u w:val="none"/>
              </w:rPr>
            </w:pPr>
          </w:p>
        </w:tc>
        <w:tc>
          <w:tcPr>
            <w:tcW w:w="947" w:type="dxa"/>
            <w:vMerge w:val="continue"/>
            <w:tcBorders>
              <w:top w:val="nil"/>
              <w:left w:val="single" w:color="000000" w:sz="4" w:space="0"/>
              <w:bottom w:val="nil"/>
              <w:right w:val="single" w:color="000000" w:sz="4" w:space="0"/>
            </w:tcBorders>
            <w:shd w:val="clear" w:color="auto" w:fill="auto"/>
            <w:tcMar>
              <w:top w:w="15" w:type="dxa"/>
              <w:left w:w="15" w:type="dxa"/>
              <w:right w:w="15" w:type="dxa"/>
            </w:tcMar>
            <w:vAlign w:val="center"/>
          </w:tcPr>
          <w:p>
            <w:pPr>
              <w:jc w:val="center"/>
              <w:rPr>
                <w:rFonts w:hint="eastAsia" w:ascii="宋体" w:hAnsi="宋体" w:eastAsia="宋体" w:cs="宋体"/>
                <w:i w:val="0"/>
                <w:color w:val="000000"/>
                <w:sz w:val="20"/>
                <w:szCs w:val="20"/>
                <w:u w:val="none"/>
              </w:rPr>
            </w:pPr>
          </w:p>
        </w:tc>
        <w:tc>
          <w:tcPr>
            <w:tcW w:w="673" w:type="dxa"/>
            <w:tcBorders>
              <w:top w:val="single" w:color="000000" w:sz="4" w:space="0"/>
              <w:left w:val="nil"/>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生态效益指标</w:t>
            </w:r>
          </w:p>
        </w:tc>
        <w:tc>
          <w:tcPr>
            <w:tcW w:w="2145" w:type="dxa"/>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营造良好政治生态</w:t>
            </w:r>
          </w:p>
        </w:tc>
        <w:tc>
          <w:tcPr>
            <w:tcW w:w="1012" w:type="dxa"/>
            <w:tcBorders>
              <w:top w:val="single" w:color="000000" w:sz="4" w:space="0"/>
              <w:left w:val="single" w:color="000000" w:sz="4" w:space="0"/>
              <w:bottom w:val="nil"/>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社会生态好</w:t>
            </w:r>
          </w:p>
        </w:tc>
        <w:tc>
          <w:tcPr>
            <w:tcW w:w="1094"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完成</w:t>
            </w:r>
          </w:p>
        </w:tc>
        <w:tc>
          <w:tcPr>
            <w:tcW w:w="1466"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default" w:ascii="Calibri" w:hAnsi="Calibri" w:eastAsia="宋体" w:cs="Calibri"/>
                <w:i w:val="0"/>
                <w:color w:val="000000"/>
                <w:sz w:val="20"/>
                <w:szCs w:val="20"/>
                <w:u w:val="none"/>
              </w:rPr>
            </w:pPr>
            <w:r>
              <w:rPr>
                <w:rFonts w:hint="default" w:ascii="Calibri" w:hAnsi="Calibri" w:eastAsia="宋体" w:cs="Calibri"/>
                <w:i w:val="0"/>
                <w:color w:val="000000"/>
                <w:kern w:val="0"/>
                <w:sz w:val="20"/>
                <w:szCs w:val="20"/>
                <w:u w:val="none"/>
                <w:lang w:val="en-US" w:eastAsia="zh-CN" w:bidi="ar"/>
              </w:rPr>
              <w:t>10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1667" w:hRule="atLeast"/>
        </w:trPr>
        <w:tc>
          <w:tcPr>
            <w:tcW w:w="1463" w:type="dxa"/>
            <w:vMerge w:val="continue"/>
            <w:tcBorders>
              <w:top w:val="single" w:color="000000" w:sz="4" w:space="0"/>
              <w:left w:val="single" w:color="000000" w:sz="4" w:space="0"/>
              <w:bottom w:val="single" w:color="000000" w:sz="4" w:space="0"/>
              <w:right w:val="nil"/>
            </w:tcBorders>
            <w:shd w:val="clear" w:color="auto" w:fill="auto"/>
            <w:tcMar>
              <w:top w:w="15" w:type="dxa"/>
              <w:left w:w="15" w:type="dxa"/>
              <w:right w:w="15" w:type="dxa"/>
            </w:tcMar>
            <w:vAlign w:val="center"/>
          </w:tcPr>
          <w:p>
            <w:pPr>
              <w:jc w:val="center"/>
              <w:rPr>
                <w:rFonts w:hint="eastAsia" w:ascii="宋体" w:hAnsi="宋体" w:eastAsia="宋体" w:cs="宋体"/>
                <w:i w:val="0"/>
                <w:color w:val="000000"/>
                <w:sz w:val="20"/>
                <w:szCs w:val="20"/>
                <w:u w:val="none"/>
              </w:rPr>
            </w:pPr>
          </w:p>
        </w:tc>
        <w:tc>
          <w:tcPr>
            <w:tcW w:w="947" w:type="dxa"/>
            <w:vMerge w:val="continue"/>
            <w:tcBorders>
              <w:top w:val="nil"/>
              <w:left w:val="single" w:color="000000" w:sz="4" w:space="0"/>
              <w:bottom w:val="nil"/>
              <w:right w:val="single" w:color="000000" w:sz="4" w:space="0"/>
            </w:tcBorders>
            <w:shd w:val="clear" w:color="auto" w:fill="auto"/>
            <w:tcMar>
              <w:top w:w="15" w:type="dxa"/>
              <w:left w:w="15" w:type="dxa"/>
              <w:right w:w="15" w:type="dxa"/>
            </w:tcMar>
            <w:vAlign w:val="center"/>
          </w:tcPr>
          <w:p>
            <w:pPr>
              <w:jc w:val="center"/>
              <w:rPr>
                <w:rFonts w:hint="eastAsia" w:ascii="宋体" w:hAnsi="宋体" w:eastAsia="宋体" w:cs="宋体"/>
                <w:i w:val="0"/>
                <w:color w:val="000000"/>
                <w:sz w:val="20"/>
                <w:szCs w:val="20"/>
                <w:u w:val="none"/>
              </w:rPr>
            </w:pPr>
          </w:p>
        </w:tc>
        <w:tc>
          <w:tcPr>
            <w:tcW w:w="673" w:type="dxa"/>
            <w:tcBorders>
              <w:top w:val="single" w:color="000000" w:sz="4" w:space="0"/>
              <w:left w:val="nil"/>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可持续影响指标</w:t>
            </w:r>
          </w:p>
        </w:tc>
        <w:tc>
          <w:tcPr>
            <w:tcW w:w="2145" w:type="dxa"/>
            <w:gridSpan w:val="2"/>
            <w:tcBorders>
              <w:top w:val="single" w:color="000000" w:sz="4" w:space="0"/>
              <w:left w:val="single" w:color="000000" w:sz="4" w:space="0"/>
              <w:bottom w:val="nil"/>
              <w:right w:val="nil"/>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default" w:ascii="Calibri" w:hAnsi="Calibri" w:eastAsia="宋体" w:cs="Calibri"/>
                <w:i w:val="0"/>
                <w:color w:val="000000"/>
                <w:sz w:val="20"/>
                <w:szCs w:val="20"/>
                <w:u w:val="none"/>
              </w:rPr>
            </w:pPr>
            <w:r>
              <w:rPr>
                <w:rFonts w:hint="default" w:ascii="Calibri" w:hAnsi="Calibri" w:eastAsia="宋体" w:cs="Calibri"/>
                <w:i w:val="0"/>
                <w:color w:val="000000"/>
                <w:kern w:val="0"/>
                <w:sz w:val="20"/>
                <w:szCs w:val="20"/>
                <w:u w:val="none"/>
                <w:lang w:val="en-US" w:eastAsia="zh-CN" w:bidi="ar"/>
              </w:rPr>
              <w:t>可持续性</w:t>
            </w:r>
          </w:p>
        </w:tc>
        <w:tc>
          <w:tcPr>
            <w:tcW w:w="1012"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top"/>
          </w:tcPr>
          <w:p>
            <w:pPr>
              <w:keepNext w:val="0"/>
              <w:keepLines w:val="0"/>
              <w:widowControl/>
              <w:suppressLineNumbers w:val="0"/>
              <w:jc w:val="left"/>
              <w:textAlignment w:val="top"/>
              <w:rPr>
                <w:rFonts w:hint="default" w:ascii="Calibri" w:hAnsi="Calibri" w:eastAsia="宋体" w:cs="Calibri"/>
                <w:i w:val="0"/>
                <w:color w:val="000000"/>
                <w:sz w:val="20"/>
                <w:szCs w:val="20"/>
                <w:u w:val="none"/>
              </w:rPr>
            </w:pPr>
            <w:r>
              <w:rPr>
                <w:rFonts w:hint="default" w:ascii="Calibri" w:hAnsi="Calibri" w:eastAsia="宋体" w:cs="Calibri"/>
                <w:i w:val="0"/>
                <w:color w:val="000000"/>
                <w:kern w:val="0"/>
                <w:sz w:val="20"/>
                <w:szCs w:val="20"/>
                <w:u w:val="none"/>
                <w:lang w:val="en-US" w:eastAsia="zh-CN" w:bidi="ar"/>
              </w:rPr>
              <w:t>红色文化的可持续利用程度和发展前景</w:t>
            </w:r>
          </w:p>
        </w:tc>
        <w:tc>
          <w:tcPr>
            <w:tcW w:w="1094"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完成</w:t>
            </w:r>
          </w:p>
        </w:tc>
        <w:tc>
          <w:tcPr>
            <w:tcW w:w="1466"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default" w:ascii="Calibri" w:hAnsi="Calibri" w:eastAsia="宋体" w:cs="Calibri"/>
                <w:i w:val="0"/>
                <w:color w:val="000000"/>
                <w:sz w:val="20"/>
                <w:szCs w:val="20"/>
                <w:u w:val="none"/>
              </w:rPr>
            </w:pPr>
            <w:r>
              <w:rPr>
                <w:rFonts w:hint="default" w:ascii="Calibri" w:hAnsi="Calibri" w:eastAsia="宋体" w:cs="Calibri"/>
                <w:i w:val="0"/>
                <w:color w:val="000000"/>
                <w:kern w:val="0"/>
                <w:sz w:val="20"/>
                <w:szCs w:val="20"/>
                <w:u w:val="none"/>
                <w:lang w:val="en-US" w:eastAsia="zh-CN" w:bidi="ar"/>
              </w:rPr>
              <w:t>10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1010" w:hRule="atLeast"/>
        </w:trPr>
        <w:tc>
          <w:tcPr>
            <w:tcW w:w="1463" w:type="dxa"/>
            <w:vMerge w:val="continue"/>
            <w:tcBorders>
              <w:top w:val="single" w:color="000000" w:sz="4" w:space="0"/>
              <w:left w:val="single" w:color="000000" w:sz="4" w:space="0"/>
              <w:bottom w:val="single" w:color="000000" w:sz="4" w:space="0"/>
              <w:right w:val="nil"/>
            </w:tcBorders>
            <w:shd w:val="clear" w:color="auto" w:fill="auto"/>
            <w:tcMar>
              <w:top w:w="15" w:type="dxa"/>
              <w:left w:w="15" w:type="dxa"/>
              <w:right w:w="15" w:type="dxa"/>
            </w:tcMar>
            <w:vAlign w:val="center"/>
          </w:tcPr>
          <w:p>
            <w:pPr>
              <w:jc w:val="center"/>
              <w:rPr>
                <w:rFonts w:hint="eastAsia" w:ascii="宋体" w:hAnsi="宋体" w:eastAsia="宋体" w:cs="宋体"/>
                <w:i w:val="0"/>
                <w:color w:val="000000"/>
                <w:sz w:val="20"/>
                <w:szCs w:val="20"/>
                <w:u w:val="none"/>
              </w:rPr>
            </w:pPr>
          </w:p>
        </w:tc>
        <w:tc>
          <w:tcPr>
            <w:tcW w:w="947"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满意度指标</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（10分）</w:t>
            </w:r>
          </w:p>
        </w:tc>
        <w:tc>
          <w:tcPr>
            <w:tcW w:w="673" w:type="dxa"/>
            <w:tcBorders>
              <w:top w:val="single" w:color="000000" w:sz="4" w:space="0"/>
              <w:left w:val="nil"/>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满意度指标</w:t>
            </w:r>
          </w:p>
        </w:tc>
        <w:tc>
          <w:tcPr>
            <w:tcW w:w="2145" w:type="dxa"/>
            <w:gridSpan w:val="2"/>
            <w:tcBorders>
              <w:top w:val="single" w:color="000000" w:sz="4" w:space="0"/>
              <w:left w:val="single" w:color="000000" w:sz="4" w:space="0"/>
              <w:bottom w:val="single" w:color="000000" w:sz="4" w:space="0"/>
              <w:right w:val="nil"/>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社会和服务对象满意</w:t>
            </w:r>
          </w:p>
        </w:tc>
        <w:tc>
          <w:tcPr>
            <w:tcW w:w="1012"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top"/>
          </w:tcPr>
          <w:p>
            <w:pPr>
              <w:keepNext w:val="0"/>
              <w:keepLines w:val="0"/>
              <w:widowControl/>
              <w:suppressLineNumbers w:val="0"/>
              <w:jc w:val="left"/>
              <w:textAlignment w:val="top"/>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社会和服务对象满意度</w:t>
            </w:r>
          </w:p>
        </w:tc>
        <w:tc>
          <w:tcPr>
            <w:tcW w:w="1094"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完成</w:t>
            </w:r>
          </w:p>
        </w:tc>
        <w:tc>
          <w:tcPr>
            <w:tcW w:w="1466"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default" w:ascii="Calibri" w:hAnsi="Calibri" w:eastAsia="宋体" w:cs="Calibri"/>
                <w:i w:val="0"/>
                <w:color w:val="000000"/>
                <w:sz w:val="20"/>
                <w:szCs w:val="20"/>
                <w:u w:val="none"/>
              </w:rPr>
            </w:pPr>
            <w:r>
              <w:rPr>
                <w:rFonts w:hint="default" w:ascii="Calibri" w:hAnsi="Calibri" w:eastAsia="宋体" w:cs="Calibri"/>
                <w:i w:val="0"/>
                <w:color w:val="000000"/>
                <w:kern w:val="0"/>
                <w:sz w:val="20"/>
                <w:szCs w:val="20"/>
                <w:u w:val="none"/>
                <w:lang w:val="en-US" w:eastAsia="zh-CN" w:bidi="ar"/>
              </w:rPr>
              <w:t>10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354" w:hRule="atLeast"/>
        </w:trPr>
        <w:tc>
          <w:tcPr>
            <w:tcW w:w="1463" w:type="dxa"/>
            <w:vMerge w:val="continue"/>
            <w:tcBorders>
              <w:top w:val="single" w:color="000000" w:sz="4" w:space="0"/>
              <w:left w:val="single" w:color="000000" w:sz="4" w:space="0"/>
              <w:bottom w:val="single" w:color="000000" w:sz="4" w:space="0"/>
              <w:right w:val="nil"/>
            </w:tcBorders>
            <w:shd w:val="clear" w:color="auto" w:fill="auto"/>
            <w:tcMar>
              <w:top w:w="15" w:type="dxa"/>
              <w:left w:w="15" w:type="dxa"/>
              <w:right w:w="15" w:type="dxa"/>
            </w:tcMar>
            <w:vAlign w:val="center"/>
          </w:tcPr>
          <w:p>
            <w:pPr>
              <w:jc w:val="center"/>
              <w:rPr>
                <w:rFonts w:hint="eastAsia" w:ascii="宋体" w:hAnsi="宋体" w:eastAsia="宋体" w:cs="宋体"/>
                <w:i w:val="0"/>
                <w:color w:val="000000"/>
                <w:sz w:val="20"/>
                <w:szCs w:val="20"/>
                <w:u w:val="none"/>
              </w:rPr>
            </w:pPr>
          </w:p>
        </w:tc>
        <w:tc>
          <w:tcPr>
            <w:tcW w:w="5871" w:type="dxa"/>
            <w:gridSpan w:val="6"/>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总分</w:t>
            </w:r>
          </w:p>
        </w:tc>
        <w:tc>
          <w:tcPr>
            <w:tcW w:w="1466"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default" w:ascii="Calibri" w:hAnsi="Calibri" w:eastAsia="宋体" w:cs="Calibri"/>
                <w:i w:val="0"/>
                <w:color w:val="000000"/>
                <w:sz w:val="20"/>
                <w:szCs w:val="20"/>
                <w:u w:val="none"/>
              </w:rPr>
            </w:pPr>
            <w:r>
              <w:rPr>
                <w:rFonts w:hint="default" w:ascii="Calibri" w:hAnsi="Calibri" w:eastAsia="宋体" w:cs="Calibri"/>
                <w:i w:val="0"/>
                <w:color w:val="000000"/>
                <w:kern w:val="0"/>
                <w:sz w:val="20"/>
                <w:szCs w:val="20"/>
                <w:u w:val="none"/>
                <w:lang w:val="en-US" w:eastAsia="zh-CN" w:bidi="ar"/>
              </w:rPr>
              <w:t>100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1010" w:hRule="atLeast"/>
        </w:trPr>
        <w:tc>
          <w:tcPr>
            <w:tcW w:w="1463" w:type="dxa"/>
            <w:tcBorders>
              <w:top w:val="nil"/>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五、</w:t>
            </w:r>
            <w:r>
              <w:rPr>
                <w:rStyle w:val="28"/>
                <w:rFonts w:eastAsia="宋体"/>
                <w:lang w:val="en-US" w:eastAsia="zh-CN" w:bidi="ar"/>
              </w:rPr>
              <w:t xml:space="preserve"> </w:t>
            </w:r>
            <w:r>
              <w:rPr>
                <w:rFonts w:hint="eastAsia" w:ascii="宋体" w:hAnsi="宋体" w:eastAsia="宋体" w:cs="宋体"/>
                <w:i w:val="0"/>
                <w:color w:val="000000"/>
                <w:kern w:val="0"/>
                <w:sz w:val="20"/>
                <w:szCs w:val="20"/>
                <w:u w:val="none"/>
                <w:lang w:val="en-US" w:eastAsia="zh-CN" w:bidi="ar"/>
              </w:rPr>
              <w:t>存在问题、原因及下一步整改措施</w:t>
            </w:r>
          </w:p>
        </w:tc>
        <w:tc>
          <w:tcPr>
            <w:tcW w:w="7337" w:type="dxa"/>
            <w:gridSpan w:val="7"/>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今后要做好项目前期调研和摸排工作，做好充足的前期准备，对执行过程中可能出现的问题充分预判，做好应急预案，以便项目顺利建设实施。</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344" w:hRule="atLeast"/>
        </w:trPr>
        <w:tc>
          <w:tcPr>
            <w:tcW w:w="0" w:type="auto"/>
            <w:tcBorders>
              <w:top w:val="nil"/>
              <w:left w:val="nil"/>
              <w:bottom w:val="nil"/>
              <w:right w:val="nil"/>
            </w:tcBorders>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填报人：裴辉茹</w:t>
            </w:r>
          </w:p>
        </w:tc>
        <w:tc>
          <w:tcPr>
            <w:tcW w:w="0" w:type="auto"/>
            <w:tcBorders>
              <w:top w:val="nil"/>
              <w:left w:val="nil"/>
              <w:bottom w:val="nil"/>
              <w:right w:val="nil"/>
            </w:tcBorders>
            <w:shd w:val="clear" w:color="auto" w:fill="auto"/>
            <w:noWrap/>
            <w:tcMar>
              <w:top w:w="15" w:type="dxa"/>
              <w:left w:w="15" w:type="dxa"/>
              <w:right w:w="15" w:type="dxa"/>
            </w:tcMar>
            <w:vAlign w:val="center"/>
          </w:tcPr>
          <w:p>
            <w:pPr>
              <w:jc w:val="center"/>
              <w:rPr>
                <w:rFonts w:hint="eastAsia" w:ascii="宋体" w:hAnsi="宋体" w:eastAsia="宋体" w:cs="宋体"/>
                <w:i w:val="0"/>
                <w:color w:val="000000"/>
                <w:sz w:val="20"/>
                <w:szCs w:val="20"/>
                <w:u w:val="none"/>
              </w:rPr>
            </w:pPr>
          </w:p>
        </w:tc>
        <w:tc>
          <w:tcPr>
            <w:tcW w:w="0" w:type="auto"/>
            <w:tcBorders>
              <w:top w:val="nil"/>
              <w:left w:val="nil"/>
              <w:bottom w:val="nil"/>
              <w:right w:val="nil"/>
            </w:tcBorders>
            <w:shd w:val="clear" w:color="auto" w:fill="auto"/>
            <w:noWrap/>
            <w:tcMar>
              <w:top w:w="15" w:type="dxa"/>
              <w:left w:w="15" w:type="dxa"/>
              <w:right w:w="15" w:type="dxa"/>
            </w:tcMar>
            <w:vAlign w:val="center"/>
          </w:tcPr>
          <w:p>
            <w:pPr>
              <w:jc w:val="center"/>
              <w:rPr>
                <w:rFonts w:hint="eastAsia" w:ascii="宋体" w:hAnsi="宋体" w:eastAsia="宋体" w:cs="宋体"/>
                <w:i w:val="0"/>
                <w:color w:val="000000"/>
                <w:sz w:val="20"/>
                <w:szCs w:val="20"/>
                <w:u w:val="none"/>
              </w:rPr>
            </w:pPr>
          </w:p>
        </w:tc>
        <w:tc>
          <w:tcPr>
            <w:tcW w:w="0" w:type="auto"/>
            <w:tcBorders>
              <w:top w:val="nil"/>
              <w:left w:val="nil"/>
              <w:bottom w:val="nil"/>
              <w:right w:val="nil"/>
            </w:tcBorders>
            <w:shd w:val="clear" w:color="auto" w:fill="auto"/>
            <w:noWrap/>
            <w:tcMar>
              <w:top w:w="15" w:type="dxa"/>
              <w:left w:w="15" w:type="dxa"/>
              <w:right w:w="15" w:type="dxa"/>
            </w:tcMar>
            <w:vAlign w:val="center"/>
          </w:tcPr>
          <w:p>
            <w:pPr>
              <w:jc w:val="center"/>
              <w:rPr>
                <w:rFonts w:hint="eastAsia" w:ascii="宋体" w:hAnsi="宋体" w:eastAsia="宋体" w:cs="宋体"/>
                <w:i w:val="0"/>
                <w:color w:val="000000"/>
                <w:sz w:val="20"/>
                <w:szCs w:val="20"/>
                <w:u w:val="none"/>
              </w:rPr>
            </w:pPr>
          </w:p>
        </w:tc>
        <w:tc>
          <w:tcPr>
            <w:tcW w:w="0" w:type="auto"/>
            <w:tcBorders>
              <w:top w:val="nil"/>
              <w:left w:val="nil"/>
              <w:bottom w:val="nil"/>
              <w:right w:val="nil"/>
            </w:tcBorders>
            <w:shd w:val="clear" w:color="auto" w:fill="auto"/>
            <w:noWrap/>
            <w:tcMar>
              <w:top w:w="15" w:type="dxa"/>
              <w:left w:w="15" w:type="dxa"/>
              <w:right w:w="15" w:type="dxa"/>
            </w:tcMar>
            <w:vAlign w:val="center"/>
          </w:tcPr>
          <w:p>
            <w:pPr>
              <w:jc w:val="center"/>
              <w:rPr>
                <w:rFonts w:hint="eastAsia" w:ascii="宋体" w:hAnsi="宋体" w:eastAsia="宋体" w:cs="宋体"/>
                <w:i w:val="0"/>
                <w:color w:val="000000"/>
                <w:sz w:val="20"/>
                <w:szCs w:val="20"/>
                <w:u w:val="none"/>
              </w:rPr>
            </w:pPr>
          </w:p>
        </w:tc>
        <w:tc>
          <w:tcPr>
            <w:tcW w:w="0" w:type="auto"/>
            <w:tcBorders>
              <w:top w:val="nil"/>
              <w:left w:val="nil"/>
              <w:bottom w:val="nil"/>
              <w:right w:val="nil"/>
            </w:tcBorders>
            <w:shd w:val="clear" w:color="auto" w:fill="auto"/>
            <w:noWrap/>
            <w:tcMar>
              <w:top w:w="15" w:type="dxa"/>
              <w:left w:w="15" w:type="dxa"/>
              <w:right w:w="15" w:type="dxa"/>
            </w:tcMar>
            <w:vAlign w:val="center"/>
          </w:tcPr>
          <w:p>
            <w:pPr>
              <w:jc w:val="center"/>
              <w:rPr>
                <w:rFonts w:hint="eastAsia" w:ascii="宋体" w:hAnsi="宋体" w:eastAsia="宋体" w:cs="宋体"/>
                <w:i w:val="0"/>
                <w:color w:val="000000"/>
                <w:sz w:val="20"/>
                <w:szCs w:val="20"/>
                <w:u w:val="none"/>
              </w:rPr>
            </w:pPr>
          </w:p>
        </w:tc>
        <w:tc>
          <w:tcPr>
            <w:tcW w:w="0" w:type="auto"/>
            <w:tcBorders>
              <w:top w:val="nil"/>
              <w:left w:val="nil"/>
              <w:bottom w:val="nil"/>
              <w:right w:val="nil"/>
            </w:tcBorders>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联系电话：</w:t>
            </w:r>
          </w:p>
        </w:tc>
        <w:tc>
          <w:tcPr>
            <w:tcW w:w="0" w:type="auto"/>
            <w:tcBorders>
              <w:top w:val="nil"/>
              <w:left w:val="nil"/>
              <w:bottom w:val="nil"/>
              <w:right w:val="nil"/>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15128151286</w:t>
            </w:r>
          </w:p>
        </w:tc>
      </w:tr>
    </w:tbl>
    <w:p>
      <w:pPr>
        <w:widowControl/>
        <w:spacing w:before="0" w:beforeLines="0" w:beforeAutospacing="0" w:after="0" w:afterLines="0" w:afterAutospacing="0" w:line="360" w:lineRule="auto"/>
        <w:ind w:firstLine="640" w:firstLineChars="200"/>
        <w:jc w:val="left"/>
        <w:rPr>
          <w:rFonts w:ascii="Times New Roman" w:eastAsia="仿宋_GB2312"/>
          <w:sz w:val="32"/>
          <w:szCs w:val="32"/>
        </w:rPr>
      </w:pPr>
    </w:p>
    <w:tbl>
      <w:tblPr>
        <w:tblStyle w:val="11"/>
        <w:tblW w:w="8900"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0" w:type="dxa"/>
          <w:bottom w:w="0" w:type="dxa"/>
          <w:right w:w="0" w:type="dxa"/>
        </w:tblCellMar>
      </w:tblPr>
      <w:tblGrid>
        <w:gridCol w:w="1430"/>
        <w:gridCol w:w="966"/>
        <w:gridCol w:w="719"/>
        <w:gridCol w:w="1168"/>
        <w:gridCol w:w="1029"/>
        <w:gridCol w:w="1041"/>
        <w:gridCol w:w="1117"/>
        <w:gridCol w:w="1430"/>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926" w:hRule="atLeast"/>
        </w:trPr>
        <w:tc>
          <w:tcPr>
            <w:tcW w:w="8900" w:type="dxa"/>
            <w:gridSpan w:val="8"/>
            <w:tcBorders>
              <w:top w:val="nil"/>
              <w:left w:val="nil"/>
              <w:bottom w:val="nil"/>
              <w:right w:val="nil"/>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ascii="方正小标宋_GBK" w:hAnsi="方正小标宋_GBK" w:eastAsia="方正小标宋_GBK" w:cs="方正小标宋_GBK"/>
                <w:i w:val="0"/>
                <w:color w:val="000000"/>
                <w:sz w:val="44"/>
                <w:szCs w:val="44"/>
                <w:u w:val="none"/>
              </w:rPr>
            </w:pPr>
            <w:r>
              <w:rPr>
                <w:rFonts w:hint="eastAsia" w:ascii="方正小标宋_GBK" w:hAnsi="方正小标宋_GBK" w:eastAsia="方正小标宋_GBK" w:cs="方正小标宋_GBK"/>
                <w:i w:val="0"/>
                <w:color w:val="000000"/>
                <w:kern w:val="0"/>
                <w:sz w:val="44"/>
                <w:szCs w:val="44"/>
                <w:u w:val="none"/>
                <w:lang w:val="en-US" w:eastAsia="zh-CN" w:bidi="ar"/>
              </w:rPr>
              <w:t>县级部门预算项目绩效自评表</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trHeight w:val="318" w:hRule="atLeast"/>
        </w:trPr>
        <w:tc>
          <w:tcPr>
            <w:tcW w:w="0" w:type="auto"/>
            <w:gridSpan w:val="8"/>
            <w:tcBorders>
              <w:top w:val="nil"/>
              <w:left w:val="nil"/>
              <w:bottom w:val="nil"/>
              <w:right w:val="nil"/>
            </w:tcBorders>
            <w:shd w:val="clear" w:color="auto" w:fill="auto"/>
            <w:noWrap/>
            <w:tcMar>
              <w:top w:w="15" w:type="dxa"/>
              <w:left w:w="15" w:type="dxa"/>
              <w:right w:w="15" w:type="dxa"/>
            </w:tcMar>
            <w:vAlign w:val="bottom"/>
          </w:tcPr>
          <w:p>
            <w:pPr>
              <w:keepNext w:val="0"/>
              <w:keepLines w:val="0"/>
              <w:widowControl/>
              <w:suppressLineNumbers w:val="0"/>
              <w:jc w:val="center"/>
              <w:textAlignment w:val="bottom"/>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     2025 年度）</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347" w:hRule="atLeast"/>
        </w:trPr>
        <w:tc>
          <w:tcPr>
            <w:tcW w:w="0" w:type="auto"/>
            <w:tcBorders>
              <w:top w:val="nil"/>
              <w:left w:val="nil"/>
              <w:bottom w:val="nil"/>
              <w:right w:val="nil"/>
            </w:tcBorders>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填报单位：</w:t>
            </w:r>
          </w:p>
        </w:tc>
        <w:tc>
          <w:tcPr>
            <w:tcW w:w="0" w:type="auto"/>
            <w:tcBorders>
              <w:top w:val="nil"/>
              <w:left w:val="nil"/>
              <w:bottom w:val="nil"/>
              <w:right w:val="nil"/>
            </w:tcBorders>
            <w:shd w:val="clear" w:color="auto" w:fill="auto"/>
            <w:noWrap/>
            <w:tcMar>
              <w:top w:w="15" w:type="dxa"/>
              <w:left w:w="15" w:type="dxa"/>
              <w:right w:w="15" w:type="dxa"/>
            </w:tcMar>
            <w:vAlign w:val="center"/>
          </w:tcPr>
          <w:p>
            <w:pPr>
              <w:jc w:val="center"/>
              <w:rPr>
                <w:rFonts w:hint="eastAsia" w:ascii="宋体" w:hAnsi="宋体" w:eastAsia="宋体" w:cs="宋体"/>
                <w:i w:val="0"/>
                <w:color w:val="000000"/>
                <w:sz w:val="20"/>
                <w:szCs w:val="20"/>
                <w:u w:val="none"/>
              </w:rPr>
            </w:pPr>
          </w:p>
        </w:tc>
        <w:tc>
          <w:tcPr>
            <w:tcW w:w="0" w:type="auto"/>
            <w:tcBorders>
              <w:top w:val="nil"/>
              <w:left w:val="nil"/>
              <w:bottom w:val="nil"/>
              <w:right w:val="nil"/>
            </w:tcBorders>
            <w:shd w:val="clear" w:color="auto" w:fill="auto"/>
            <w:noWrap/>
            <w:tcMar>
              <w:top w:w="15" w:type="dxa"/>
              <w:left w:w="15" w:type="dxa"/>
              <w:right w:w="15" w:type="dxa"/>
            </w:tcMar>
            <w:vAlign w:val="center"/>
          </w:tcPr>
          <w:p>
            <w:pPr>
              <w:jc w:val="center"/>
              <w:rPr>
                <w:rFonts w:hint="eastAsia" w:ascii="宋体" w:hAnsi="宋体" w:eastAsia="宋体" w:cs="宋体"/>
                <w:i w:val="0"/>
                <w:color w:val="000000"/>
                <w:sz w:val="20"/>
                <w:szCs w:val="20"/>
                <w:u w:val="none"/>
              </w:rPr>
            </w:pPr>
          </w:p>
        </w:tc>
        <w:tc>
          <w:tcPr>
            <w:tcW w:w="0" w:type="auto"/>
            <w:tcBorders>
              <w:top w:val="nil"/>
              <w:left w:val="nil"/>
              <w:bottom w:val="nil"/>
              <w:right w:val="nil"/>
            </w:tcBorders>
            <w:shd w:val="clear" w:color="auto" w:fill="auto"/>
            <w:noWrap/>
            <w:tcMar>
              <w:top w:w="15" w:type="dxa"/>
              <w:left w:w="15" w:type="dxa"/>
              <w:right w:w="15" w:type="dxa"/>
            </w:tcMar>
            <w:vAlign w:val="center"/>
          </w:tcPr>
          <w:p>
            <w:pPr>
              <w:jc w:val="center"/>
              <w:rPr>
                <w:rFonts w:hint="eastAsia" w:ascii="宋体" w:hAnsi="宋体" w:eastAsia="宋体" w:cs="宋体"/>
                <w:i w:val="0"/>
                <w:color w:val="000000"/>
                <w:sz w:val="20"/>
                <w:szCs w:val="20"/>
                <w:u w:val="none"/>
              </w:rPr>
            </w:pPr>
          </w:p>
        </w:tc>
        <w:tc>
          <w:tcPr>
            <w:tcW w:w="0" w:type="auto"/>
            <w:tcBorders>
              <w:top w:val="nil"/>
              <w:left w:val="nil"/>
              <w:bottom w:val="nil"/>
              <w:right w:val="nil"/>
            </w:tcBorders>
            <w:shd w:val="clear" w:color="auto" w:fill="auto"/>
            <w:noWrap/>
            <w:tcMar>
              <w:top w:w="15" w:type="dxa"/>
              <w:left w:w="15" w:type="dxa"/>
              <w:right w:w="15" w:type="dxa"/>
            </w:tcMar>
            <w:vAlign w:val="center"/>
          </w:tcPr>
          <w:p>
            <w:pPr>
              <w:jc w:val="center"/>
              <w:rPr>
                <w:rFonts w:hint="eastAsia" w:ascii="宋体" w:hAnsi="宋体" w:eastAsia="宋体" w:cs="宋体"/>
                <w:i w:val="0"/>
                <w:color w:val="000000"/>
                <w:sz w:val="20"/>
                <w:szCs w:val="20"/>
                <w:u w:val="none"/>
              </w:rPr>
            </w:pPr>
          </w:p>
        </w:tc>
        <w:tc>
          <w:tcPr>
            <w:tcW w:w="0" w:type="auto"/>
            <w:tcBorders>
              <w:top w:val="nil"/>
              <w:left w:val="nil"/>
              <w:bottom w:val="nil"/>
              <w:right w:val="nil"/>
            </w:tcBorders>
            <w:shd w:val="clear" w:color="auto" w:fill="auto"/>
            <w:noWrap/>
            <w:tcMar>
              <w:top w:w="15" w:type="dxa"/>
              <w:left w:w="15" w:type="dxa"/>
              <w:right w:w="15" w:type="dxa"/>
            </w:tcMar>
            <w:vAlign w:val="center"/>
          </w:tcPr>
          <w:p>
            <w:pPr>
              <w:jc w:val="center"/>
              <w:rPr>
                <w:rFonts w:hint="eastAsia" w:ascii="宋体" w:hAnsi="宋体" w:eastAsia="宋体" w:cs="宋体"/>
                <w:i w:val="0"/>
                <w:color w:val="000000"/>
                <w:sz w:val="20"/>
                <w:szCs w:val="20"/>
                <w:u w:val="none"/>
              </w:rPr>
            </w:pPr>
          </w:p>
        </w:tc>
        <w:tc>
          <w:tcPr>
            <w:tcW w:w="0" w:type="auto"/>
            <w:tcBorders>
              <w:top w:val="nil"/>
              <w:left w:val="nil"/>
              <w:bottom w:val="nil"/>
              <w:right w:val="nil"/>
            </w:tcBorders>
            <w:shd w:val="clear" w:color="auto" w:fill="auto"/>
            <w:noWrap/>
            <w:tcMar>
              <w:top w:w="15" w:type="dxa"/>
              <w:left w:w="15" w:type="dxa"/>
              <w:right w:w="15" w:type="dxa"/>
            </w:tcMar>
            <w:vAlign w:val="center"/>
          </w:tcPr>
          <w:p>
            <w:pPr>
              <w:jc w:val="center"/>
              <w:rPr>
                <w:rFonts w:hint="eastAsia" w:ascii="宋体" w:hAnsi="宋体" w:eastAsia="宋体" w:cs="宋体"/>
                <w:i w:val="0"/>
                <w:color w:val="000000"/>
                <w:sz w:val="20"/>
                <w:szCs w:val="20"/>
                <w:u w:val="none"/>
              </w:rPr>
            </w:pPr>
          </w:p>
        </w:tc>
        <w:tc>
          <w:tcPr>
            <w:tcW w:w="0" w:type="auto"/>
            <w:tcBorders>
              <w:top w:val="nil"/>
              <w:left w:val="nil"/>
              <w:bottom w:val="nil"/>
              <w:right w:val="nil"/>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金额单位：万元</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631" w:hRule="atLeast"/>
        </w:trPr>
        <w:tc>
          <w:tcPr>
            <w:tcW w:w="1196" w:type="dxa"/>
            <w:tcBorders>
              <w:top w:val="single" w:color="000000" w:sz="4" w:space="0"/>
              <w:left w:val="single" w:color="000000" w:sz="4" w:space="0"/>
              <w:bottom w:val="nil"/>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一、</w:t>
            </w:r>
            <w:r>
              <w:rPr>
                <w:rFonts w:ascii="Calibri" w:hAnsi="Calibri" w:eastAsia="宋体" w:cs="Calibri"/>
                <w:i w:val="0"/>
                <w:color w:val="000000"/>
                <w:kern w:val="0"/>
                <w:sz w:val="20"/>
                <w:szCs w:val="20"/>
                <w:u w:val="none"/>
                <w:lang w:val="en-US" w:eastAsia="zh-CN" w:bidi="ar"/>
              </w:rPr>
              <w:t xml:space="preserve"> </w:t>
            </w:r>
            <w:r>
              <w:rPr>
                <w:rFonts w:hint="eastAsia" w:ascii="宋体" w:hAnsi="宋体" w:eastAsia="宋体" w:cs="宋体"/>
                <w:i w:val="0"/>
                <w:color w:val="000000"/>
                <w:kern w:val="0"/>
                <w:sz w:val="20"/>
                <w:szCs w:val="20"/>
                <w:u w:val="none"/>
                <w:lang w:val="en-US" w:eastAsia="zh-CN" w:bidi="ar"/>
              </w:rPr>
              <w:t>基本情况</w:t>
            </w:r>
          </w:p>
        </w:tc>
        <w:tc>
          <w:tcPr>
            <w:tcW w:w="966"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项目名称</w:t>
            </w:r>
          </w:p>
        </w:tc>
        <w:tc>
          <w:tcPr>
            <w:tcW w:w="2191" w:type="dxa"/>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李狄三红色文化工作经费</w:t>
            </w:r>
          </w:p>
        </w:tc>
        <w:tc>
          <w:tcPr>
            <w:tcW w:w="1029"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实施(主管）单位</w:t>
            </w:r>
          </w:p>
        </w:tc>
        <w:tc>
          <w:tcPr>
            <w:tcW w:w="3518" w:type="dxa"/>
            <w:gridSpan w:val="3"/>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政协办</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467" w:hRule="atLeast"/>
        </w:trPr>
        <w:tc>
          <w:tcPr>
            <w:tcW w:w="1196"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二、预算执行情况</w:t>
            </w:r>
          </w:p>
        </w:tc>
        <w:tc>
          <w:tcPr>
            <w:tcW w:w="1865" w:type="dxa"/>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预算安排情况（调整后）</w:t>
            </w:r>
          </w:p>
        </w:tc>
        <w:tc>
          <w:tcPr>
            <w:tcW w:w="2321" w:type="dxa"/>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资金到位情况</w:t>
            </w:r>
          </w:p>
        </w:tc>
        <w:tc>
          <w:tcPr>
            <w:tcW w:w="2158" w:type="dxa"/>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资金执行情况</w:t>
            </w:r>
          </w:p>
        </w:tc>
        <w:tc>
          <w:tcPr>
            <w:tcW w:w="136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预算执行进度</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411" w:hRule="atLeast"/>
        </w:trPr>
        <w:tc>
          <w:tcPr>
            <w:tcW w:w="1196"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宋体" w:hAnsi="宋体" w:eastAsia="宋体" w:cs="宋体"/>
                <w:i w:val="0"/>
                <w:color w:val="000000"/>
                <w:sz w:val="20"/>
                <w:szCs w:val="20"/>
                <w:u w:val="none"/>
              </w:rPr>
            </w:pPr>
          </w:p>
        </w:tc>
        <w:tc>
          <w:tcPr>
            <w:tcW w:w="966"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预算数：</w:t>
            </w:r>
          </w:p>
        </w:tc>
        <w:tc>
          <w:tcPr>
            <w:tcW w:w="899"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righ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15</w:t>
            </w:r>
          </w:p>
        </w:tc>
        <w:tc>
          <w:tcPr>
            <w:tcW w:w="1292"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到位数：</w:t>
            </w:r>
          </w:p>
        </w:tc>
        <w:tc>
          <w:tcPr>
            <w:tcW w:w="1029"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righ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15</w:t>
            </w:r>
          </w:p>
        </w:tc>
        <w:tc>
          <w:tcPr>
            <w:tcW w:w="1041"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执行数：</w:t>
            </w:r>
          </w:p>
        </w:tc>
        <w:tc>
          <w:tcPr>
            <w:tcW w:w="1117"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right"/>
              <w:textAlignment w:val="center"/>
              <w:rPr>
                <w:rFonts w:hint="default" w:ascii="Calibri" w:hAnsi="Calibri" w:eastAsia="宋体" w:cs="Calibri"/>
                <w:i w:val="0"/>
                <w:color w:val="000000"/>
                <w:sz w:val="20"/>
                <w:szCs w:val="20"/>
                <w:u w:val="none"/>
              </w:rPr>
            </w:pPr>
            <w:r>
              <w:rPr>
                <w:rFonts w:hint="default" w:ascii="Calibri" w:hAnsi="Calibri" w:eastAsia="宋体" w:cs="Calibri"/>
                <w:i w:val="0"/>
                <w:color w:val="000000"/>
                <w:kern w:val="0"/>
                <w:sz w:val="20"/>
                <w:szCs w:val="20"/>
                <w:u w:val="none"/>
                <w:lang w:val="en-US" w:eastAsia="zh-CN" w:bidi="ar"/>
              </w:rPr>
              <w:t>15</w:t>
            </w:r>
          </w:p>
        </w:tc>
        <w:tc>
          <w:tcPr>
            <w:tcW w:w="1360"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100%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631" w:hRule="atLeast"/>
        </w:trPr>
        <w:tc>
          <w:tcPr>
            <w:tcW w:w="1196"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宋体" w:hAnsi="宋体" w:eastAsia="宋体" w:cs="宋体"/>
                <w:i w:val="0"/>
                <w:color w:val="000000"/>
                <w:sz w:val="20"/>
                <w:szCs w:val="20"/>
                <w:u w:val="none"/>
              </w:rPr>
            </w:pPr>
          </w:p>
        </w:tc>
        <w:tc>
          <w:tcPr>
            <w:tcW w:w="966"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其中：                 财政资金</w:t>
            </w:r>
          </w:p>
        </w:tc>
        <w:tc>
          <w:tcPr>
            <w:tcW w:w="899"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righ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15</w:t>
            </w:r>
          </w:p>
        </w:tc>
        <w:tc>
          <w:tcPr>
            <w:tcW w:w="1292"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其中：                      财政资金</w:t>
            </w:r>
          </w:p>
        </w:tc>
        <w:tc>
          <w:tcPr>
            <w:tcW w:w="1029"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righ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15</w:t>
            </w:r>
          </w:p>
        </w:tc>
        <w:tc>
          <w:tcPr>
            <w:tcW w:w="1041"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其中：                     财政资金</w:t>
            </w:r>
          </w:p>
        </w:tc>
        <w:tc>
          <w:tcPr>
            <w:tcW w:w="1117"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right"/>
              <w:textAlignment w:val="center"/>
              <w:rPr>
                <w:rFonts w:hint="default" w:ascii="Calibri" w:hAnsi="Calibri" w:eastAsia="宋体" w:cs="Calibri"/>
                <w:i w:val="0"/>
                <w:color w:val="000000"/>
                <w:sz w:val="20"/>
                <w:szCs w:val="20"/>
                <w:u w:val="none"/>
              </w:rPr>
            </w:pPr>
            <w:r>
              <w:rPr>
                <w:rFonts w:hint="default" w:ascii="Calibri" w:hAnsi="Calibri" w:eastAsia="宋体" w:cs="Calibri"/>
                <w:i w:val="0"/>
                <w:color w:val="000000"/>
                <w:kern w:val="0"/>
                <w:sz w:val="20"/>
                <w:szCs w:val="20"/>
                <w:u w:val="none"/>
                <w:lang w:val="en-US" w:eastAsia="zh-CN" w:bidi="ar"/>
              </w:rPr>
              <w:t>15</w:t>
            </w:r>
          </w:p>
        </w:tc>
        <w:tc>
          <w:tcPr>
            <w:tcW w:w="1360"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宋体" w:hAnsi="宋体" w:eastAsia="宋体" w:cs="宋体"/>
                <w:i w:val="0"/>
                <w:color w:val="000000"/>
                <w:sz w:val="20"/>
                <w:szCs w:val="20"/>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398" w:hRule="atLeast"/>
        </w:trPr>
        <w:tc>
          <w:tcPr>
            <w:tcW w:w="1196"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宋体" w:hAnsi="宋体" w:eastAsia="宋体" w:cs="宋体"/>
                <w:i w:val="0"/>
                <w:color w:val="000000"/>
                <w:sz w:val="20"/>
                <w:szCs w:val="20"/>
                <w:u w:val="none"/>
              </w:rPr>
            </w:pPr>
          </w:p>
        </w:tc>
        <w:tc>
          <w:tcPr>
            <w:tcW w:w="966"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其他</w:t>
            </w:r>
          </w:p>
        </w:tc>
        <w:tc>
          <w:tcPr>
            <w:tcW w:w="899"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left"/>
              <w:rPr>
                <w:rFonts w:hint="default" w:ascii="Calibri" w:hAnsi="Calibri" w:eastAsia="宋体" w:cs="Calibri"/>
                <w:i w:val="0"/>
                <w:color w:val="000000"/>
                <w:sz w:val="20"/>
                <w:szCs w:val="20"/>
                <w:u w:val="none"/>
              </w:rPr>
            </w:pPr>
          </w:p>
        </w:tc>
        <w:tc>
          <w:tcPr>
            <w:tcW w:w="1292"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其他</w:t>
            </w:r>
          </w:p>
        </w:tc>
        <w:tc>
          <w:tcPr>
            <w:tcW w:w="1029"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left"/>
              <w:rPr>
                <w:rFonts w:hint="eastAsia" w:ascii="宋体" w:hAnsi="宋体" w:eastAsia="宋体" w:cs="宋体"/>
                <w:i w:val="0"/>
                <w:color w:val="000000"/>
                <w:sz w:val="20"/>
                <w:szCs w:val="20"/>
                <w:u w:val="none"/>
              </w:rPr>
            </w:pPr>
          </w:p>
        </w:tc>
        <w:tc>
          <w:tcPr>
            <w:tcW w:w="1041"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其他</w:t>
            </w:r>
          </w:p>
        </w:tc>
        <w:tc>
          <w:tcPr>
            <w:tcW w:w="1117"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left"/>
              <w:rPr>
                <w:rFonts w:hint="eastAsia" w:ascii="宋体" w:hAnsi="宋体" w:eastAsia="宋体" w:cs="宋体"/>
                <w:i w:val="0"/>
                <w:color w:val="000000"/>
                <w:sz w:val="20"/>
                <w:szCs w:val="20"/>
                <w:u w:val="none"/>
              </w:rPr>
            </w:pPr>
          </w:p>
        </w:tc>
        <w:tc>
          <w:tcPr>
            <w:tcW w:w="1360"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宋体" w:hAnsi="宋体" w:eastAsia="宋体" w:cs="宋体"/>
                <w:i w:val="0"/>
                <w:color w:val="000000"/>
                <w:sz w:val="20"/>
                <w:szCs w:val="20"/>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trHeight w:val="453" w:hRule="atLeast"/>
        </w:trPr>
        <w:tc>
          <w:tcPr>
            <w:tcW w:w="1196"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三、目标完成情况</w:t>
            </w:r>
          </w:p>
        </w:tc>
        <w:tc>
          <w:tcPr>
            <w:tcW w:w="3157" w:type="dxa"/>
            <w:gridSpan w:val="3"/>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年度预期目标</w:t>
            </w:r>
          </w:p>
        </w:tc>
        <w:tc>
          <w:tcPr>
            <w:tcW w:w="3187" w:type="dxa"/>
            <w:gridSpan w:val="3"/>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具体完成情况</w:t>
            </w:r>
          </w:p>
        </w:tc>
        <w:tc>
          <w:tcPr>
            <w:tcW w:w="136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总体完成率</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439" w:hRule="atLeast"/>
        </w:trPr>
        <w:tc>
          <w:tcPr>
            <w:tcW w:w="1196"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宋体" w:hAnsi="宋体" w:eastAsia="宋体" w:cs="宋体"/>
                <w:i w:val="0"/>
                <w:color w:val="000000"/>
                <w:sz w:val="20"/>
                <w:szCs w:val="20"/>
                <w:u w:val="none"/>
              </w:rPr>
            </w:pPr>
          </w:p>
        </w:tc>
        <w:tc>
          <w:tcPr>
            <w:tcW w:w="3157" w:type="dxa"/>
            <w:gridSpan w:val="3"/>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李狄三红色文化历史资料的搜集、研究、论证、撰写、整理、书籍印制工作</w:t>
            </w:r>
          </w:p>
        </w:tc>
        <w:tc>
          <w:tcPr>
            <w:tcW w:w="3187" w:type="dxa"/>
            <w:gridSpan w:val="3"/>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已按时完成李狄三红色文化历史资料的搜集、研究、论证、撰写、整理、书籍印制等工作</w:t>
            </w:r>
          </w:p>
        </w:tc>
        <w:tc>
          <w:tcPr>
            <w:tcW w:w="1360"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100%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356" w:hRule="atLeast"/>
        </w:trPr>
        <w:tc>
          <w:tcPr>
            <w:tcW w:w="1196"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宋体" w:hAnsi="宋体" w:eastAsia="宋体" w:cs="宋体"/>
                <w:i w:val="0"/>
                <w:color w:val="000000"/>
                <w:sz w:val="20"/>
                <w:szCs w:val="20"/>
                <w:u w:val="none"/>
              </w:rPr>
            </w:pPr>
          </w:p>
        </w:tc>
        <w:tc>
          <w:tcPr>
            <w:tcW w:w="3157"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宋体" w:hAnsi="宋体" w:eastAsia="宋体" w:cs="宋体"/>
                <w:i w:val="0"/>
                <w:color w:val="000000"/>
                <w:sz w:val="20"/>
                <w:szCs w:val="20"/>
                <w:u w:val="none"/>
              </w:rPr>
            </w:pPr>
          </w:p>
        </w:tc>
        <w:tc>
          <w:tcPr>
            <w:tcW w:w="3187"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宋体" w:hAnsi="宋体" w:eastAsia="宋体" w:cs="宋体"/>
                <w:i w:val="0"/>
                <w:color w:val="000000"/>
                <w:sz w:val="20"/>
                <w:szCs w:val="20"/>
                <w:u w:val="none"/>
              </w:rPr>
            </w:pPr>
          </w:p>
        </w:tc>
        <w:tc>
          <w:tcPr>
            <w:tcW w:w="1360"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宋体" w:hAnsi="宋体" w:eastAsia="宋体" w:cs="宋体"/>
                <w:i w:val="0"/>
                <w:color w:val="000000"/>
                <w:sz w:val="20"/>
                <w:szCs w:val="20"/>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356" w:hRule="atLeast"/>
        </w:trPr>
        <w:tc>
          <w:tcPr>
            <w:tcW w:w="1196"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宋体" w:hAnsi="宋体" w:eastAsia="宋体" w:cs="宋体"/>
                <w:i w:val="0"/>
                <w:color w:val="000000"/>
                <w:sz w:val="20"/>
                <w:szCs w:val="20"/>
                <w:u w:val="none"/>
              </w:rPr>
            </w:pPr>
          </w:p>
        </w:tc>
        <w:tc>
          <w:tcPr>
            <w:tcW w:w="3157"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宋体" w:hAnsi="宋体" w:eastAsia="宋体" w:cs="宋体"/>
                <w:i w:val="0"/>
                <w:color w:val="000000"/>
                <w:sz w:val="20"/>
                <w:szCs w:val="20"/>
                <w:u w:val="none"/>
              </w:rPr>
            </w:pPr>
          </w:p>
        </w:tc>
        <w:tc>
          <w:tcPr>
            <w:tcW w:w="3187"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宋体" w:hAnsi="宋体" w:eastAsia="宋体" w:cs="宋体"/>
                <w:i w:val="0"/>
                <w:color w:val="000000"/>
                <w:sz w:val="20"/>
                <w:szCs w:val="20"/>
                <w:u w:val="none"/>
              </w:rPr>
            </w:pPr>
          </w:p>
        </w:tc>
        <w:tc>
          <w:tcPr>
            <w:tcW w:w="1360"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宋体" w:hAnsi="宋体" w:eastAsia="宋体" w:cs="宋体"/>
                <w:i w:val="0"/>
                <w:color w:val="000000"/>
                <w:sz w:val="20"/>
                <w:szCs w:val="20"/>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411" w:hRule="atLeast"/>
        </w:trPr>
        <w:tc>
          <w:tcPr>
            <w:tcW w:w="1196" w:type="dxa"/>
            <w:vMerge w:val="restart"/>
            <w:tcBorders>
              <w:top w:val="single" w:color="000000" w:sz="4" w:space="0"/>
              <w:left w:val="single" w:color="000000" w:sz="4" w:space="0"/>
              <w:bottom w:val="single" w:color="000000" w:sz="4" w:space="0"/>
              <w:right w:val="nil"/>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四、</w:t>
            </w:r>
            <w:r>
              <w:rPr>
                <w:rFonts w:ascii="Calibri" w:hAnsi="Calibri" w:eastAsia="宋体" w:cs="Calibri"/>
                <w:i w:val="0"/>
                <w:color w:val="000000"/>
                <w:kern w:val="0"/>
                <w:sz w:val="20"/>
                <w:szCs w:val="20"/>
                <w:u w:val="none"/>
                <w:lang w:val="en-US" w:eastAsia="zh-CN" w:bidi="ar"/>
              </w:rPr>
              <w:t xml:space="preserve"> </w:t>
            </w:r>
            <w:r>
              <w:rPr>
                <w:rFonts w:hint="eastAsia" w:ascii="宋体" w:hAnsi="宋体" w:eastAsia="宋体" w:cs="宋体"/>
                <w:i w:val="0"/>
                <w:color w:val="000000"/>
                <w:kern w:val="0"/>
                <w:sz w:val="20"/>
                <w:szCs w:val="20"/>
                <w:u w:val="none"/>
                <w:lang w:val="en-US" w:eastAsia="zh-CN" w:bidi="ar"/>
              </w:rPr>
              <w:t>年度绩效指标完成情况</w:t>
            </w:r>
          </w:p>
        </w:tc>
        <w:tc>
          <w:tcPr>
            <w:tcW w:w="966"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一级指标</w:t>
            </w:r>
          </w:p>
        </w:tc>
        <w:tc>
          <w:tcPr>
            <w:tcW w:w="899"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二级指标</w:t>
            </w:r>
          </w:p>
        </w:tc>
        <w:tc>
          <w:tcPr>
            <w:tcW w:w="2321" w:type="dxa"/>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三级指标</w:t>
            </w:r>
          </w:p>
        </w:tc>
        <w:tc>
          <w:tcPr>
            <w:tcW w:w="1041"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预期指标值</w:t>
            </w:r>
          </w:p>
        </w:tc>
        <w:tc>
          <w:tcPr>
            <w:tcW w:w="1117"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实际完成值</w:t>
            </w:r>
          </w:p>
        </w:tc>
        <w:tc>
          <w:tcPr>
            <w:tcW w:w="136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自评得分</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1239" w:hRule="atLeast"/>
        </w:trPr>
        <w:tc>
          <w:tcPr>
            <w:tcW w:w="1196" w:type="dxa"/>
            <w:vMerge w:val="continue"/>
            <w:tcBorders>
              <w:top w:val="single" w:color="000000" w:sz="4" w:space="0"/>
              <w:left w:val="single" w:color="000000" w:sz="4" w:space="0"/>
              <w:bottom w:val="single" w:color="000000" w:sz="4" w:space="0"/>
              <w:right w:val="nil"/>
            </w:tcBorders>
            <w:shd w:val="clear" w:color="auto" w:fill="auto"/>
            <w:tcMar>
              <w:top w:w="15" w:type="dxa"/>
              <w:left w:w="15" w:type="dxa"/>
              <w:right w:w="15" w:type="dxa"/>
            </w:tcMar>
            <w:vAlign w:val="center"/>
          </w:tcPr>
          <w:p>
            <w:pPr>
              <w:jc w:val="center"/>
              <w:rPr>
                <w:rFonts w:hint="eastAsia" w:ascii="宋体" w:hAnsi="宋体" w:eastAsia="宋体" w:cs="宋体"/>
                <w:i w:val="0"/>
                <w:color w:val="000000"/>
                <w:sz w:val="20"/>
                <w:szCs w:val="20"/>
                <w:u w:val="none"/>
              </w:rPr>
            </w:pPr>
          </w:p>
        </w:tc>
        <w:tc>
          <w:tcPr>
            <w:tcW w:w="966" w:type="dxa"/>
            <w:vMerge w:val="restart"/>
            <w:tcBorders>
              <w:top w:val="single" w:color="000000" w:sz="4" w:space="0"/>
              <w:left w:val="single" w:color="000000" w:sz="4" w:space="0"/>
              <w:bottom w:val="nil"/>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产出指标（40）</w:t>
            </w:r>
          </w:p>
        </w:tc>
        <w:tc>
          <w:tcPr>
            <w:tcW w:w="899" w:type="dxa"/>
            <w:tcBorders>
              <w:top w:val="single" w:color="000000" w:sz="4" w:space="0"/>
              <w:left w:val="single" w:color="000000" w:sz="4" w:space="0"/>
              <w:bottom w:val="nil"/>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数量指标</w:t>
            </w:r>
          </w:p>
        </w:tc>
        <w:tc>
          <w:tcPr>
            <w:tcW w:w="0" w:type="auto"/>
            <w:gridSpan w:val="2"/>
            <w:tcBorders>
              <w:top w:val="single" w:color="000000" w:sz="4" w:space="0"/>
              <w:left w:val="single" w:color="000000" w:sz="4" w:space="0"/>
              <w:bottom w:val="nil"/>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default" w:ascii="Calibri" w:hAnsi="Calibri" w:eastAsia="宋体" w:cs="Calibri"/>
                <w:i w:val="0"/>
                <w:color w:val="000000"/>
                <w:sz w:val="20"/>
                <w:szCs w:val="20"/>
                <w:u w:val="none"/>
              </w:rPr>
            </w:pPr>
            <w:r>
              <w:rPr>
                <w:rFonts w:hint="default" w:ascii="Calibri" w:hAnsi="Calibri" w:eastAsia="宋体" w:cs="Calibri"/>
                <w:i w:val="0"/>
                <w:color w:val="000000"/>
                <w:kern w:val="0"/>
                <w:sz w:val="20"/>
                <w:szCs w:val="20"/>
                <w:u w:val="none"/>
                <w:lang w:val="en-US" w:eastAsia="zh-CN" w:bidi="ar"/>
              </w:rPr>
              <w:t>数据整理完成率</w:t>
            </w:r>
          </w:p>
        </w:tc>
        <w:tc>
          <w:tcPr>
            <w:tcW w:w="1041"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考证、搜集、整理、挖掘、编审、印制李狄三红色文化资料</w:t>
            </w:r>
          </w:p>
        </w:tc>
        <w:tc>
          <w:tcPr>
            <w:tcW w:w="1117"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完成</w:t>
            </w:r>
          </w:p>
        </w:tc>
        <w:tc>
          <w:tcPr>
            <w:tcW w:w="136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10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935" w:hRule="atLeast"/>
        </w:trPr>
        <w:tc>
          <w:tcPr>
            <w:tcW w:w="1196" w:type="dxa"/>
            <w:vMerge w:val="continue"/>
            <w:tcBorders>
              <w:top w:val="single" w:color="000000" w:sz="4" w:space="0"/>
              <w:left w:val="single" w:color="000000" w:sz="4" w:space="0"/>
              <w:bottom w:val="single" w:color="000000" w:sz="4" w:space="0"/>
              <w:right w:val="nil"/>
            </w:tcBorders>
            <w:shd w:val="clear" w:color="auto" w:fill="auto"/>
            <w:tcMar>
              <w:top w:w="15" w:type="dxa"/>
              <w:left w:w="15" w:type="dxa"/>
              <w:right w:w="15" w:type="dxa"/>
            </w:tcMar>
            <w:vAlign w:val="center"/>
          </w:tcPr>
          <w:p>
            <w:pPr>
              <w:jc w:val="center"/>
              <w:rPr>
                <w:rFonts w:hint="eastAsia" w:ascii="宋体" w:hAnsi="宋体" w:eastAsia="宋体" w:cs="宋体"/>
                <w:i w:val="0"/>
                <w:color w:val="000000"/>
                <w:sz w:val="20"/>
                <w:szCs w:val="20"/>
                <w:u w:val="none"/>
              </w:rPr>
            </w:pPr>
          </w:p>
        </w:tc>
        <w:tc>
          <w:tcPr>
            <w:tcW w:w="966" w:type="dxa"/>
            <w:vMerge w:val="continue"/>
            <w:tcBorders>
              <w:top w:val="single" w:color="000000" w:sz="4" w:space="0"/>
              <w:left w:val="single" w:color="000000" w:sz="4" w:space="0"/>
              <w:bottom w:val="nil"/>
              <w:right w:val="single" w:color="000000" w:sz="4" w:space="0"/>
            </w:tcBorders>
            <w:shd w:val="clear" w:color="auto" w:fill="auto"/>
            <w:tcMar>
              <w:top w:w="15" w:type="dxa"/>
              <w:left w:w="15" w:type="dxa"/>
              <w:right w:w="15" w:type="dxa"/>
            </w:tcMar>
            <w:vAlign w:val="center"/>
          </w:tcPr>
          <w:p>
            <w:pPr>
              <w:jc w:val="center"/>
              <w:rPr>
                <w:rFonts w:hint="eastAsia" w:ascii="宋体" w:hAnsi="宋体" w:eastAsia="宋体" w:cs="宋体"/>
                <w:i w:val="0"/>
                <w:color w:val="000000"/>
                <w:sz w:val="20"/>
                <w:szCs w:val="20"/>
                <w:u w:val="none"/>
              </w:rPr>
            </w:pPr>
          </w:p>
        </w:tc>
        <w:tc>
          <w:tcPr>
            <w:tcW w:w="899"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质量指标</w:t>
            </w:r>
          </w:p>
        </w:tc>
        <w:tc>
          <w:tcPr>
            <w:tcW w:w="0" w:type="auto"/>
            <w:gridSpan w:val="2"/>
            <w:tcBorders>
              <w:top w:val="single" w:color="000000" w:sz="4" w:space="0"/>
              <w:left w:val="single" w:color="000000" w:sz="4" w:space="0"/>
              <w:bottom w:val="nil"/>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default" w:ascii="Calibri" w:hAnsi="Calibri" w:eastAsia="宋体" w:cs="Calibri"/>
                <w:i w:val="0"/>
                <w:color w:val="000000"/>
                <w:sz w:val="20"/>
                <w:szCs w:val="20"/>
                <w:u w:val="none"/>
              </w:rPr>
            </w:pPr>
            <w:r>
              <w:rPr>
                <w:rFonts w:hint="default" w:ascii="Calibri" w:hAnsi="Calibri" w:eastAsia="宋体" w:cs="Calibri"/>
                <w:i w:val="0"/>
                <w:color w:val="000000"/>
                <w:kern w:val="0"/>
                <w:sz w:val="20"/>
                <w:szCs w:val="20"/>
                <w:u w:val="none"/>
                <w:lang w:val="en-US" w:eastAsia="zh-CN" w:bidi="ar"/>
              </w:rPr>
              <w:t>印制质量</w:t>
            </w:r>
          </w:p>
        </w:tc>
        <w:tc>
          <w:tcPr>
            <w:tcW w:w="1041"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收集整理、印制李狄三红色文化资料</w:t>
            </w:r>
          </w:p>
        </w:tc>
        <w:tc>
          <w:tcPr>
            <w:tcW w:w="1117"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完成</w:t>
            </w:r>
          </w:p>
        </w:tc>
        <w:tc>
          <w:tcPr>
            <w:tcW w:w="136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default" w:ascii="Calibri" w:hAnsi="Calibri" w:eastAsia="宋体" w:cs="Calibri"/>
                <w:i w:val="0"/>
                <w:color w:val="000000"/>
                <w:sz w:val="20"/>
                <w:szCs w:val="20"/>
                <w:u w:val="none"/>
              </w:rPr>
            </w:pPr>
            <w:r>
              <w:rPr>
                <w:rFonts w:hint="default" w:ascii="Calibri" w:hAnsi="Calibri" w:eastAsia="宋体" w:cs="Calibri"/>
                <w:i w:val="0"/>
                <w:color w:val="000000"/>
                <w:kern w:val="0"/>
                <w:sz w:val="20"/>
                <w:szCs w:val="20"/>
                <w:u w:val="none"/>
                <w:lang w:val="en-US" w:eastAsia="zh-CN" w:bidi="ar"/>
              </w:rPr>
              <w:t>10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trHeight w:val="935" w:hRule="atLeast"/>
        </w:trPr>
        <w:tc>
          <w:tcPr>
            <w:tcW w:w="1196" w:type="dxa"/>
            <w:vMerge w:val="continue"/>
            <w:tcBorders>
              <w:top w:val="single" w:color="000000" w:sz="4" w:space="0"/>
              <w:left w:val="single" w:color="000000" w:sz="4" w:space="0"/>
              <w:bottom w:val="single" w:color="000000" w:sz="4" w:space="0"/>
              <w:right w:val="nil"/>
            </w:tcBorders>
            <w:shd w:val="clear" w:color="auto" w:fill="auto"/>
            <w:tcMar>
              <w:top w:w="15" w:type="dxa"/>
              <w:left w:w="15" w:type="dxa"/>
              <w:right w:w="15" w:type="dxa"/>
            </w:tcMar>
            <w:vAlign w:val="center"/>
          </w:tcPr>
          <w:p>
            <w:pPr>
              <w:jc w:val="center"/>
              <w:rPr>
                <w:rFonts w:hint="eastAsia" w:ascii="宋体" w:hAnsi="宋体" w:eastAsia="宋体" w:cs="宋体"/>
                <w:i w:val="0"/>
                <w:color w:val="000000"/>
                <w:sz w:val="20"/>
                <w:szCs w:val="20"/>
                <w:u w:val="none"/>
              </w:rPr>
            </w:pPr>
          </w:p>
        </w:tc>
        <w:tc>
          <w:tcPr>
            <w:tcW w:w="966" w:type="dxa"/>
            <w:vMerge w:val="continue"/>
            <w:tcBorders>
              <w:top w:val="single" w:color="000000" w:sz="4" w:space="0"/>
              <w:left w:val="single" w:color="000000" w:sz="4" w:space="0"/>
              <w:bottom w:val="nil"/>
              <w:right w:val="single" w:color="000000" w:sz="4" w:space="0"/>
            </w:tcBorders>
            <w:shd w:val="clear" w:color="auto" w:fill="auto"/>
            <w:tcMar>
              <w:top w:w="15" w:type="dxa"/>
              <w:left w:w="15" w:type="dxa"/>
              <w:right w:w="15" w:type="dxa"/>
            </w:tcMar>
            <w:vAlign w:val="center"/>
          </w:tcPr>
          <w:p>
            <w:pPr>
              <w:jc w:val="center"/>
              <w:rPr>
                <w:rFonts w:hint="eastAsia" w:ascii="宋体" w:hAnsi="宋体" w:eastAsia="宋体" w:cs="宋体"/>
                <w:i w:val="0"/>
                <w:color w:val="000000"/>
                <w:sz w:val="20"/>
                <w:szCs w:val="20"/>
                <w:u w:val="none"/>
              </w:rPr>
            </w:pPr>
          </w:p>
        </w:tc>
        <w:tc>
          <w:tcPr>
            <w:tcW w:w="899"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时效指标</w:t>
            </w:r>
          </w:p>
        </w:tc>
        <w:tc>
          <w:tcPr>
            <w:tcW w:w="0" w:type="auto"/>
            <w:gridSpan w:val="2"/>
            <w:tcBorders>
              <w:top w:val="single" w:color="000000" w:sz="4" w:space="0"/>
              <w:left w:val="single" w:color="000000" w:sz="4" w:space="0"/>
              <w:bottom w:val="nil"/>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default" w:ascii="Calibri" w:hAnsi="Calibri" w:eastAsia="宋体" w:cs="Calibri"/>
                <w:i w:val="0"/>
                <w:color w:val="000000"/>
                <w:sz w:val="20"/>
                <w:szCs w:val="20"/>
                <w:u w:val="none"/>
              </w:rPr>
            </w:pPr>
            <w:r>
              <w:rPr>
                <w:rFonts w:hint="default" w:ascii="Calibri" w:hAnsi="Calibri" w:eastAsia="宋体" w:cs="Calibri"/>
                <w:i w:val="0"/>
                <w:color w:val="000000"/>
                <w:kern w:val="0"/>
                <w:sz w:val="20"/>
                <w:szCs w:val="20"/>
                <w:u w:val="none"/>
                <w:lang w:val="en-US" w:eastAsia="zh-CN" w:bidi="ar"/>
              </w:rPr>
              <w:t>按时完成编制规划任务</w:t>
            </w:r>
          </w:p>
        </w:tc>
        <w:tc>
          <w:tcPr>
            <w:tcW w:w="1041"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各项红色文化工作任务按时完成</w:t>
            </w:r>
          </w:p>
        </w:tc>
        <w:tc>
          <w:tcPr>
            <w:tcW w:w="1117"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完成</w:t>
            </w:r>
          </w:p>
        </w:tc>
        <w:tc>
          <w:tcPr>
            <w:tcW w:w="136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default" w:ascii="Calibri" w:hAnsi="Calibri" w:eastAsia="宋体" w:cs="Calibri"/>
                <w:i w:val="0"/>
                <w:color w:val="000000"/>
                <w:sz w:val="20"/>
                <w:szCs w:val="20"/>
                <w:u w:val="none"/>
              </w:rPr>
            </w:pPr>
            <w:r>
              <w:rPr>
                <w:rFonts w:hint="default" w:ascii="Calibri" w:hAnsi="Calibri" w:eastAsia="宋体" w:cs="Calibri"/>
                <w:i w:val="0"/>
                <w:color w:val="000000"/>
                <w:kern w:val="0"/>
                <w:sz w:val="20"/>
                <w:szCs w:val="20"/>
                <w:u w:val="none"/>
                <w:lang w:val="en-US" w:eastAsia="zh-CN" w:bidi="ar"/>
              </w:rPr>
              <w:t>10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647" w:hRule="atLeast"/>
        </w:trPr>
        <w:tc>
          <w:tcPr>
            <w:tcW w:w="1196" w:type="dxa"/>
            <w:vMerge w:val="continue"/>
            <w:tcBorders>
              <w:top w:val="single" w:color="000000" w:sz="4" w:space="0"/>
              <w:left w:val="single" w:color="000000" w:sz="4" w:space="0"/>
              <w:bottom w:val="single" w:color="000000" w:sz="4" w:space="0"/>
              <w:right w:val="nil"/>
            </w:tcBorders>
            <w:shd w:val="clear" w:color="auto" w:fill="auto"/>
            <w:tcMar>
              <w:top w:w="15" w:type="dxa"/>
              <w:left w:w="15" w:type="dxa"/>
              <w:right w:w="15" w:type="dxa"/>
            </w:tcMar>
            <w:vAlign w:val="center"/>
          </w:tcPr>
          <w:p>
            <w:pPr>
              <w:jc w:val="center"/>
              <w:rPr>
                <w:rFonts w:hint="eastAsia" w:ascii="宋体" w:hAnsi="宋体" w:eastAsia="宋体" w:cs="宋体"/>
                <w:i w:val="0"/>
                <w:color w:val="000000"/>
                <w:sz w:val="20"/>
                <w:szCs w:val="20"/>
                <w:u w:val="none"/>
              </w:rPr>
            </w:pPr>
          </w:p>
        </w:tc>
        <w:tc>
          <w:tcPr>
            <w:tcW w:w="966" w:type="dxa"/>
            <w:vMerge w:val="continue"/>
            <w:tcBorders>
              <w:top w:val="single" w:color="000000" w:sz="4" w:space="0"/>
              <w:left w:val="single" w:color="000000" w:sz="4" w:space="0"/>
              <w:bottom w:val="nil"/>
              <w:right w:val="single" w:color="000000" w:sz="4" w:space="0"/>
            </w:tcBorders>
            <w:shd w:val="clear" w:color="auto" w:fill="auto"/>
            <w:tcMar>
              <w:top w:w="15" w:type="dxa"/>
              <w:left w:w="15" w:type="dxa"/>
              <w:right w:w="15" w:type="dxa"/>
            </w:tcMar>
            <w:vAlign w:val="center"/>
          </w:tcPr>
          <w:p>
            <w:pPr>
              <w:jc w:val="center"/>
              <w:rPr>
                <w:rFonts w:hint="eastAsia" w:ascii="宋体" w:hAnsi="宋体" w:eastAsia="宋体" w:cs="宋体"/>
                <w:i w:val="0"/>
                <w:color w:val="000000"/>
                <w:sz w:val="20"/>
                <w:szCs w:val="20"/>
                <w:u w:val="none"/>
              </w:rPr>
            </w:pPr>
          </w:p>
        </w:tc>
        <w:tc>
          <w:tcPr>
            <w:tcW w:w="899"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成本指标</w:t>
            </w:r>
          </w:p>
        </w:tc>
        <w:tc>
          <w:tcPr>
            <w:tcW w:w="0" w:type="auto"/>
            <w:gridSpan w:val="2"/>
            <w:tcBorders>
              <w:top w:val="single" w:color="000000" w:sz="4" w:space="0"/>
              <w:left w:val="single" w:color="000000" w:sz="4" w:space="0"/>
              <w:bottom w:val="nil"/>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default" w:ascii="Calibri" w:hAnsi="Calibri" w:eastAsia="宋体" w:cs="Calibri"/>
                <w:i w:val="0"/>
                <w:color w:val="000000"/>
                <w:sz w:val="20"/>
                <w:szCs w:val="20"/>
                <w:u w:val="none"/>
              </w:rPr>
            </w:pPr>
            <w:r>
              <w:rPr>
                <w:rFonts w:hint="default" w:ascii="Calibri" w:hAnsi="Calibri" w:eastAsia="宋体" w:cs="Calibri"/>
                <w:i w:val="0"/>
                <w:color w:val="000000"/>
                <w:kern w:val="0"/>
                <w:sz w:val="20"/>
                <w:szCs w:val="20"/>
                <w:u w:val="none"/>
                <w:lang w:val="en-US" w:eastAsia="zh-CN" w:bidi="ar"/>
              </w:rPr>
              <w:t>成本控制</w:t>
            </w:r>
          </w:p>
        </w:tc>
        <w:tc>
          <w:tcPr>
            <w:tcW w:w="1041"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红色文化经费使用合理度</w:t>
            </w:r>
          </w:p>
        </w:tc>
        <w:tc>
          <w:tcPr>
            <w:tcW w:w="1117"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完成</w:t>
            </w:r>
          </w:p>
        </w:tc>
        <w:tc>
          <w:tcPr>
            <w:tcW w:w="136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default" w:ascii="Calibri" w:hAnsi="Calibri" w:eastAsia="宋体" w:cs="Calibri"/>
                <w:i w:val="0"/>
                <w:color w:val="000000"/>
                <w:sz w:val="20"/>
                <w:szCs w:val="20"/>
                <w:u w:val="none"/>
              </w:rPr>
            </w:pPr>
            <w:r>
              <w:rPr>
                <w:rFonts w:hint="default" w:ascii="Calibri" w:hAnsi="Calibri" w:eastAsia="宋体" w:cs="Calibri"/>
                <w:i w:val="0"/>
                <w:color w:val="000000"/>
                <w:kern w:val="0"/>
                <w:sz w:val="20"/>
                <w:szCs w:val="20"/>
                <w:u w:val="none"/>
                <w:lang w:val="en-US" w:eastAsia="zh-CN" w:bidi="ar"/>
              </w:rPr>
              <w:t>10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935" w:hRule="atLeast"/>
        </w:trPr>
        <w:tc>
          <w:tcPr>
            <w:tcW w:w="1196" w:type="dxa"/>
            <w:vMerge w:val="continue"/>
            <w:tcBorders>
              <w:top w:val="single" w:color="000000" w:sz="4" w:space="0"/>
              <w:left w:val="single" w:color="000000" w:sz="4" w:space="0"/>
              <w:bottom w:val="single" w:color="000000" w:sz="4" w:space="0"/>
              <w:right w:val="nil"/>
            </w:tcBorders>
            <w:shd w:val="clear" w:color="auto" w:fill="auto"/>
            <w:tcMar>
              <w:top w:w="15" w:type="dxa"/>
              <w:left w:w="15" w:type="dxa"/>
              <w:right w:w="15" w:type="dxa"/>
            </w:tcMar>
            <w:vAlign w:val="center"/>
          </w:tcPr>
          <w:p>
            <w:pPr>
              <w:jc w:val="center"/>
              <w:rPr>
                <w:rFonts w:hint="eastAsia" w:ascii="宋体" w:hAnsi="宋体" w:eastAsia="宋体" w:cs="宋体"/>
                <w:i w:val="0"/>
                <w:color w:val="000000"/>
                <w:sz w:val="20"/>
                <w:szCs w:val="20"/>
                <w:u w:val="none"/>
              </w:rPr>
            </w:pPr>
          </w:p>
        </w:tc>
        <w:tc>
          <w:tcPr>
            <w:tcW w:w="966"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预算执行率指标</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（10分）</w:t>
            </w:r>
          </w:p>
        </w:tc>
        <w:tc>
          <w:tcPr>
            <w:tcW w:w="899" w:type="dxa"/>
            <w:tcBorders>
              <w:top w:val="nil"/>
              <w:left w:val="nil"/>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预算执行率</w:t>
            </w:r>
          </w:p>
        </w:tc>
        <w:tc>
          <w:tcPr>
            <w:tcW w:w="2321" w:type="dxa"/>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按期完成各项工作</w:t>
            </w:r>
          </w:p>
        </w:tc>
        <w:tc>
          <w:tcPr>
            <w:tcW w:w="1041"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达到社会满意</w:t>
            </w:r>
          </w:p>
        </w:tc>
        <w:tc>
          <w:tcPr>
            <w:tcW w:w="1117"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完成</w:t>
            </w:r>
          </w:p>
        </w:tc>
        <w:tc>
          <w:tcPr>
            <w:tcW w:w="136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default" w:ascii="Calibri" w:hAnsi="Calibri" w:eastAsia="宋体" w:cs="Calibri"/>
                <w:i w:val="0"/>
                <w:color w:val="000000"/>
                <w:sz w:val="20"/>
                <w:szCs w:val="20"/>
                <w:u w:val="none"/>
              </w:rPr>
            </w:pPr>
            <w:r>
              <w:rPr>
                <w:rFonts w:hint="default" w:ascii="Calibri" w:hAnsi="Calibri" w:eastAsia="宋体" w:cs="Calibri"/>
                <w:i w:val="0"/>
                <w:color w:val="000000"/>
                <w:kern w:val="0"/>
                <w:sz w:val="20"/>
                <w:szCs w:val="20"/>
                <w:u w:val="none"/>
                <w:lang w:val="en-US" w:eastAsia="zh-CN" w:bidi="ar"/>
              </w:rPr>
              <w:t>10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935" w:hRule="atLeast"/>
        </w:trPr>
        <w:tc>
          <w:tcPr>
            <w:tcW w:w="1196" w:type="dxa"/>
            <w:vMerge w:val="continue"/>
            <w:tcBorders>
              <w:top w:val="single" w:color="000000" w:sz="4" w:space="0"/>
              <w:left w:val="single" w:color="000000" w:sz="4" w:space="0"/>
              <w:bottom w:val="single" w:color="000000" w:sz="4" w:space="0"/>
              <w:right w:val="nil"/>
            </w:tcBorders>
            <w:shd w:val="clear" w:color="auto" w:fill="auto"/>
            <w:tcMar>
              <w:top w:w="15" w:type="dxa"/>
              <w:left w:w="15" w:type="dxa"/>
              <w:right w:w="15" w:type="dxa"/>
            </w:tcMar>
            <w:vAlign w:val="center"/>
          </w:tcPr>
          <w:p>
            <w:pPr>
              <w:jc w:val="center"/>
              <w:rPr>
                <w:rFonts w:hint="eastAsia" w:ascii="宋体" w:hAnsi="宋体" w:eastAsia="宋体" w:cs="宋体"/>
                <w:i w:val="0"/>
                <w:color w:val="000000"/>
                <w:sz w:val="20"/>
                <w:szCs w:val="20"/>
                <w:u w:val="none"/>
              </w:rPr>
            </w:pPr>
          </w:p>
        </w:tc>
        <w:tc>
          <w:tcPr>
            <w:tcW w:w="966" w:type="dxa"/>
            <w:vMerge w:val="restart"/>
            <w:tcBorders>
              <w:top w:val="nil"/>
              <w:left w:val="single" w:color="000000" w:sz="4" w:space="0"/>
              <w:bottom w:val="nil"/>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效益指标（40）</w:t>
            </w:r>
          </w:p>
        </w:tc>
        <w:tc>
          <w:tcPr>
            <w:tcW w:w="899" w:type="dxa"/>
            <w:tcBorders>
              <w:top w:val="single" w:color="000000" w:sz="4" w:space="0"/>
              <w:left w:val="nil"/>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经济效益指标</w:t>
            </w:r>
          </w:p>
        </w:tc>
        <w:tc>
          <w:tcPr>
            <w:tcW w:w="2321" w:type="dxa"/>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助推经济发展</w:t>
            </w:r>
          </w:p>
        </w:tc>
        <w:tc>
          <w:tcPr>
            <w:tcW w:w="1041"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红色文化发展带动相关产业发展</w:t>
            </w:r>
          </w:p>
        </w:tc>
        <w:tc>
          <w:tcPr>
            <w:tcW w:w="1117"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完成</w:t>
            </w:r>
          </w:p>
        </w:tc>
        <w:tc>
          <w:tcPr>
            <w:tcW w:w="136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default" w:ascii="Calibri" w:hAnsi="Calibri" w:eastAsia="宋体" w:cs="Calibri"/>
                <w:i w:val="0"/>
                <w:color w:val="000000"/>
                <w:sz w:val="20"/>
                <w:szCs w:val="20"/>
                <w:u w:val="none"/>
              </w:rPr>
            </w:pPr>
            <w:r>
              <w:rPr>
                <w:rFonts w:hint="default" w:ascii="Calibri" w:hAnsi="Calibri" w:eastAsia="宋体" w:cs="Calibri"/>
                <w:i w:val="0"/>
                <w:color w:val="000000"/>
                <w:kern w:val="0"/>
                <w:sz w:val="20"/>
                <w:szCs w:val="20"/>
                <w:u w:val="none"/>
                <w:lang w:val="en-US" w:eastAsia="zh-CN" w:bidi="ar"/>
              </w:rPr>
              <w:t>10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631" w:hRule="atLeast"/>
        </w:trPr>
        <w:tc>
          <w:tcPr>
            <w:tcW w:w="1196" w:type="dxa"/>
            <w:vMerge w:val="continue"/>
            <w:tcBorders>
              <w:top w:val="single" w:color="000000" w:sz="4" w:space="0"/>
              <w:left w:val="single" w:color="000000" w:sz="4" w:space="0"/>
              <w:bottom w:val="single" w:color="000000" w:sz="4" w:space="0"/>
              <w:right w:val="nil"/>
            </w:tcBorders>
            <w:shd w:val="clear" w:color="auto" w:fill="auto"/>
            <w:tcMar>
              <w:top w:w="15" w:type="dxa"/>
              <w:left w:w="15" w:type="dxa"/>
              <w:right w:w="15" w:type="dxa"/>
            </w:tcMar>
            <w:vAlign w:val="center"/>
          </w:tcPr>
          <w:p>
            <w:pPr>
              <w:jc w:val="center"/>
              <w:rPr>
                <w:rFonts w:hint="eastAsia" w:ascii="宋体" w:hAnsi="宋体" w:eastAsia="宋体" w:cs="宋体"/>
                <w:i w:val="0"/>
                <w:color w:val="000000"/>
                <w:sz w:val="20"/>
                <w:szCs w:val="20"/>
                <w:u w:val="none"/>
              </w:rPr>
            </w:pPr>
          </w:p>
        </w:tc>
        <w:tc>
          <w:tcPr>
            <w:tcW w:w="966" w:type="dxa"/>
            <w:vMerge w:val="continue"/>
            <w:tcBorders>
              <w:top w:val="nil"/>
              <w:left w:val="single" w:color="000000" w:sz="4" w:space="0"/>
              <w:bottom w:val="nil"/>
              <w:right w:val="single" w:color="000000" w:sz="4" w:space="0"/>
            </w:tcBorders>
            <w:shd w:val="clear" w:color="auto" w:fill="auto"/>
            <w:tcMar>
              <w:top w:w="15" w:type="dxa"/>
              <w:left w:w="15" w:type="dxa"/>
              <w:right w:w="15" w:type="dxa"/>
            </w:tcMar>
            <w:vAlign w:val="center"/>
          </w:tcPr>
          <w:p>
            <w:pPr>
              <w:jc w:val="center"/>
              <w:rPr>
                <w:rFonts w:hint="eastAsia" w:ascii="宋体" w:hAnsi="宋体" w:eastAsia="宋体" w:cs="宋体"/>
                <w:i w:val="0"/>
                <w:color w:val="000000"/>
                <w:sz w:val="20"/>
                <w:szCs w:val="20"/>
                <w:u w:val="none"/>
              </w:rPr>
            </w:pPr>
          </w:p>
        </w:tc>
        <w:tc>
          <w:tcPr>
            <w:tcW w:w="899" w:type="dxa"/>
            <w:tcBorders>
              <w:top w:val="single" w:color="000000" w:sz="4" w:space="0"/>
              <w:left w:val="nil"/>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社会效益指标</w:t>
            </w:r>
          </w:p>
        </w:tc>
        <w:tc>
          <w:tcPr>
            <w:tcW w:w="2321" w:type="dxa"/>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社会影响面广</w:t>
            </w:r>
          </w:p>
        </w:tc>
        <w:tc>
          <w:tcPr>
            <w:tcW w:w="1041"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红色文化社  会影响力</w:t>
            </w:r>
          </w:p>
        </w:tc>
        <w:tc>
          <w:tcPr>
            <w:tcW w:w="1117"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完成</w:t>
            </w:r>
          </w:p>
        </w:tc>
        <w:tc>
          <w:tcPr>
            <w:tcW w:w="136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default" w:ascii="Calibri" w:hAnsi="Calibri" w:eastAsia="宋体" w:cs="Calibri"/>
                <w:i w:val="0"/>
                <w:color w:val="000000"/>
                <w:sz w:val="20"/>
                <w:szCs w:val="20"/>
                <w:u w:val="none"/>
              </w:rPr>
            </w:pPr>
            <w:r>
              <w:rPr>
                <w:rFonts w:hint="default" w:ascii="Calibri" w:hAnsi="Calibri" w:eastAsia="宋体" w:cs="Calibri"/>
                <w:i w:val="0"/>
                <w:color w:val="000000"/>
                <w:kern w:val="0"/>
                <w:sz w:val="20"/>
                <w:szCs w:val="20"/>
                <w:u w:val="none"/>
                <w:lang w:val="en-US" w:eastAsia="zh-CN" w:bidi="ar"/>
              </w:rPr>
              <w:t>10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631" w:hRule="atLeast"/>
        </w:trPr>
        <w:tc>
          <w:tcPr>
            <w:tcW w:w="1196" w:type="dxa"/>
            <w:vMerge w:val="continue"/>
            <w:tcBorders>
              <w:top w:val="single" w:color="000000" w:sz="4" w:space="0"/>
              <w:left w:val="single" w:color="000000" w:sz="4" w:space="0"/>
              <w:bottom w:val="single" w:color="000000" w:sz="4" w:space="0"/>
              <w:right w:val="nil"/>
            </w:tcBorders>
            <w:shd w:val="clear" w:color="auto" w:fill="auto"/>
            <w:tcMar>
              <w:top w:w="15" w:type="dxa"/>
              <w:left w:w="15" w:type="dxa"/>
              <w:right w:w="15" w:type="dxa"/>
            </w:tcMar>
            <w:vAlign w:val="center"/>
          </w:tcPr>
          <w:p>
            <w:pPr>
              <w:jc w:val="center"/>
              <w:rPr>
                <w:rFonts w:hint="eastAsia" w:ascii="宋体" w:hAnsi="宋体" w:eastAsia="宋体" w:cs="宋体"/>
                <w:i w:val="0"/>
                <w:color w:val="000000"/>
                <w:sz w:val="20"/>
                <w:szCs w:val="20"/>
                <w:u w:val="none"/>
              </w:rPr>
            </w:pPr>
          </w:p>
        </w:tc>
        <w:tc>
          <w:tcPr>
            <w:tcW w:w="966" w:type="dxa"/>
            <w:vMerge w:val="continue"/>
            <w:tcBorders>
              <w:top w:val="nil"/>
              <w:left w:val="single" w:color="000000" w:sz="4" w:space="0"/>
              <w:bottom w:val="nil"/>
              <w:right w:val="single" w:color="000000" w:sz="4" w:space="0"/>
            </w:tcBorders>
            <w:shd w:val="clear" w:color="auto" w:fill="auto"/>
            <w:tcMar>
              <w:top w:w="15" w:type="dxa"/>
              <w:left w:w="15" w:type="dxa"/>
              <w:right w:w="15" w:type="dxa"/>
            </w:tcMar>
            <w:vAlign w:val="center"/>
          </w:tcPr>
          <w:p>
            <w:pPr>
              <w:jc w:val="center"/>
              <w:rPr>
                <w:rFonts w:hint="eastAsia" w:ascii="宋体" w:hAnsi="宋体" w:eastAsia="宋体" w:cs="宋体"/>
                <w:i w:val="0"/>
                <w:color w:val="000000"/>
                <w:sz w:val="20"/>
                <w:szCs w:val="20"/>
                <w:u w:val="none"/>
              </w:rPr>
            </w:pPr>
          </w:p>
        </w:tc>
        <w:tc>
          <w:tcPr>
            <w:tcW w:w="899" w:type="dxa"/>
            <w:tcBorders>
              <w:top w:val="single" w:color="000000" w:sz="4" w:space="0"/>
              <w:left w:val="nil"/>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生态效益指标</w:t>
            </w:r>
          </w:p>
        </w:tc>
        <w:tc>
          <w:tcPr>
            <w:tcW w:w="2321" w:type="dxa"/>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营造良好政治生态</w:t>
            </w:r>
          </w:p>
        </w:tc>
        <w:tc>
          <w:tcPr>
            <w:tcW w:w="1041" w:type="dxa"/>
            <w:tcBorders>
              <w:top w:val="single" w:color="000000" w:sz="4" w:space="0"/>
              <w:left w:val="single" w:color="000000" w:sz="4" w:space="0"/>
              <w:bottom w:val="nil"/>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社会生态好</w:t>
            </w:r>
          </w:p>
        </w:tc>
        <w:tc>
          <w:tcPr>
            <w:tcW w:w="1117"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完成</w:t>
            </w:r>
          </w:p>
        </w:tc>
        <w:tc>
          <w:tcPr>
            <w:tcW w:w="136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default" w:ascii="Calibri" w:hAnsi="Calibri" w:eastAsia="宋体" w:cs="Calibri"/>
                <w:i w:val="0"/>
                <w:color w:val="000000"/>
                <w:sz w:val="20"/>
                <w:szCs w:val="20"/>
                <w:u w:val="none"/>
              </w:rPr>
            </w:pPr>
            <w:r>
              <w:rPr>
                <w:rFonts w:hint="default" w:ascii="Calibri" w:hAnsi="Calibri" w:eastAsia="宋体" w:cs="Calibri"/>
                <w:i w:val="0"/>
                <w:color w:val="000000"/>
                <w:kern w:val="0"/>
                <w:sz w:val="20"/>
                <w:szCs w:val="20"/>
                <w:u w:val="none"/>
                <w:lang w:val="en-US" w:eastAsia="zh-CN" w:bidi="ar"/>
              </w:rPr>
              <w:t>10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935" w:hRule="atLeast"/>
        </w:trPr>
        <w:tc>
          <w:tcPr>
            <w:tcW w:w="1196" w:type="dxa"/>
            <w:vMerge w:val="continue"/>
            <w:tcBorders>
              <w:top w:val="single" w:color="000000" w:sz="4" w:space="0"/>
              <w:left w:val="single" w:color="000000" w:sz="4" w:space="0"/>
              <w:bottom w:val="single" w:color="000000" w:sz="4" w:space="0"/>
              <w:right w:val="nil"/>
            </w:tcBorders>
            <w:shd w:val="clear" w:color="auto" w:fill="auto"/>
            <w:tcMar>
              <w:top w:w="15" w:type="dxa"/>
              <w:left w:w="15" w:type="dxa"/>
              <w:right w:w="15" w:type="dxa"/>
            </w:tcMar>
            <w:vAlign w:val="center"/>
          </w:tcPr>
          <w:p>
            <w:pPr>
              <w:jc w:val="center"/>
              <w:rPr>
                <w:rFonts w:hint="eastAsia" w:ascii="宋体" w:hAnsi="宋体" w:eastAsia="宋体" w:cs="宋体"/>
                <w:i w:val="0"/>
                <w:color w:val="000000"/>
                <w:sz w:val="20"/>
                <w:szCs w:val="20"/>
                <w:u w:val="none"/>
              </w:rPr>
            </w:pPr>
          </w:p>
        </w:tc>
        <w:tc>
          <w:tcPr>
            <w:tcW w:w="966" w:type="dxa"/>
            <w:vMerge w:val="continue"/>
            <w:tcBorders>
              <w:top w:val="nil"/>
              <w:left w:val="single" w:color="000000" w:sz="4" w:space="0"/>
              <w:bottom w:val="nil"/>
              <w:right w:val="single" w:color="000000" w:sz="4" w:space="0"/>
            </w:tcBorders>
            <w:shd w:val="clear" w:color="auto" w:fill="auto"/>
            <w:tcMar>
              <w:top w:w="15" w:type="dxa"/>
              <w:left w:w="15" w:type="dxa"/>
              <w:right w:w="15" w:type="dxa"/>
            </w:tcMar>
            <w:vAlign w:val="center"/>
          </w:tcPr>
          <w:p>
            <w:pPr>
              <w:jc w:val="center"/>
              <w:rPr>
                <w:rFonts w:hint="eastAsia" w:ascii="宋体" w:hAnsi="宋体" w:eastAsia="宋体" w:cs="宋体"/>
                <w:i w:val="0"/>
                <w:color w:val="000000"/>
                <w:sz w:val="20"/>
                <w:szCs w:val="20"/>
                <w:u w:val="none"/>
              </w:rPr>
            </w:pPr>
          </w:p>
        </w:tc>
        <w:tc>
          <w:tcPr>
            <w:tcW w:w="899" w:type="dxa"/>
            <w:tcBorders>
              <w:top w:val="single" w:color="000000" w:sz="4" w:space="0"/>
              <w:left w:val="nil"/>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可持续影响指标</w:t>
            </w:r>
          </w:p>
        </w:tc>
        <w:tc>
          <w:tcPr>
            <w:tcW w:w="2321" w:type="dxa"/>
            <w:gridSpan w:val="2"/>
            <w:tcBorders>
              <w:top w:val="single" w:color="000000" w:sz="4" w:space="0"/>
              <w:left w:val="single" w:color="000000" w:sz="4" w:space="0"/>
              <w:bottom w:val="nil"/>
              <w:right w:val="nil"/>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default" w:ascii="Calibri" w:hAnsi="Calibri" w:eastAsia="宋体" w:cs="Calibri"/>
                <w:i w:val="0"/>
                <w:color w:val="000000"/>
                <w:sz w:val="20"/>
                <w:szCs w:val="20"/>
                <w:u w:val="none"/>
              </w:rPr>
            </w:pPr>
            <w:r>
              <w:rPr>
                <w:rFonts w:hint="default" w:ascii="Calibri" w:hAnsi="Calibri" w:eastAsia="宋体" w:cs="Calibri"/>
                <w:i w:val="0"/>
                <w:color w:val="000000"/>
                <w:kern w:val="0"/>
                <w:sz w:val="20"/>
                <w:szCs w:val="20"/>
                <w:u w:val="none"/>
                <w:lang w:val="en-US" w:eastAsia="zh-CN" w:bidi="ar"/>
              </w:rPr>
              <w:t>可持续性</w:t>
            </w:r>
          </w:p>
        </w:tc>
        <w:tc>
          <w:tcPr>
            <w:tcW w:w="1041"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top"/>
          </w:tcPr>
          <w:p>
            <w:pPr>
              <w:keepNext w:val="0"/>
              <w:keepLines w:val="0"/>
              <w:widowControl/>
              <w:suppressLineNumbers w:val="0"/>
              <w:jc w:val="left"/>
              <w:textAlignment w:val="top"/>
              <w:rPr>
                <w:rFonts w:hint="default" w:ascii="Calibri" w:hAnsi="Calibri" w:eastAsia="宋体" w:cs="Calibri"/>
                <w:i w:val="0"/>
                <w:color w:val="000000"/>
                <w:sz w:val="20"/>
                <w:szCs w:val="20"/>
                <w:u w:val="none"/>
              </w:rPr>
            </w:pPr>
            <w:r>
              <w:rPr>
                <w:rFonts w:hint="default" w:ascii="Calibri" w:hAnsi="Calibri" w:eastAsia="宋体" w:cs="Calibri"/>
                <w:i w:val="0"/>
                <w:color w:val="000000"/>
                <w:kern w:val="0"/>
                <w:sz w:val="20"/>
                <w:szCs w:val="20"/>
                <w:u w:val="none"/>
                <w:lang w:val="en-US" w:eastAsia="zh-CN" w:bidi="ar"/>
              </w:rPr>
              <w:t>红色文化的可持续利用程度和发展前景</w:t>
            </w:r>
          </w:p>
        </w:tc>
        <w:tc>
          <w:tcPr>
            <w:tcW w:w="1117"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完成</w:t>
            </w:r>
          </w:p>
        </w:tc>
        <w:tc>
          <w:tcPr>
            <w:tcW w:w="136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default" w:ascii="Calibri" w:hAnsi="Calibri" w:eastAsia="宋体" w:cs="Calibri"/>
                <w:i w:val="0"/>
                <w:color w:val="000000"/>
                <w:sz w:val="20"/>
                <w:szCs w:val="20"/>
                <w:u w:val="none"/>
              </w:rPr>
            </w:pPr>
            <w:r>
              <w:rPr>
                <w:rFonts w:hint="default" w:ascii="Calibri" w:hAnsi="Calibri" w:eastAsia="宋体" w:cs="Calibri"/>
                <w:i w:val="0"/>
                <w:color w:val="000000"/>
                <w:kern w:val="0"/>
                <w:sz w:val="20"/>
                <w:szCs w:val="20"/>
                <w:u w:val="none"/>
                <w:lang w:val="en-US" w:eastAsia="zh-CN" w:bidi="ar"/>
              </w:rPr>
              <w:t>10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631" w:hRule="atLeast"/>
        </w:trPr>
        <w:tc>
          <w:tcPr>
            <w:tcW w:w="1196" w:type="dxa"/>
            <w:vMerge w:val="continue"/>
            <w:tcBorders>
              <w:top w:val="single" w:color="000000" w:sz="4" w:space="0"/>
              <w:left w:val="single" w:color="000000" w:sz="4" w:space="0"/>
              <w:bottom w:val="single" w:color="000000" w:sz="4" w:space="0"/>
              <w:right w:val="nil"/>
            </w:tcBorders>
            <w:shd w:val="clear" w:color="auto" w:fill="auto"/>
            <w:tcMar>
              <w:top w:w="15" w:type="dxa"/>
              <w:left w:w="15" w:type="dxa"/>
              <w:right w:w="15" w:type="dxa"/>
            </w:tcMar>
            <w:vAlign w:val="center"/>
          </w:tcPr>
          <w:p>
            <w:pPr>
              <w:jc w:val="center"/>
              <w:rPr>
                <w:rFonts w:hint="eastAsia" w:ascii="宋体" w:hAnsi="宋体" w:eastAsia="宋体" w:cs="宋体"/>
                <w:i w:val="0"/>
                <w:color w:val="000000"/>
                <w:sz w:val="20"/>
                <w:szCs w:val="20"/>
                <w:u w:val="none"/>
              </w:rPr>
            </w:pPr>
          </w:p>
        </w:tc>
        <w:tc>
          <w:tcPr>
            <w:tcW w:w="966"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满意度指标</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（10分）</w:t>
            </w:r>
          </w:p>
        </w:tc>
        <w:tc>
          <w:tcPr>
            <w:tcW w:w="899" w:type="dxa"/>
            <w:tcBorders>
              <w:top w:val="single" w:color="000000" w:sz="4" w:space="0"/>
              <w:left w:val="nil"/>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满意度指标</w:t>
            </w:r>
          </w:p>
        </w:tc>
        <w:tc>
          <w:tcPr>
            <w:tcW w:w="2321" w:type="dxa"/>
            <w:gridSpan w:val="2"/>
            <w:tcBorders>
              <w:top w:val="single" w:color="000000" w:sz="4" w:space="0"/>
              <w:left w:val="single" w:color="000000" w:sz="4" w:space="0"/>
              <w:bottom w:val="single" w:color="000000" w:sz="4" w:space="0"/>
              <w:right w:val="nil"/>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社会和服务对象满意</w:t>
            </w:r>
          </w:p>
        </w:tc>
        <w:tc>
          <w:tcPr>
            <w:tcW w:w="1041"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top"/>
          </w:tcPr>
          <w:p>
            <w:pPr>
              <w:keepNext w:val="0"/>
              <w:keepLines w:val="0"/>
              <w:widowControl/>
              <w:suppressLineNumbers w:val="0"/>
              <w:jc w:val="left"/>
              <w:textAlignment w:val="top"/>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社会和服务对象满意度</w:t>
            </w:r>
          </w:p>
        </w:tc>
        <w:tc>
          <w:tcPr>
            <w:tcW w:w="1117"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完成</w:t>
            </w:r>
          </w:p>
        </w:tc>
        <w:tc>
          <w:tcPr>
            <w:tcW w:w="136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default" w:ascii="Calibri" w:hAnsi="Calibri" w:eastAsia="宋体" w:cs="Calibri"/>
                <w:i w:val="0"/>
                <w:color w:val="000000"/>
                <w:sz w:val="20"/>
                <w:szCs w:val="20"/>
                <w:u w:val="none"/>
              </w:rPr>
            </w:pPr>
            <w:r>
              <w:rPr>
                <w:rFonts w:hint="default" w:ascii="Calibri" w:hAnsi="Calibri" w:eastAsia="宋体" w:cs="Calibri"/>
                <w:i w:val="0"/>
                <w:color w:val="000000"/>
                <w:kern w:val="0"/>
                <w:sz w:val="20"/>
                <w:szCs w:val="20"/>
                <w:u w:val="none"/>
                <w:lang w:val="en-US" w:eastAsia="zh-CN" w:bidi="ar"/>
              </w:rPr>
              <w:t>10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327" w:hRule="atLeast"/>
        </w:trPr>
        <w:tc>
          <w:tcPr>
            <w:tcW w:w="1196" w:type="dxa"/>
            <w:vMerge w:val="continue"/>
            <w:tcBorders>
              <w:top w:val="single" w:color="000000" w:sz="4" w:space="0"/>
              <w:left w:val="single" w:color="000000" w:sz="4" w:space="0"/>
              <w:bottom w:val="single" w:color="000000" w:sz="4" w:space="0"/>
              <w:right w:val="nil"/>
            </w:tcBorders>
            <w:shd w:val="clear" w:color="auto" w:fill="auto"/>
            <w:tcMar>
              <w:top w:w="15" w:type="dxa"/>
              <w:left w:w="15" w:type="dxa"/>
              <w:right w:w="15" w:type="dxa"/>
            </w:tcMar>
            <w:vAlign w:val="center"/>
          </w:tcPr>
          <w:p>
            <w:pPr>
              <w:jc w:val="center"/>
              <w:rPr>
                <w:rFonts w:hint="eastAsia" w:ascii="宋体" w:hAnsi="宋体" w:eastAsia="宋体" w:cs="宋体"/>
                <w:i w:val="0"/>
                <w:color w:val="000000"/>
                <w:sz w:val="20"/>
                <w:szCs w:val="20"/>
                <w:u w:val="none"/>
              </w:rPr>
            </w:pPr>
          </w:p>
        </w:tc>
        <w:tc>
          <w:tcPr>
            <w:tcW w:w="6344" w:type="dxa"/>
            <w:gridSpan w:val="6"/>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总分</w:t>
            </w:r>
          </w:p>
        </w:tc>
        <w:tc>
          <w:tcPr>
            <w:tcW w:w="136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default" w:ascii="Calibri" w:hAnsi="Calibri" w:eastAsia="宋体" w:cs="Calibri"/>
                <w:i w:val="0"/>
                <w:color w:val="000000"/>
                <w:sz w:val="20"/>
                <w:szCs w:val="20"/>
                <w:u w:val="none"/>
              </w:rPr>
            </w:pPr>
            <w:r>
              <w:rPr>
                <w:rFonts w:hint="default" w:ascii="Calibri" w:hAnsi="Calibri" w:eastAsia="宋体" w:cs="Calibri"/>
                <w:i w:val="0"/>
                <w:color w:val="000000"/>
                <w:kern w:val="0"/>
                <w:sz w:val="20"/>
                <w:szCs w:val="20"/>
                <w:u w:val="none"/>
                <w:lang w:val="en-US" w:eastAsia="zh-CN" w:bidi="ar"/>
              </w:rPr>
              <w:t>100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935" w:hRule="atLeast"/>
        </w:trPr>
        <w:tc>
          <w:tcPr>
            <w:tcW w:w="1196" w:type="dxa"/>
            <w:tcBorders>
              <w:top w:val="nil"/>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五、</w:t>
            </w:r>
            <w:r>
              <w:rPr>
                <w:rFonts w:ascii="Calibri" w:hAnsi="Calibri" w:eastAsia="宋体" w:cs="Calibri"/>
                <w:i w:val="0"/>
                <w:color w:val="000000"/>
                <w:kern w:val="0"/>
                <w:sz w:val="20"/>
                <w:szCs w:val="20"/>
                <w:u w:val="none"/>
                <w:lang w:val="en-US" w:eastAsia="zh-CN" w:bidi="ar"/>
              </w:rPr>
              <w:t xml:space="preserve"> </w:t>
            </w:r>
            <w:r>
              <w:rPr>
                <w:rFonts w:hint="eastAsia" w:ascii="宋体" w:hAnsi="宋体" w:eastAsia="宋体" w:cs="宋体"/>
                <w:i w:val="0"/>
                <w:color w:val="000000"/>
                <w:kern w:val="0"/>
                <w:sz w:val="20"/>
                <w:szCs w:val="20"/>
                <w:u w:val="none"/>
                <w:lang w:val="en-US" w:eastAsia="zh-CN" w:bidi="ar"/>
              </w:rPr>
              <w:t>存在问题、原因及下一步整改措施</w:t>
            </w:r>
          </w:p>
        </w:tc>
        <w:tc>
          <w:tcPr>
            <w:tcW w:w="7704" w:type="dxa"/>
            <w:gridSpan w:val="7"/>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今后要做好项目前期调研和摸排工作，做好充足的前期准备，对执行过程中可能出现的问题充分预判，做好应急预案，以便项目顺利建设实施。</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388" w:hRule="atLeast"/>
        </w:trPr>
        <w:tc>
          <w:tcPr>
            <w:tcW w:w="0" w:type="auto"/>
            <w:tcBorders>
              <w:top w:val="nil"/>
              <w:left w:val="nil"/>
              <w:bottom w:val="nil"/>
              <w:right w:val="nil"/>
            </w:tcBorders>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填报人：裴辉茹</w:t>
            </w:r>
          </w:p>
        </w:tc>
        <w:tc>
          <w:tcPr>
            <w:tcW w:w="0" w:type="auto"/>
            <w:tcBorders>
              <w:top w:val="nil"/>
              <w:left w:val="nil"/>
              <w:bottom w:val="nil"/>
              <w:right w:val="nil"/>
            </w:tcBorders>
            <w:shd w:val="clear" w:color="auto" w:fill="auto"/>
            <w:noWrap/>
            <w:tcMar>
              <w:top w:w="15" w:type="dxa"/>
              <w:left w:w="15" w:type="dxa"/>
              <w:right w:w="15" w:type="dxa"/>
            </w:tcMar>
            <w:vAlign w:val="center"/>
          </w:tcPr>
          <w:p>
            <w:pPr>
              <w:jc w:val="center"/>
              <w:rPr>
                <w:rFonts w:hint="eastAsia" w:ascii="宋体" w:hAnsi="宋体" w:eastAsia="宋体" w:cs="宋体"/>
                <w:i w:val="0"/>
                <w:color w:val="000000"/>
                <w:sz w:val="20"/>
                <w:szCs w:val="20"/>
                <w:u w:val="none"/>
              </w:rPr>
            </w:pPr>
          </w:p>
        </w:tc>
        <w:tc>
          <w:tcPr>
            <w:tcW w:w="0" w:type="auto"/>
            <w:tcBorders>
              <w:top w:val="nil"/>
              <w:left w:val="nil"/>
              <w:bottom w:val="nil"/>
              <w:right w:val="nil"/>
            </w:tcBorders>
            <w:shd w:val="clear" w:color="auto" w:fill="auto"/>
            <w:noWrap/>
            <w:tcMar>
              <w:top w:w="15" w:type="dxa"/>
              <w:left w:w="15" w:type="dxa"/>
              <w:right w:w="15" w:type="dxa"/>
            </w:tcMar>
            <w:vAlign w:val="center"/>
          </w:tcPr>
          <w:p>
            <w:pPr>
              <w:jc w:val="center"/>
              <w:rPr>
                <w:rFonts w:hint="eastAsia" w:ascii="宋体" w:hAnsi="宋体" w:eastAsia="宋体" w:cs="宋体"/>
                <w:i w:val="0"/>
                <w:color w:val="000000"/>
                <w:sz w:val="20"/>
                <w:szCs w:val="20"/>
                <w:u w:val="none"/>
              </w:rPr>
            </w:pPr>
          </w:p>
        </w:tc>
        <w:tc>
          <w:tcPr>
            <w:tcW w:w="0" w:type="auto"/>
            <w:tcBorders>
              <w:top w:val="nil"/>
              <w:left w:val="nil"/>
              <w:bottom w:val="nil"/>
              <w:right w:val="nil"/>
            </w:tcBorders>
            <w:shd w:val="clear" w:color="auto" w:fill="auto"/>
            <w:noWrap/>
            <w:tcMar>
              <w:top w:w="15" w:type="dxa"/>
              <w:left w:w="15" w:type="dxa"/>
              <w:right w:w="15" w:type="dxa"/>
            </w:tcMar>
            <w:vAlign w:val="center"/>
          </w:tcPr>
          <w:p>
            <w:pPr>
              <w:jc w:val="center"/>
              <w:rPr>
                <w:rFonts w:hint="eastAsia" w:ascii="宋体" w:hAnsi="宋体" w:eastAsia="宋体" w:cs="宋体"/>
                <w:i w:val="0"/>
                <w:color w:val="000000"/>
                <w:sz w:val="20"/>
                <w:szCs w:val="20"/>
                <w:u w:val="none"/>
              </w:rPr>
            </w:pPr>
          </w:p>
        </w:tc>
        <w:tc>
          <w:tcPr>
            <w:tcW w:w="0" w:type="auto"/>
            <w:tcBorders>
              <w:top w:val="nil"/>
              <w:left w:val="nil"/>
              <w:bottom w:val="nil"/>
              <w:right w:val="nil"/>
            </w:tcBorders>
            <w:shd w:val="clear" w:color="auto" w:fill="auto"/>
            <w:noWrap/>
            <w:tcMar>
              <w:top w:w="15" w:type="dxa"/>
              <w:left w:w="15" w:type="dxa"/>
              <w:right w:w="15" w:type="dxa"/>
            </w:tcMar>
            <w:vAlign w:val="center"/>
          </w:tcPr>
          <w:p>
            <w:pPr>
              <w:jc w:val="center"/>
              <w:rPr>
                <w:rFonts w:hint="eastAsia" w:ascii="宋体" w:hAnsi="宋体" w:eastAsia="宋体" w:cs="宋体"/>
                <w:i w:val="0"/>
                <w:color w:val="000000"/>
                <w:sz w:val="20"/>
                <w:szCs w:val="20"/>
                <w:u w:val="none"/>
              </w:rPr>
            </w:pPr>
          </w:p>
        </w:tc>
        <w:tc>
          <w:tcPr>
            <w:tcW w:w="0" w:type="auto"/>
            <w:tcBorders>
              <w:top w:val="nil"/>
              <w:left w:val="nil"/>
              <w:bottom w:val="nil"/>
              <w:right w:val="nil"/>
            </w:tcBorders>
            <w:shd w:val="clear" w:color="auto" w:fill="auto"/>
            <w:noWrap/>
            <w:tcMar>
              <w:top w:w="15" w:type="dxa"/>
              <w:left w:w="15" w:type="dxa"/>
              <w:right w:w="15" w:type="dxa"/>
            </w:tcMar>
            <w:vAlign w:val="center"/>
          </w:tcPr>
          <w:p>
            <w:pPr>
              <w:jc w:val="center"/>
              <w:rPr>
                <w:rFonts w:hint="eastAsia" w:ascii="宋体" w:hAnsi="宋体" w:eastAsia="宋体" w:cs="宋体"/>
                <w:i w:val="0"/>
                <w:color w:val="000000"/>
                <w:sz w:val="20"/>
                <w:szCs w:val="20"/>
                <w:u w:val="none"/>
              </w:rPr>
            </w:pPr>
          </w:p>
        </w:tc>
        <w:tc>
          <w:tcPr>
            <w:tcW w:w="0" w:type="auto"/>
            <w:tcBorders>
              <w:top w:val="nil"/>
              <w:left w:val="nil"/>
              <w:bottom w:val="nil"/>
              <w:right w:val="nil"/>
            </w:tcBorders>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联系电话：</w:t>
            </w:r>
          </w:p>
        </w:tc>
        <w:tc>
          <w:tcPr>
            <w:tcW w:w="0" w:type="auto"/>
            <w:tcBorders>
              <w:top w:val="nil"/>
              <w:left w:val="nil"/>
              <w:bottom w:val="nil"/>
              <w:right w:val="nil"/>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15128151286</w:t>
            </w:r>
          </w:p>
        </w:tc>
      </w:tr>
    </w:tbl>
    <w:p>
      <w:pPr>
        <w:widowControl/>
        <w:spacing w:before="0" w:beforeLines="0" w:beforeAutospacing="0" w:after="0" w:afterLines="0" w:afterAutospacing="0" w:line="360" w:lineRule="auto"/>
        <w:ind w:firstLine="640" w:firstLineChars="200"/>
        <w:jc w:val="left"/>
        <w:rPr>
          <w:rFonts w:ascii="Times New Roman" w:eastAsia="仿宋_GB2312"/>
          <w:sz w:val="32"/>
          <w:szCs w:val="32"/>
        </w:rPr>
      </w:pPr>
    </w:p>
    <w:p>
      <w:pPr>
        <w:widowControl/>
        <w:spacing w:before="0" w:beforeLines="0" w:beforeAutospacing="0" w:after="0" w:afterLines="0" w:afterAutospacing="0" w:line="360" w:lineRule="auto"/>
        <w:ind w:firstLine="643" w:firstLineChars="200"/>
        <w:jc w:val="left"/>
        <w:rPr>
          <w:rFonts w:ascii="Times New Roman" w:eastAsia="仿宋_GB2312"/>
          <w:sz w:val="32"/>
          <w:szCs w:val="32"/>
        </w:rPr>
      </w:pPr>
      <w:r>
        <w:rPr>
          <w:rFonts w:ascii="Times New Roman" w:eastAsia="仿宋_GB2312"/>
          <w:b/>
          <w:sz w:val="32"/>
          <w:szCs w:val="32"/>
        </w:rPr>
        <w:t>（三）部门评价项目绩效评价结果（如有）</w:t>
      </w:r>
    </w:p>
    <w:p>
      <w:pPr>
        <w:ind w:firstLine="640" w:firstLineChars="200"/>
        <w:rPr>
          <w:rFonts w:ascii="Times New Roman" w:eastAsia="仿宋_GB2312"/>
          <w:sz w:val="32"/>
          <w:szCs w:val="32"/>
        </w:rPr>
      </w:pPr>
      <w:r>
        <w:rPr>
          <w:rFonts w:hint="eastAsia" w:ascii="仿宋" w:hAnsi="仿宋" w:eastAsia="仿宋"/>
          <w:sz w:val="32"/>
          <w:szCs w:val="32"/>
        </w:rPr>
        <w:t>根据部门职责定位和各项工作履职情况进行综合评价，给出总得分，满分100分，得出综合绩效评价等级。部门整体支出综合绩效评价分为4个等级：得分</w:t>
      </w:r>
      <w:r>
        <w:rPr>
          <w:rFonts w:ascii="仿宋" w:hAnsi="仿宋" w:eastAsia="仿宋" w:cs="Arial"/>
          <w:sz w:val="32"/>
          <w:szCs w:val="32"/>
        </w:rPr>
        <w:t>≥</w:t>
      </w:r>
      <w:r>
        <w:rPr>
          <w:rFonts w:hint="eastAsia" w:ascii="仿宋" w:hAnsi="仿宋" w:eastAsia="仿宋"/>
          <w:sz w:val="32"/>
          <w:szCs w:val="32"/>
        </w:rPr>
        <w:t>85分为优秀；75</w:t>
      </w:r>
      <w:r>
        <w:rPr>
          <w:rFonts w:ascii="仿宋" w:hAnsi="仿宋" w:eastAsia="仿宋" w:cs="Arial"/>
          <w:sz w:val="32"/>
          <w:szCs w:val="32"/>
        </w:rPr>
        <w:t>≤</w:t>
      </w:r>
      <w:r>
        <w:rPr>
          <w:rFonts w:hint="eastAsia" w:ascii="仿宋" w:hAnsi="仿宋" w:eastAsia="仿宋"/>
          <w:sz w:val="32"/>
          <w:szCs w:val="32"/>
        </w:rPr>
        <w:t>得分＜85分为良好；60</w:t>
      </w:r>
      <w:r>
        <w:rPr>
          <w:rFonts w:ascii="仿宋" w:hAnsi="仿宋" w:eastAsia="仿宋" w:cs="Arial"/>
          <w:sz w:val="32"/>
          <w:szCs w:val="32"/>
        </w:rPr>
        <w:t>≤</w:t>
      </w:r>
      <w:r>
        <w:rPr>
          <w:rFonts w:hint="eastAsia" w:ascii="仿宋" w:hAnsi="仿宋" w:eastAsia="仿宋"/>
          <w:sz w:val="32"/>
          <w:szCs w:val="32"/>
        </w:rPr>
        <w:t>得分＜75分为一般；得分＜60分为较差。</w:t>
      </w:r>
      <w:r>
        <w:rPr>
          <w:rFonts w:hint="eastAsia" w:ascii="仿宋" w:hAnsi="仿宋" w:eastAsia="仿宋" w:cs="仿宋"/>
          <w:color w:val="000000"/>
          <w:sz w:val="32"/>
          <w:szCs w:val="32"/>
        </w:rPr>
        <w:t>我办2025年开展项目全部≥90，评价等级为“优”。</w:t>
      </w:r>
    </w:p>
    <w:p>
      <w:pPr>
        <w:widowControl/>
        <w:spacing w:before="0" w:beforeLines="0" w:beforeAutospacing="0" w:after="0" w:afterLines="0" w:afterAutospacing="0" w:line="360" w:lineRule="auto"/>
        <w:ind w:firstLine="640" w:firstLineChars="200"/>
        <w:jc w:val="left"/>
        <w:rPr>
          <w:rFonts w:ascii="Times New Roman" w:eastAsia="黑体"/>
          <w:sz w:val="32"/>
          <w:szCs w:val="32"/>
        </w:rPr>
      </w:pPr>
      <w:r>
        <w:rPr>
          <w:rFonts w:ascii="Times New Roman" w:eastAsia="黑体"/>
          <w:b w:val="0"/>
          <w:sz w:val="32"/>
          <w:szCs w:val="32"/>
        </w:rPr>
        <w:t>十、其他需要说明的情况</w:t>
      </w:r>
    </w:p>
    <w:p>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1.本单位2025年度</w:t>
      </w:r>
      <w:bookmarkStart w:id="0" w:name="_GoBack"/>
      <w:bookmarkEnd w:id="0"/>
      <w:r>
        <w:rPr>
          <w:rFonts w:ascii="Times New Roman" w:eastAsia="仿宋_GB2312"/>
          <w:b w:val="0"/>
          <w:sz w:val="32"/>
          <w:szCs w:val="32"/>
        </w:rPr>
        <w:t>政府性基金预算财政拨款收入支出决算表（公开07表）、国有资本经营预算财政拨款支出决算表（公开08表）无相应收支，故空表列示。</w:t>
      </w:r>
    </w:p>
    <w:p>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2. 由于决算公开表格中金额数值应当保留两位小数，公开数据为四舍五入计算结果，个别数据合计项与分项之和存在小数点后差额，特此说明。</w:t>
      </w:r>
    </w:p>
    <w:p>
      <w:pPr>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br w:type="page"/>
      </w:r>
    </w:p>
    <w:p>
      <w:pPr>
        <w:widowControl/>
        <w:jc w:val="both"/>
        <w:rPr>
          <w:rFonts w:hint="eastAsia" w:ascii="Times New Roman" w:hAnsi="Times New Roman" w:eastAsia="黑体" w:cs="Times New Roman"/>
          <w:color w:val="000000" w:themeColor="text1"/>
          <w:sz w:val="44"/>
          <w:szCs w:val="44"/>
          <w:lang w:val="en-US" w:eastAsia="zh-CN"/>
          <w14:shadow w14:blurRad="38100" w14:dist="22860" w14:dir="5400000" w14:sx="100000" w14:sy="100000" w14:kx="0" w14:ky="0" w14:algn="tl">
            <w14:srgbClr w14:val="000000">
              <w14:alpha w14:val="70000"/>
            </w14:srgbClr>
          </w14:shadow>
          <w14:textFill>
            <w14:solidFill>
              <w14:schemeClr w14:val="tx1"/>
            </w14:solidFill>
          </w14:textFill>
          <w14:props3d w14:extrusionH="0" w14:contourW="0" w14:prstMaterial="clear"/>
        </w:rPr>
      </w:pPr>
    </w:p>
    <w:p>
      <w:pPr>
        <w:widowControl/>
        <w:jc w:val="both"/>
        <w:rPr>
          <w:rFonts w:hint="eastAsia" w:ascii="Times New Roman" w:hAnsi="Times New Roman" w:eastAsia="黑体" w:cs="Times New Roman"/>
          <w:color w:val="000000" w:themeColor="text1"/>
          <w:sz w:val="44"/>
          <w:szCs w:val="44"/>
          <w:lang w:val="en-US" w:eastAsia="zh-CN"/>
          <w14:shadow w14:blurRad="38100" w14:dist="22860" w14:dir="5400000" w14:sx="100000" w14:sy="100000" w14:kx="0" w14:ky="0" w14:algn="tl">
            <w14:srgbClr w14:val="000000">
              <w14:alpha w14:val="70000"/>
            </w14:srgbClr>
          </w14:shadow>
          <w14:textFill>
            <w14:solidFill>
              <w14:schemeClr w14:val="tx1"/>
            </w14:solidFill>
          </w14:textFill>
          <w14:props3d w14:extrusionH="0" w14:contourW="0" w14:prstMaterial="clear"/>
        </w:rPr>
      </w:pPr>
    </w:p>
    <w:p>
      <w:pPr>
        <w:widowControl/>
        <w:jc w:val="both"/>
        <w:rPr>
          <w:rFonts w:hint="eastAsia" w:ascii="Times New Roman" w:hAnsi="Times New Roman" w:eastAsia="黑体" w:cs="Times New Roman"/>
          <w:color w:val="000000" w:themeColor="text1"/>
          <w:sz w:val="44"/>
          <w:szCs w:val="44"/>
          <w:lang w:val="en-US" w:eastAsia="zh-CN"/>
          <w14:shadow w14:blurRad="38100" w14:dist="22860" w14:dir="5400000" w14:sx="100000" w14:sy="100000" w14:kx="0" w14:ky="0" w14:algn="tl">
            <w14:srgbClr w14:val="000000">
              <w14:alpha w14:val="70000"/>
            </w14:srgbClr>
          </w14:shadow>
          <w14:textFill>
            <w14:solidFill>
              <w14:schemeClr w14:val="tx1"/>
            </w14:solidFill>
          </w14:textFill>
          <w14:props3d w14:extrusionH="0" w14:contourW="0" w14:prstMaterial="clear"/>
        </w:rPr>
      </w:pPr>
    </w:p>
    <w:p>
      <w:pPr>
        <w:widowControl/>
        <w:jc w:val="both"/>
        <w:rPr>
          <w:rFonts w:hint="eastAsia" w:ascii="Times New Roman" w:hAnsi="Times New Roman" w:eastAsia="黑体" w:cs="Times New Roman"/>
          <w:color w:val="000000" w:themeColor="text1"/>
          <w:sz w:val="44"/>
          <w:szCs w:val="44"/>
          <w:lang w:val="en-US" w:eastAsia="zh-CN"/>
          <w14:shadow w14:blurRad="38100" w14:dist="22860" w14:dir="5400000" w14:sx="100000" w14:sy="100000" w14:kx="0" w14:ky="0" w14:algn="tl">
            <w14:srgbClr w14:val="000000">
              <w14:alpha w14:val="70000"/>
            </w14:srgbClr>
          </w14:shadow>
          <w14:textFill>
            <w14:solidFill>
              <w14:schemeClr w14:val="tx1"/>
            </w14:solidFill>
          </w14:textFill>
          <w14:props3d w14:extrusionH="0" w14:contourW="0" w14:prstMaterial="clear"/>
        </w:rPr>
      </w:pPr>
    </w:p>
    <w:p>
      <w:pPr>
        <w:widowControl/>
        <w:jc w:val="both"/>
        <w:rPr>
          <w:rFonts w:hint="eastAsia" w:ascii="Times New Roman" w:hAnsi="Times New Roman" w:eastAsia="黑体" w:cs="Times New Roman"/>
          <w:color w:val="000000" w:themeColor="text1"/>
          <w:sz w:val="44"/>
          <w:szCs w:val="44"/>
          <w:lang w:val="en-US" w:eastAsia="zh-CN"/>
          <w14:shadow w14:blurRad="38100" w14:dist="22860" w14:dir="5400000" w14:sx="100000" w14:sy="100000" w14:kx="0" w14:ky="0" w14:algn="tl">
            <w14:srgbClr w14:val="000000">
              <w14:alpha w14:val="70000"/>
            </w14:srgbClr>
          </w14:shadow>
          <w14:textFill>
            <w14:solidFill>
              <w14:schemeClr w14:val="tx1"/>
            </w14:solidFill>
          </w14:textFill>
          <w14:props3d w14:extrusionH="0" w14:contourW="0" w14:prstMaterial="clear"/>
        </w:rPr>
      </w:pPr>
    </w:p>
    <w:p>
      <w:pPr>
        <w:widowControl/>
        <w:spacing w:before="0" w:beforeLines="0" w:beforeAutospacing="0" w:after="0" w:afterLines="0" w:afterAutospacing="0" w:line="360" w:lineRule="auto"/>
        <w:jc w:val="center"/>
        <w:outlineLvl w:val="0"/>
        <w:rPr>
          <w:rFonts w:ascii="Times New Roman" w:eastAsia="黑体"/>
          <w:sz w:val="44"/>
          <w:szCs w:val="44"/>
        </w:rPr>
      </w:pPr>
      <w:r>
        <w:rPr>
          <w:rFonts w:ascii="Times New Roman" w:eastAsia="黑体"/>
          <w:b w:val="0"/>
          <w:sz w:val="44"/>
          <w:szCs w:val="44"/>
        </w:rPr>
        <w:t>第四部分 名词解释</w:t>
      </w:r>
    </w:p>
    <w:p>
      <w:pPr>
        <w:widowControl/>
        <w:jc w:val="both"/>
        <w:rPr>
          <w:rFonts w:hint="eastAsia" w:ascii="Times New Roman" w:hAnsi="Times New Roman" w:eastAsia="黑体" w:cs="Times New Roman"/>
          <w:color w:val="000000" w:themeColor="text1"/>
          <w:sz w:val="44"/>
          <w:szCs w:val="44"/>
          <w:lang w:val="en-US" w:eastAsia="zh-CN"/>
          <w14:shadow w14:blurRad="38100" w14:dist="22860" w14:dir="5400000" w14:sx="100000" w14:sy="100000" w14:kx="0" w14:ky="0" w14:algn="tl">
            <w14:srgbClr w14:val="000000">
              <w14:alpha w14:val="70000"/>
            </w14:srgbClr>
          </w14:shadow>
          <w14:textFill>
            <w14:solidFill>
              <w14:schemeClr w14:val="tx1"/>
            </w14:solidFill>
          </w14:textFill>
          <w14:props3d w14:extrusionH="0" w14:contourW="0" w14:prstMaterial="clear"/>
        </w:rPr>
      </w:pPr>
    </w:p>
    <w:p>
      <w:pPr>
        <w:widowControl/>
        <w:jc w:val="both"/>
        <w:rPr>
          <w:rFonts w:hint="eastAsia" w:ascii="Times New Roman" w:hAnsi="Times New Roman" w:eastAsia="黑体" w:cs="Times New Roman"/>
          <w:color w:val="000000" w:themeColor="text1"/>
          <w:sz w:val="44"/>
          <w:szCs w:val="44"/>
          <w:lang w:val="en-US" w:eastAsia="zh-CN"/>
          <w14:shadow w14:blurRad="38100" w14:dist="22860" w14:dir="5400000" w14:sx="100000" w14:sy="100000" w14:kx="0" w14:ky="0" w14:algn="tl">
            <w14:srgbClr w14:val="000000">
              <w14:alpha w14:val="70000"/>
            </w14:srgbClr>
          </w14:shadow>
          <w14:textFill>
            <w14:solidFill>
              <w14:schemeClr w14:val="tx1"/>
            </w14:solidFill>
          </w14:textFill>
          <w14:props3d w14:extrusionH="0" w14:contourW="0" w14:prstMaterial="clear"/>
        </w:rPr>
      </w:pPr>
    </w:p>
    <w:p>
      <w:pPr>
        <w:widowControl/>
        <w:jc w:val="both"/>
        <w:rPr>
          <w:rFonts w:hint="eastAsia" w:ascii="Times New Roman" w:hAnsi="Times New Roman" w:eastAsia="黑体" w:cs="Times New Roman"/>
          <w:color w:val="000000" w:themeColor="text1"/>
          <w:sz w:val="44"/>
          <w:szCs w:val="44"/>
          <w:lang w:val="en-US" w:eastAsia="zh-CN"/>
          <w14:shadow w14:blurRad="38100" w14:dist="22860" w14:dir="5400000" w14:sx="100000" w14:sy="100000" w14:kx="0" w14:ky="0" w14:algn="tl">
            <w14:srgbClr w14:val="000000">
              <w14:alpha w14:val="70000"/>
            </w14:srgbClr>
          </w14:shadow>
          <w14:textFill>
            <w14:solidFill>
              <w14:schemeClr w14:val="tx1"/>
            </w14:solidFill>
          </w14:textFill>
          <w14:props3d w14:extrusionH="0" w14:contourW="0" w14:prstMaterial="clear"/>
        </w:rPr>
      </w:pPr>
    </w:p>
    <w:p>
      <w:pPr>
        <w:widowControl/>
        <w:jc w:val="both"/>
        <w:rPr>
          <w:rFonts w:hint="eastAsia" w:ascii="Times New Roman" w:hAnsi="Times New Roman" w:eastAsia="黑体" w:cs="Times New Roman"/>
          <w:color w:val="000000" w:themeColor="text1"/>
          <w:sz w:val="44"/>
          <w:szCs w:val="44"/>
          <w:lang w:val="en-US" w:eastAsia="zh-CN"/>
          <w14:shadow w14:blurRad="38100" w14:dist="22860" w14:dir="5400000" w14:sx="100000" w14:sy="100000" w14:kx="0" w14:ky="0" w14:algn="tl">
            <w14:srgbClr w14:val="000000">
              <w14:alpha w14:val="70000"/>
            </w14:srgbClr>
          </w14:shadow>
          <w14:textFill>
            <w14:solidFill>
              <w14:schemeClr w14:val="tx1"/>
            </w14:solidFill>
          </w14:textFill>
          <w14:props3d w14:extrusionH="0" w14:contourW="0" w14:prstMaterial="clear"/>
        </w:rPr>
      </w:pPr>
    </w:p>
    <w:p>
      <w:pPr>
        <w:widowControl/>
        <w:jc w:val="both"/>
        <w:rPr>
          <w:rFonts w:hint="eastAsia" w:ascii="Times New Roman" w:hAnsi="Times New Roman" w:eastAsia="黑体" w:cs="Times New Roman"/>
          <w:color w:val="000000" w:themeColor="text1"/>
          <w:sz w:val="44"/>
          <w:szCs w:val="44"/>
          <w:lang w:val="en-US" w:eastAsia="zh-CN"/>
          <w14:shadow w14:blurRad="38100" w14:dist="22860" w14:dir="5400000" w14:sx="100000" w14:sy="100000" w14:kx="0" w14:ky="0" w14:algn="tl">
            <w14:srgbClr w14:val="000000">
              <w14:alpha w14:val="70000"/>
            </w14:srgbClr>
          </w14:shadow>
          <w14:textFill>
            <w14:solidFill>
              <w14:schemeClr w14:val="tx1"/>
            </w14:solidFill>
          </w14:textFill>
          <w14:props3d w14:extrusionH="0" w14:contourW="0" w14:prstMaterial="clear"/>
        </w:rPr>
      </w:pPr>
    </w:p>
    <w:p>
      <w:pPr>
        <w:widowControl/>
        <w:jc w:val="both"/>
        <w:rPr>
          <w:rFonts w:hint="eastAsia" w:ascii="Times New Roman" w:hAnsi="Times New Roman" w:eastAsia="黑体" w:cs="Times New Roman"/>
          <w:color w:val="000000" w:themeColor="text1"/>
          <w:sz w:val="44"/>
          <w:szCs w:val="44"/>
          <w:lang w:val="en-US" w:eastAsia="zh-CN"/>
          <w14:shadow w14:blurRad="38100" w14:dist="22860" w14:dir="5400000" w14:sx="100000" w14:sy="100000" w14:kx="0" w14:ky="0" w14:algn="tl">
            <w14:srgbClr w14:val="000000">
              <w14:alpha w14:val="70000"/>
            </w14:srgbClr>
          </w14:shadow>
          <w14:textFill>
            <w14:solidFill>
              <w14:schemeClr w14:val="tx1"/>
            </w14:solidFill>
          </w14:textFill>
          <w14:props3d w14:extrusionH="0" w14:contourW="0" w14:prstMaterial="clear"/>
        </w:rPr>
      </w:pPr>
    </w:p>
    <w:p>
      <w:pPr>
        <w:widowControl/>
        <w:jc w:val="both"/>
        <w:rPr>
          <w:rFonts w:hint="eastAsia" w:ascii="Times New Roman" w:hAnsi="Times New Roman" w:eastAsia="黑体" w:cs="Times New Roman"/>
          <w:color w:val="000000" w:themeColor="text1"/>
          <w:sz w:val="44"/>
          <w:szCs w:val="44"/>
          <w:lang w:val="en-US" w:eastAsia="zh-CN"/>
          <w14:shadow w14:blurRad="38100" w14:dist="22860" w14:dir="5400000" w14:sx="100000" w14:sy="100000" w14:kx="0" w14:ky="0" w14:algn="tl">
            <w14:srgbClr w14:val="000000">
              <w14:alpha w14:val="70000"/>
            </w14:srgbClr>
          </w14:shadow>
          <w14:textFill>
            <w14:solidFill>
              <w14:schemeClr w14:val="tx1"/>
            </w14:solidFill>
          </w14:textFill>
          <w14:props3d w14:extrusionH="0" w14:contourW="0" w14:prstMaterial="clear"/>
        </w:rPr>
      </w:pPr>
    </w:p>
    <w:p>
      <w:pPr>
        <w:widowControl/>
        <w:jc w:val="both"/>
        <w:rPr>
          <w:rFonts w:hint="eastAsia" w:ascii="Times New Roman" w:hAnsi="Times New Roman" w:eastAsia="黑体" w:cs="Times New Roman"/>
          <w:color w:val="000000" w:themeColor="text1"/>
          <w:sz w:val="44"/>
          <w:szCs w:val="44"/>
          <w:lang w:val="en-US" w:eastAsia="zh-CN"/>
          <w14:shadow w14:blurRad="38100" w14:dist="22860" w14:dir="5400000" w14:sx="100000" w14:sy="100000" w14:kx="0" w14:ky="0" w14:algn="tl">
            <w14:srgbClr w14:val="000000">
              <w14:alpha w14:val="70000"/>
            </w14:srgbClr>
          </w14:shadow>
          <w14:textFill>
            <w14:solidFill>
              <w14:schemeClr w14:val="tx1"/>
            </w14:solidFill>
          </w14:textFill>
          <w14:props3d w14:extrusionH="0" w14:contourW="0" w14:prstMaterial="clear"/>
        </w:rPr>
      </w:pPr>
    </w:p>
    <w:p>
      <w:pPr>
        <w:widowControl/>
        <w:jc w:val="both"/>
        <w:rPr>
          <w:rFonts w:hint="eastAsia" w:ascii="Times New Roman" w:hAnsi="Times New Roman" w:eastAsia="黑体" w:cs="Times New Roman"/>
          <w:color w:val="000000" w:themeColor="text1"/>
          <w:sz w:val="44"/>
          <w:szCs w:val="44"/>
          <w:lang w:val="en-US" w:eastAsia="zh-CN"/>
          <w14:shadow w14:blurRad="38100" w14:dist="22860" w14:dir="5400000" w14:sx="100000" w14:sy="100000" w14:kx="0" w14:ky="0" w14:algn="tl">
            <w14:srgbClr w14:val="000000">
              <w14:alpha w14:val="70000"/>
            </w14:srgbClr>
          </w14:shadow>
          <w14:textFill>
            <w14:solidFill>
              <w14:schemeClr w14:val="tx1"/>
            </w14:solidFill>
          </w14:textFill>
          <w14:props3d w14:extrusionH="0" w14:contourW="0" w14:prstMaterial="clear"/>
        </w:rPr>
      </w:pPr>
    </w:p>
    <w:p>
      <w:pPr>
        <w:widowControl/>
        <w:jc w:val="both"/>
        <w:rPr>
          <w:rFonts w:hint="eastAsia" w:ascii="Times New Roman" w:hAnsi="Times New Roman" w:eastAsia="黑体" w:cs="Times New Roman"/>
          <w:color w:val="000000" w:themeColor="text1"/>
          <w:sz w:val="44"/>
          <w:szCs w:val="44"/>
          <w:lang w:val="en-US" w:eastAsia="zh-CN"/>
          <w14:shadow w14:blurRad="38100" w14:dist="22860" w14:dir="5400000" w14:sx="100000" w14:sy="100000" w14:kx="0" w14:ky="0" w14:algn="tl">
            <w14:srgbClr w14:val="000000">
              <w14:alpha w14:val="70000"/>
            </w14:srgbClr>
          </w14:shadow>
          <w14:textFill>
            <w14:solidFill>
              <w14:schemeClr w14:val="tx1"/>
            </w14:solidFill>
          </w14:textFill>
          <w14:props3d w14:extrusionH="0" w14:contourW="0" w14:prstMaterial="clear"/>
        </w:rPr>
      </w:pPr>
    </w:p>
    <w:p>
      <w:pPr>
        <w:widowControl/>
        <w:jc w:val="both"/>
        <w:rPr>
          <w:rFonts w:hint="eastAsia" w:ascii="Times New Roman" w:hAnsi="Times New Roman" w:eastAsia="黑体" w:cs="Times New Roman"/>
          <w:color w:val="000000" w:themeColor="text1"/>
          <w:sz w:val="44"/>
          <w:szCs w:val="44"/>
          <w:lang w:val="en-US" w:eastAsia="zh-CN"/>
          <w14:shadow w14:blurRad="38100" w14:dist="22860" w14:dir="5400000" w14:sx="100000" w14:sy="100000" w14:kx="0" w14:ky="0" w14:algn="tl">
            <w14:srgbClr w14:val="000000">
              <w14:alpha w14:val="70000"/>
            </w14:srgbClr>
          </w14:shadow>
          <w14:textFill>
            <w14:solidFill>
              <w14:schemeClr w14:val="tx1"/>
            </w14:solidFill>
          </w14:textFill>
          <w14:props3d w14:extrusionH="0" w14:contourW="0" w14:prstMaterial="clear"/>
        </w:rPr>
      </w:pPr>
    </w:p>
    <w:p>
      <w:pPr>
        <w:widowControl/>
        <w:jc w:val="both"/>
        <w:rPr>
          <w:rFonts w:hint="eastAsia" w:ascii="Times New Roman" w:hAnsi="Times New Roman" w:eastAsia="黑体" w:cs="Times New Roman"/>
          <w:color w:val="000000" w:themeColor="text1"/>
          <w:sz w:val="44"/>
          <w:szCs w:val="44"/>
          <w:lang w:val="en-US" w:eastAsia="zh-CN"/>
          <w14:shadow w14:blurRad="38100" w14:dist="22860" w14:dir="5400000" w14:sx="100000" w14:sy="100000" w14:kx="0" w14:ky="0" w14:algn="tl">
            <w14:srgbClr w14:val="000000">
              <w14:alpha w14:val="70000"/>
            </w14:srgbClr>
          </w14:shadow>
          <w14:textFill>
            <w14:solidFill>
              <w14:schemeClr w14:val="tx1"/>
            </w14:solidFill>
          </w14:textFill>
          <w14:props3d w14:extrusionH="0" w14:contourW="0" w14:prstMaterial="clear"/>
        </w:rPr>
      </w:pPr>
    </w:p>
    <w:p>
      <w:pPr>
        <w:widowControl/>
        <w:jc w:val="both"/>
        <w:rPr>
          <w:rFonts w:hint="default" w:ascii="Times New Roman" w:hAnsi="Times New Roman" w:eastAsia="黑体" w:cs="Times New Roman"/>
          <w:color w:val="000000" w:themeColor="text1"/>
          <w:sz w:val="44"/>
          <w:szCs w:val="44"/>
          <w:lang w:val="en-US" w:eastAsia="zh-CN"/>
          <w14:shadow w14:blurRad="38100" w14:dist="22860" w14:dir="5400000" w14:sx="100000" w14:sy="100000" w14:kx="0" w14:ky="0" w14:algn="tl">
            <w14:srgbClr w14:val="000000">
              <w14:alpha w14:val="70000"/>
            </w14:srgbClr>
          </w14:shadow>
          <w14:textFill>
            <w14:solidFill>
              <w14:schemeClr w14:val="tx1"/>
            </w14:solidFill>
          </w14:textFill>
          <w14:props3d w14:extrusionH="0" w14:contourW="0" w14:prstMaterial="clear"/>
        </w:rPr>
      </w:pPr>
    </w:p>
    <w:p>
      <w:pPr>
        <w:widowControl/>
        <w:spacing w:before="0" w:beforeLines="0" w:beforeAutospacing="0" w:after="0" w:afterLines="0" w:afterAutospacing="0" w:line="360" w:lineRule="auto"/>
        <w:ind w:firstLine="643" w:firstLineChars="200"/>
        <w:jc w:val="left"/>
        <w:rPr>
          <w:rFonts w:ascii="Times New Roman" w:eastAsia="仿宋_GB2312"/>
          <w:sz w:val="32"/>
          <w:szCs w:val="32"/>
        </w:rPr>
      </w:pPr>
      <w:r>
        <w:rPr>
          <w:rFonts w:ascii="Times New Roman" w:eastAsia="仿宋_GB2312"/>
          <w:b/>
          <w:sz w:val="32"/>
          <w:szCs w:val="32"/>
        </w:rPr>
        <w:t>一、财政拨款收入：</w:t>
      </w:r>
      <w:r>
        <w:rPr>
          <w:rFonts w:ascii="Times New Roman" w:eastAsia="仿宋_GB2312"/>
          <w:b w:val="0"/>
          <w:sz w:val="32"/>
          <w:szCs w:val="32"/>
        </w:rPr>
        <w:t>指单位从同级财政部门取得的财政预算资金。</w:t>
      </w:r>
    </w:p>
    <w:p>
      <w:pPr>
        <w:widowControl/>
        <w:spacing w:before="0" w:beforeLines="0" w:beforeAutospacing="0" w:after="0" w:afterLines="0" w:afterAutospacing="0" w:line="360" w:lineRule="auto"/>
        <w:ind w:firstLine="643" w:firstLineChars="200"/>
        <w:jc w:val="left"/>
        <w:rPr>
          <w:rFonts w:ascii="Times New Roman" w:eastAsia="仿宋_GB2312"/>
          <w:sz w:val="32"/>
          <w:szCs w:val="32"/>
        </w:rPr>
      </w:pPr>
      <w:r>
        <w:rPr>
          <w:rFonts w:ascii="Times New Roman" w:eastAsia="仿宋_GB2312"/>
          <w:b/>
          <w:sz w:val="32"/>
          <w:szCs w:val="32"/>
        </w:rPr>
        <w:t>二、事业收入：</w:t>
      </w:r>
      <w:r>
        <w:rPr>
          <w:rFonts w:ascii="Times New Roman" w:eastAsia="仿宋_GB2312"/>
          <w:b w:val="0"/>
          <w:sz w:val="32"/>
          <w:szCs w:val="32"/>
        </w:rPr>
        <w:t>指事业单位开展专业业务活动及辅助活动取得的收入。</w:t>
      </w:r>
    </w:p>
    <w:p>
      <w:pPr>
        <w:widowControl/>
        <w:spacing w:before="0" w:beforeLines="0" w:beforeAutospacing="0" w:after="0" w:afterLines="0" w:afterAutospacing="0" w:line="360" w:lineRule="auto"/>
        <w:ind w:firstLine="643" w:firstLineChars="200"/>
        <w:jc w:val="left"/>
        <w:rPr>
          <w:rFonts w:ascii="Times New Roman" w:eastAsia="仿宋_GB2312"/>
          <w:sz w:val="32"/>
          <w:szCs w:val="32"/>
        </w:rPr>
      </w:pPr>
      <w:r>
        <w:rPr>
          <w:rFonts w:ascii="Times New Roman" w:eastAsia="仿宋_GB2312"/>
          <w:b/>
          <w:sz w:val="32"/>
          <w:szCs w:val="32"/>
        </w:rPr>
        <w:t>三、经营收入：</w:t>
      </w:r>
      <w:r>
        <w:rPr>
          <w:rFonts w:ascii="Times New Roman" w:eastAsia="仿宋_GB2312"/>
          <w:b w:val="0"/>
          <w:sz w:val="32"/>
          <w:szCs w:val="32"/>
        </w:rPr>
        <w:t>指事业单位在专业业务活动及其辅助活动之外开展非独立核算经营活动取得的收入。</w:t>
      </w:r>
    </w:p>
    <w:p>
      <w:pPr>
        <w:widowControl/>
        <w:spacing w:before="0" w:beforeLines="0" w:beforeAutospacing="0" w:after="0" w:afterLines="0" w:afterAutospacing="0" w:line="360" w:lineRule="auto"/>
        <w:ind w:firstLine="643" w:firstLineChars="200"/>
        <w:jc w:val="left"/>
        <w:rPr>
          <w:rFonts w:ascii="Times New Roman" w:eastAsia="仿宋_GB2312"/>
          <w:sz w:val="32"/>
          <w:szCs w:val="32"/>
        </w:rPr>
      </w:pPr>
      <w:r>
        <w:rPr>
          <w:rFonts w:ascii="Times New Roman" w:eastAsia="仿宋_GB2312"/>
          <w:b/>
          <w:sz w:val="32"/>
          <w:szCs w:val="32"/>
        </w:rPr>
        <w:t>四、其他收入：</w:t>
      </w:r>
      <w:r>
        <w:rPr>
          <w:rFonts w:ascii="Times New Roman" w:eastAsia="仿宋_GB2312"/>
          <w:b w:val="0"/>
          <w:sz w:val="32"/>
          <w:szCs w:val="32"/>
        </w:rPr>
        <w:t>指单位取得的除上述收入以外的各项收入。主要是事业单位固定资产出租收入、存款利息收入等。</w:t>
      </w:r>
    </w:p>
    <w:p>
      <w:pPr>
        <w:widowControl/>
        <w:spacing w:before="0" w:beforeLines="0" w:beforeAutospacing="0" w:after="0" w:afterLines="0" w:afterAutospacing="0" w:line="360" w:lineRule="auto"/>
        <w:ind w:firstLine="643" w:firstLineChars="200"/>
        <w:jc w:val="left"/>
        <w:rPr>
          <w:rFonts w:ascii="Times New Roman" w:eastAsia="仿宋_GB2312"/>
          <w:sz w:val="32"/>
          <w:szCs w:val="32"/>
        </w:rPr>
      </w:pPr>
      <w:r>
        <w:rPr>
          <w:rFonts w:ascii="Times New Roman" w:eastAsia="仿宋_GB2312"/>
          <w:b/>
          <w:sz w:val="32"/>
          <w:szCs w:val="32"/>
        </w:rPr>
        <w:t>五、使用非财政拨款结余（含专用结余）：</w:t>
      </w:r>
      <w:r>
        <w:rPr>
          <w:rFonts w:ascii="Times New Roman" w:eastAsia="仿宋_GB2312"/>
          <w:b w:val="0"/>
          <w:sz w:val="32"/>
          <w:szCs w:val="32"/>
        </w:rPr>
        <w:t>指事业单位按照预算管理要求使用非财政拨款结余弥补收支差额的金额，以及使用专用结余安排支出的金额。</w:t>
      </w:r>
    </w:p>
    <w:p>
      <w:pPr>
        <w:widowControl/>
        <w:spacing w:before="0" w:beforeLines="0" w:beforeAutospacing="0" w:after="0" w:afterLines="0" w:afterAutospacing="0" w:line="360" w:lineRule="auto"/>
        <w:ind w:firstLine="643" w:firstLineChars="200"/>
        <w:jc w:val="left"/>
        <w:rPr>
          <w:rFonts w:ascii="Times New Roman" w:eastAsia="仿宋_GB2312"/>
          <w:sz w:val="32"/>
          <w:szCs w:val="32"/>
        </w:rPr>
      </w:pPr>
      <w:r>
        <w:rPr>
          <w:rFonts w:ascii="Times New Roman" w:eastAsia="仿宋_GB2312"/>
          <w:b/>
          <w:sz w:val="32"/>
          <w:szCs w:val="32"/>
        </w:rPr>
        <w:t>六、年初结转和结余：</w:t>
      </w:r>
      <w:r>
        <w:rPr>
          <w:rFonts w:ascii="Times New Roman" w:eastAsia="仿宋_GB2312"/>
          <w:b w:val="0"/>
          <w:sz w:val="32"/>
          <w:szCs w:val="32"/>
        </w:rPr>
        <w:t>指单位以前年度尚未完成、结转到本年仍按原规定用途继续使用的资金，或项目已完成等产生的结余资金。</w:t>
      </w:r>
    </w:p>
    <w:p>
      <w:pPr>
        <w:widowControl/>
        <w:spacing w:before="0" w:beforeLines="0" w:beforeAutospacing="0" w:after="0" w:afterLines="0" w:afterAutospacing="0" w:line="360" w:lineRule="auto"/>
        <w:ind w:firstLine="643" w:firstLineChars="200"/>
        <w:jc w:val="left"/>
        <w:rPr>
          <w:rFonts w:ascii="Times New Roman" w:eastAsia="仿宋_GB2312"/>
          <w:sz w:val="32"/>
          <w:szCs w:val="32"/>
        </w:rPr>
      </w:pPr>
      <w:r>
        <w:rPr>
          <w:rFonts w:ascii="Times New Roman" w:eastAsia="仿宋_GB2312"/>
          <w:b/>
          <w:sz w:val="32"/>
          <w:szCs w:val="32"/>
        </w:rPr>
        <w:t>七、结余分配：</w:t>
      </w:r>
      <w:r>
        <w:rPr>
          <w:rFonts w:ascii="Times New Roman" w:eastAsia="仿宋_GB2312"/>
          <w:b w:val="0"/>
          <w:sz w:val="32"/>
          <w:szCs w:val="32"/>
        </w:rPr>
        <w:t>指事业单位按照会计制度规定缴纳的所得税、提取的专用结余以及转入非财政拨款结余的金额等。</w:t>
      </w:r>
    </w:p>
    <w:p>
      <w:pPr>
        <w:widowControl/>
        <w:spacing w:before="0" w:beforeLines="0" w:beforeAutospacing="0" w:after="0" w:afterLines="0" w:afterAutospacing="0" w:line="360" w:lineRule="auto"/>
        <w:ind w:firstLine="643" w:firstLineChars="200"/>
        <w:jc w:val="left"/>
        <w:rPr>
          <w:rFonts w:ascii="Times New Roman" w:eastAsia="仿宋_GB2312"/>
          <w:sz w:val="32"/>
          <w:szCs w:val="32"/>
        </w:rPr>
      </w:pPr>
      <w:r>
        <w:rPr>
          <w:rFonts w:ascii="Times New Roman" w:eastAsia="仿宋_GB2312"/>
          <w:b/>
          <w:sz w:val="32"/>
          <w:szCs w:val="32"/>
        </w:rPr>
        <w:t>八、年末结转和结余：</w:t>
      </w:r>
      <w:r>
        <w:rPr>
          <w:rFonts w:ascii="Times New Roman" w:eastAsia="仿宋_GB2312"/>
          <w:b w:val="0"/>
          <w:sz w:val="32"/>
          <w:szCs w:val="32"/>
        </w:rPr>
        <w:t>指单位按有关规定结转到下年或以后年度继续使用的资金，或项目已完成等产生的结余资金。</w:t>
      </w:r>
    </w:p>
    <w:p>
      <w:pPr>
        <w:widowControl/>
        <w:spacing w:before="0" w:beforeLines="0" w:beforeAutospacing="0" w:after="0" w:afterLines="0" w:afterAutospacing="0" w:line="360" w:lineRule="auto"/>
        <w:ind w:firstLine="643" w:firstLineChars="200"/>
        <w:jc w:val="left"/>
        <w:rPr>
          <w:rFonts w:ascii="Times New Roman" w:eastAsia="仿宋_GB2312"/>
          <w:sz w:val="32"/>
          <w:szCs w:val="32"/>
        </w:rPr>
      </w:pPr>
      <w:r>
        <w:rPr>
          <w:rFonts w:ascii="Times New Roman" w:eastAsia="仿宋_GB2312"/>
          <w:b/>
          <w:sz w:val="32"/>
          <w:szCs w:val="32"/>
        </w:rPr>
        <w:t>九、基本支出：</w:t>
      </w:r>
      <w:r>
        <w:rPr>
          <w:rFonts w:ascii="Times New Roman" w:eastAsia="仿宋_GB2312"/>
          <w:b w:val="0"/>
          <w:sz w:val="32"/>
          <w:szCs w:val="32"/>
        </w:rPr>
        <w:t>指为保障机构正常运转、完成日常工作任务而发生的人员支出和公用支出。</w:t>
      </w:r>
    </w:p>
    <w:p>
      <w:pPr>
        <w:widowControl/>
        <w:spacing w:before="0" w:beforeLines="0" w:beforeAutospacing="0" w:after="0" w:afterLines="0" w:afterAutospacing="0" w:line="360" w:lineRule="auto"/>
        <w:ind w:firstLine="643" w:firstLineChars="200"/>
        <w:jc w:val="left"/>
        <w:rPr>
          <w:rFonts w:ascii="Times New Roman" w:eastAsia="仿宋_GB2312"/>
          <w:sz w:val="32"/>
          <w:szCs w:val="32"/>
        </w:rPr>
      </w:pPr>
      <w:r>
        <w:rPr>
          <w:rFonts w:ascii="Times New Roman" w:eastAsia="仿宋_GB2312"/>
          <w:b/>
          <w:sz w:val="32"/>
          <w:szCs w:val="32"/>
        </w:rPr>
        <w:t>十、项目支出：</w:t>
      </w:r>
      <w:r>
        <w:rPr>
          <w:rFonts w:ascii="Times New Roman" w:eastAsia="仿宋_GB2312"/>
          <w:b w:val="0"/>
          <w:sz w:val="32"/>
          <w:szCs w:val="32"/>
        </w:rPr>
        <w:t>指在基本支出之外为完成特定行政任务和事业发展目标所发生的支出。</w:t>
      </w:r>
    </w:p>
    <w:p>
      <w:pPr>
        <w:widowControl/>
        <w:spacing w:before="0" w:beforeLines="0" w:beforeAutospacing="0" w:after="0" w:afterLines="0" w:afterAutospacing="0" w:line="360" w:lineRule="auto"/>
        <w:ind w:firstLine="643" w:firstLineChars="200"/>
        <w:jc w:val="left"/>
        <w:rPr>
          <w:rFonts w:ascii="Times New Roman" w:eastAsia="仿宋_GB2312"/>
          <w:sz w:val="32"/>
          <w:szCs w:val="32"/>
        </w:rPr>
      </w:pPr>
      <w:r>
        <w:rPr>
          <w:rFonts w:ascii="Times New Roman" w:eastAsia="仿宋_GB2312"/>
          <w:b/>
          <w:sz w:val="32"/>
          <w:szCs w:val="32"/>
        </w:rPr>
        <w:t>十一、经营支出 ：</w:t>
      </w:r>
      <w:r>
        <w:rPr>
          <w:rFonts w:ascii="Times New Roman" w:eastAsia="仿宋_GB2312"/>
          <w:b w:val="0"/>
          <w:sz w:val="32"/>
          <w:szCs w:val="32"/>
        </w:rPr>
        <w:t>指事业单位在专业业务活动及其辅助活动之外开展非独立核算经营活动发生的支出。</w:t>
      </w:r>
    </w:p>
    <w:p>
      <w:pPr>
        <w:widowControl/>
        <w:spacing w:before="0" w:beforeLines="0" w:beforeAutospacing="0" w:after="0" w:afterLines="0" w:afterAutospacing="0" w:line="360" w:lineRule="auto"/>
        <w:ind w:firstLine="643" w:firstLineChars="200"/>
        <w:jc w:val="left"/>
        <w:rPr>
          <w:rFonts w:ascii="Times New Roman" w:eastAsia="仿宋_GB2312"/>
          <w:sz w:val="32"/>
          <w:szCs w:val="32"/>
        </w:rPr>
      </w:pPr>
      <w:r>
        <w:rPr>
          <w:rFonts w:ascii="Times New Roman" w:eastAsia="仿宋_GB2312"/>
          <w:b/>
          <w:sz w:val="32"/>
          <w:szCs w:val="32"/>
        </w:rPr>
        <w:t>十二、基本建设支出：</w:t>
      </w:r>
      <w:r>
        <w:rPr>
          <w:rFonts w:ascii="Times New Roman" w:eastAsia="仿宋_GB2312"/>
          <w:b w:val="0"/>
          <w:sz w:val="32"/>
          <w:szCs w:val="32"/>
        </w:rPr>
        <w:t>填列由本级发展与改革部门集中安排的用于购置固定资产、战略性和应急性储备、土地和无形资产，以及购建基础设施、大型修缮所发生的一般公共预算财政拨款支出，不包括政府性基金、财政专户管理资金以及各类拼盘自筹资金等。</w:t>
      </w:r>
    </w:p>
    <w:p>
      <w:pPr>
        <w:widowControl/>
        <w:spacing w:before="0" w:beforeLines="0" w:beforeAutospacing="0" w:after="0" w:afterLines="0" w:afterAutospacing="0" w:line="360" w:lineRule="auto"/>
        <w:ind w:firstLine="643" w:firstLineChars="200"/>
        <w:jc w:val="left"/>
        <w:rPr>
          <w:rFonts w:ascii="Times New Roman" w:eastAsia="仿宋_GB2312"/>
          <w:sz w:val="32"/>
          <w:szCs w:val="32"/>
        </w:rPr>
      </w:pPr>
      <w:r>
        <w:rPr>
          <w:rFonts w:ascii="Times New Roman" w:eastAsia="仿宋_GB2312"/>
          <w:b/>
          <w:sz w:val="32"/>
          <w:szCs w:val="32"/>
        </w:rPr>
        <w:t>十三、其他资本性支出：</w:t>
      </w:r>
      <w:r>
        <w:rPr>
          <w:rFonts w:ascii="Times New Roman" w:eastAsia="仿宋_GB2312"/>
          <w:b w:val="0"/>
          <w:sz w:val="32"/>
          <w:szCs w:val="32"/>
        </w:rPr>
        <w:t>填列由各级非发展与改革部门集中安排的用于购置固定资产、战备性和应急性储备、土地和无形资产，以及购建基础设施、大型修缮和财政支持企业更新改造所发生的支出。</w:t>
      </w:r>
    </w:p>
    <w:p>
      <w:pPr>
        <w:widowControl/>
        <w:spacing w:before="0" w:beforeLines="0" w:beforeAutospacing="0" w:after="0" w:afterLines="0" w:afterAutospacing="0" w:line="360" w:lineRule="auto"/>
        <w:ind w:firstLine="643" w:firstLineChars="200"/>
        <w:jc w:val="left"/>
        <w:rPr>
          <w:rFonts w:ascii="Times New Roman" w:eastAsia="仿宋_GB2312"/>
          <w:sz w:val="32"/>
          <w:szCs w:val="32"/>
        </w:rPr>
      </w:pPr>
      <w:r>
        <w:rPr>
          <w:rFonts w:ascii="Times New Roman" w:eastAsia="仿宋_GB2312"/>
          <w:b/>
          <w:sz w:val="32"/>
          <w:szCs w:val="32"/>
        </w:rPr>
        <w:t>十四、“三公”经费：</w:t>
      </w:r>
      <w:r>
        <w:rPr>
          <w:rFonts w:ascii="Times New Roman" w:eastAsia="仿宋_GB2312"/>
          <w:b w:val="0"/>
          <w:sz w:val="32"/>
          <w:szCs w:val="32"/>
        </w:rPr>
        <w:t>指部门用财政拨款安排的因公出国（境）费、公务用车购置及运行费和公务接待费。其中，因公出国（境）费反映单位公务出国（境）的国际旅费、国外城市间交通费、住宿费、伙食费、培训费、公杂费等支出；公务用车购置及运行费反映单位公务用车购置支出（含车辆购置税、牌照费）及按规定保留的公务用车燃料费、维修费、过桥过路费、保险费、安全奖励费用等支出；公务接待费反映单位按规定开支的各类公务接待（含外宾接待）支出。</w:t>
      </w:r>
    </w:p>
    <w:p>
      <w:pPr>
        <w:widowControl/>
        <w:spacing w:before="0" w:beforeLines="0" w:beforeAutospacing="0" w:after="0" w:afterLines="0" w:afterAutospacing="0" w:line="360" w:lineRule="auto"/>
        <w:ind w:firstLine="643" w:firstLineChars="200"/>
        <w:jc w:val="left"/>
        <w:rPr>
          <w:rFonts w:ascii="Times New Roman" w:eastAsia="仿宋_GB2312"/>
          <w:sz w:val="32"/>
          <w:szCs w:val="32"/>
        </w:rPr>
      </w:pPr>
      <w:r>
        <w:rPr>
          <w:rFonts w:ascii="Times New Roman" w:eastAsia="仿宋_GB2312"/>
          <w:b/>
          <w:sz w:val="32"/>
          <w:szCs w:val="32"/>
        </w:rPr>
        <w:t>十五、其他交通费用：</w:t>
      </w:r>
      <w:r>
        <w:rPr>
          <w:rFonts w:ascii="Times New Roman" w:eastAsia="仿宋_GB2312"/>
          <w:b w:val="0"/>
          <w:sz w:val="32"/>
          <w:szCs w:val="32"/>
        </w:rPr>
        <w:t>填列单位除公务用车运行维护费以外的其他交通费用。如公务交通补贴、租车费用、出租车费用，飞机、船舶等燃料费、维修费、保险费等。</w:t>
      </w:r>
    </w:p>
    <w:p>
      <w:pPr>
        <w:widowControl/>
        <w:spacing w:before="0" w:beforeLines="0" w:beforeAutospacing="0" w:after="0" w:afterLines="0" w:afterAutospacing="0" w:line="360" w:lineRule="auto"/>
        <w:ind w:firstLine="643" w:firstLineChars="200"/>
        <w:jc w:val="left"/>
        <w:rPr>
          <w:rFonts w:ascii="Times New Roman" w:eastAsia="仿宋_GB2312"/>
          <w:sz w:val="32"/>
          <w:szCs w:val="32"/>
        </w:rPr>
      </w:pPr>
      <w:r>
        <w:rPr>
          <w:rFonts w:ascii="Times New Roman" w:eastAsia="仿宋_GB2312"/>
          <w:b/>
          <w:sz w:val="32"/>
          <w:szCs w:val="32"/>
        </w:rPr>
        <w:t>十六、公务用车购置：</w:t>
      </w:r>
      <w:r>
        <w:rPr>
          <w:rFonts w:ascii="Times New Roman" w:eastAsia="仿宋_GB2312"/>
          <w:b w:val="0"/>
          <w:sz w:val="32"/>
          <w:szCs w:val="32"/>
        </w:rPr>
        <w:t>填列单位公务用车车辆购置支出（含车辆购置税、牌照费）。</w:t>
      </w:r>
    </w:p>
    <w:p>
      <w:pPr>
        <w:widowControl/>
        <w:spacing w:before="0" w:beforeLines="0" w:beforeAutospacing="0" w:after="0" w:afterLines="0" w:afterAutospacing="0" w:line="360" w:lineRule="auto"/>
        <w:ind w:firstLine="643" w:firstLineChars="200"/>
        <w:jc w:val="left"/>
        <w:rPr>
          <w:rFonts w:ascii="Times New Roman" w:eastAsia="仿宋_GB2312"/>
          <w:sz w:val="32"/>
          <w:szCs w:val="32"/>
        </w:rPr>
      </w:pPr>
      <w:r>
        <w:rPr>
          <w:rFonts w:ascii="Times New Roman" w:eastAsia="仿宋_GB2312"/>
          <w:b/>
          <w:sz w:val="32"/>
          <w:szCs w:val="32"/>
        </w:rPr>
        <w:t>十七、其他交通工具购置：</w:t>
      </w:r>
      <w:r>
        <w:rPr>
          <w:rFonts w:ascii="Times New Roman" w:eastAsia="仿宋_GB2312"/>
          <w:b w:val="0"/>
          <w:sz w:val="32"/>
          <w:szCs w:val="32"/>
        </w:rPr>
        <w:t>填列单位除公务用车外的其他各类交通工具（如船舶、飞机等）购置支出（含车辆购置税、牌照费）。</w:t>
      </w:r>
    </w:p>
    <w:p>
      <w:pPr>
        <w:widowControl/>
        <w:spacing w:before="0" w:beforeLines="0" w:beforeAutospacing="0" w:after="0" w:afterLines="0" w:afterAutospacing="0" w:line="360" w:lineRule="auto"/>
        <w:ind w:firstLine="643" w:firstLineChars="200"/>
        <w:jc w:val="left"/>
        <w:rPr>
          <w:rFonts w:ascii="Times New Roman" w:eastAsia="仿宋_GB2312"/>
          <w:sz w:val="32"/>
          <w:szCs w:val="32"/>
        </w:rPr>
      </w:pPr>
      <w:r>
        <w:rPr>
          <w:rFonts w:ascii="Times New Roman" w:eastAsia="仿宋_GB2312"/>
          <w:b/>
          <w:sz w:val="32"/>
          <w:szCs w:val="32"/>
        </w:rPr>
        <w:t>十八、机关运行经费：</w:t>
      </w:r>
      <w:r>
        <w:rPr>
          <w:rFonts w:ascii="Times New Roman" w:eastAsia="仿宋_GB2312"/>
          <w:b w:val="0"/>
          <w:sz w:val="32"/>
          <w:szCs w:val="32"/>
        </w:rPr>
        <w:t>指为保障行政单位（包括参照公务员法管理的事业单位）运行用于购买货物和服务的各项资金，包括办公及印刷费、邮电费、差旅费、会议费、福利费、日常维修费、专用材料以及一般设备购置费、办公用房水电费、办公用房取暖费、办公用房物业管理费、公务用车运行维护费以及其他费用。</w:t>
      </w:r>
    </w:p>
    <w:sectPr>
      <w:pgSz w:w="11906" w:h="16838"/>
      <w:pgMar w:top="2098" w:right="1417" w:bottom="1871" w:left="1417" w:header="851" w:footer="992" w:gutter="0"/>
      <w:pgBorders>
        <w:top w:val="none" w:sz="0" w:space="0"/>
        <w:left w:val="none" w:sz="0" w:space="0"/>
        <w:bottom w:val="none" w:sz="0" w:space="0"/>
        <w:right w:val="none" w:sz="0" w:space="0"/>
      </w:pgBorders>
      <w:cols w:space="0" w:num="1"/>
      <w:rtlGutter w:val="0"/>
      <w:docGrid w:type="lines" w:linePitch="329"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roman"/>
    <w:pitch w:val="default"/>
    <w:sig w:usb0="E0002EFF" w:usb1="C000785B" w:usb2="00000009" w:usb3="00000000" w:csb0="400001FF" w:csb1="FFFF0000"/>
  </w:font>
  <w:font w:name="宋体">
    <w:panose1 w:val="02010600030101010101"/>
    <w:charset w:val="50"/>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embedRegular r:id="rId1" w:fontKey="{BFF0A3E7-8E90-457C-85CA-C089E21DD00E}"/>
  </w:font>
  <w:font w:name="黑体">
    <w:panose1 w:val="02010609060101010101"/>
    <w:charset w:val="86"/>
    <w:family w:val="auto"/>
    <w:pitch w:val="default"/>
    <w:sig w:usb0="800002BF" w:usb1="38CF7CFA" w:usb2="00000016" w:usb3="00000000" w:csb0="00040001" w:csb1="00000000"/>
    <w:embedRegular r:id="rId2" w:fontKey="{E932A4CE-AC84-4178-B808-92E747F6AD3A}"/>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embedRegular r:id="rId3" w:fontKey="{6CB276D9-5D80-45F8-B778-4F38FE898506}"/>
  </w:font>
  <w:font w:name="仿宋">
    <w:panose1 w:val="02010609060101010101"/>
    <w:charset w:val="86"/>
    <w:family w:val="modern"/>
    <w:pitch w:val="default"/>
    <w:sig w:usb0="800002BF" w:usb1="38CF7CFA" w:usb2="00000016" w:usb3="00000000" w:csb0="00040001" w:csb1="00000000"/>
    <w:embedRegular r:id="rId4" w:fontKey="{A6F11FA2-3DC1-48CA-A02D-52E23CA9039C}"/>
  </w:font>
  <w:font w:name="Calibri Light">
    <w:panose1 w:val="020F0302020204030204"/>
    <w:charset w:val="00"/>
    <w:family w:val="auto"/>
    <w:pitch w:val="default"/>
    <w:sig w:usb0="E4002EFF" w:usb1="C000247B" w:usb2="00000009" w:usb3="00000000" w:csb0="200001FF" w:csb1="00000000"/>
  </w:font>
  <w:font w:name="华文中宋">
    <w:altName w:val="宋体"/>
    <w:panose1 w:val="02010600040101010101"/>
    <w:charset w:val="86"/>
    <w:family w:val="auto"/>
    <w:pitch w:val="default"/>
    <w:sig w:usb0="00000000" w:usb1="00000000" w:usb2="00000000" w:usb3="00000000" w:csb0="0004009F" w:csb1="DFD70000"/>
  </w:font>
  <w:font w:name="方正仿宋_GB2312">
    <w:panose1 w:val="02000000000000000000"/>
    <w:charset w:val="86"/>
    <w:family w:val="auto"/>
    <w:pitch w:val="default"/>
    <w:sig w:usb0="00000000" w:usb1="00000000" w:usb2="00000000" w:usb3="00000000" w:csb0="00000000" w:csb1="00000000"/>
    <w:embedRegular r:id="rId5" w:fontKey="{F84AF47A-5CE2-470D-AB80-E7429932BC49}"/>
  </w:font>
  <w:font w:name="楷体_GB2312">
    <w:panose1 w:val="02010609030101010101"/>
    <w:charset w:val="86"/>
    <w:family w:val="auto"/>
    <w:pitch w:val="default"/>
    <w:sig w:usb0="00000001" w:usb1="080E0000" w:usb2="00000000" w:usb3="00000000" w:csb0="00040000" w:csb1="00000000"/>
    <w:embedRegular r:id="rId6" w:fontKey="{89CA2A49-48E2-418A-BCDD-FB47FCD2A351}"/>
  </w:font>
  <w:font w:name="微软雅黑">
    <w:panose1 w:val="020B0503020204020204"/>
    <w:charset w:val="86"/>
    <w:family w:val="auto"/>
    <w:pitch w:val="default"/>
    <w:sig w:usb0="80000287" w:usb1="2ACF3C50" w:usb2="00000016" w:usb3="00000000" w:csb0="0004001F" w:csb1="00000000"/>
    <w:embedRegular r:id="rId7" w:fontKey="{4DF6DAF3-2AC0-4312-BB67-CEA2EA4F4F3C}"/>
  </w:font>
  <w:font w:name="方正小标宋_GBK">
    <w:panose1 w:val="03000509000000000000"/>
    <w:charset w:val="86"/>
    <w:family w:val="script"/>
    <w:pitch w:val="default"/>
    <w:sig w:usb0="00000001" w:usb1="080E0000" w:usb2="00000000" w:usb3="00000000" w:csb0="00040000" w:csb1="00000000"/>
    <w:embedRegular r:id="rId8" w:fontKey="{A30D692D-DAF8-4C32-990A-22B5709D4E33}"/>
  </w:font>
  <w:font w:name="仿宋_GB2312">
    <w:panose1 w:val="02010609030101010101"/>
    <w:charset w:val="86"/>
    <w:family w:val="auto"/>
    <w:pitch w:val="default"/>
    <w:sig w:usb0="00000001" w:usb1="080E0000" w:usb2="00000000" w:usb3="00000000" w:csb0="00040000" w:csb1="00000000"/>
    <w:embedRegular r:id="rId9" w:fontKey="{C5AAD568-4ACA-4CB4-BED5-78937F26A33A}"/>
  </w:font>
  <w:font w:name="ArialUnicodeMS">
    <w:altName w:val="Malgun Gothic"/>
    <w:panose1 w:val="00000000000000000000"/>
    <w:charset w:val="81"/>
    <w:family w:val="auto"/>
    <w:pitch w:val="default"/>
    <w:sig w:usb0="00000000" w:usb1="00000000" w:usb2="00000010" w:usb3="00000000" w:csb0="00080001" w:csb1="00000000"/>
    <w:embedRegular r:id="rId10" w:fontKey="{2CB5D32A-A894-4966-B9C8-1A257AE39390}"/>
  </w:font>
  <w:font w:name="Arial Unicode MS">
    <w:altName w:val="Arial"/>
    <w:panose1 w:val="00000000000000000000"/>
    <w:charset w:val="00"/>
    <w:family w:val="auto"/>
    <w:pitch w:val="default"/>
    <w:sig w:usb0="00000000" w:usb1="00000000" w:usb2="00000000" w:usb3="00000000" w:csb0="0000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8"/>
      <w:jc w:val="center"/>
    </w:pPr>
  </w:p>
  <w:p>
    <w:pPr>
      <w:pStyle w:val="8"/>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8"/>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9"/>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9"/>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9"/>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5F16A424"/>
    <w:multiLevelType w:val="multilevel"/>
    <w:tmpl w:val="5F16A424"/>
    <w:lvl w:ilvl="0" w:tentative="0">
      <w:start w:val="1"/>
      <w:numFmt w:val="decimal"/>
      <w:pStyle w:val="2"/>
      <w:lvlText w:val="%1."/>
      <w:lvlJc w:val="left"/>
      <w:pPr>
        <w:ind w:left="425" w:hanging="425"/>
      </w:pPr>
      <w:rPr>
        <w:rFonts w:hint="default"/>
      </w:rPr>
    </w:lvl>
    <w:lvl w:ilvl="1" w:tentative="0">
      <w:start w:val="1"/>
      <w:numFmt w:val="decimal"/>
      <w:pStyle w:val="3"/>
      <w:lvlText w:val="%1.%2."/>
      <w:lvlJc w:val="left"/>
      <w:pPr>
        <w:ind w:left="567" w:hanging="567"/>
      </w:pPr>
      <w:rPr>
        <w:rFonts w:hint="default"/>
      </w:rPr>
    </w:lvl>
    <w:lvl w:ilvl="2" w:tentative="0">
      <w:start w:val="1"/>
      <w:numFmt w:val="decimal"/>
      <w:pStyle w:val="4"/>
      <w:lvlText w:val="%1.%2.%3."/>
      <w:lvlJc w:val="left"/>
      <w:pPr>
        <w:ind w:left="709" w:hanging="709"/>
      </w:pPr>
      <w:rPr>
        <w:rFonts w:hint="default"/>
      </w:rPr>
    </w:lvl>
    <w:lvl w:ilvl="3" w:tentative="0">
      <w:start w:val="1"/>
      <w:numFmt w:val="decimal"/>
      <w:pStyle w:val="5"/>
      <w:lvlText w:val="%1.%2.%3.%4."/>
      <w:lvlJc w:val="left"/>
      <w:pPr>
        <w:ind w:left="850" w:hanging="850"/>
      </w:pPr>
      <w:rPr>
        <w:rFonts w:hint="default"/>
      </w:rPr>
    </w:lvl>
    <w:lvl w:ilvl="4" w:tentative="0">
      <w:start w:val="1"/>
      <w:numFmt w:val="decimal"/>
      <w:lvlText w:val="%1.%2.%3.%4.%5."/>
      <w:lvlJc w:val="left"/>
      <w:pPr>
        <w:ind w:left="991" w:hanging="991"/>
      </w:pPr>
      <w:rPr>
        <w:rFonts w:hint="default"/>
      </w:rPr>
    </w:lvl>
    <w:lvl w:ilvl="5" w:tentative="0">
      <w:start w:val="1"/>
      <w:numFmt w:val="decimal"/>
      <w:lvlText w:val="%1.%2.%3.%4.%5.%6."/>
      <w:lvlJc w:val="left"/>
      <w:pPr>
        <w:ind w:left="1134" w:hanging="1134"/>
      </w:pPr>
      <w:rPr>
        <w:rFonts w:hint="default"/>
      </w:rPr>
    </w:lvl>
    <w:lvl w:ilvl="6" w:tentative="0">
      <w:start w:val="1"/>
      <w:numFmt w:val="decimal"/>
      <w:lvlText w:val="%1.%2.%3.%4.%5.%6.%7."/>
      <w:lvlJc w:val="left"/>
      <w:pPr>
        <w:ind w:left="1275" w:hanging="1275"/>
      </w:pPr>
      <w:rPr>
        <w:rFonts w:hint="default"/>
      </w:rPr>
    </w:lvl>
    <w:lvl w:ilvl="7" w:tentative="0">
      <w:start w:val="1"/>
      <w:numFmt w:val="decimal"/>
      <w:lvlText w:val="%1.%2.%3.%4.%5.%6.%7.%8."/>
      <w:lvlJc w:val="left"/>
      <w:pPr>
        <w:ind w:left="1418" w:hanging="1418"/>
      </w:pPr>
      <w:rPr>
        <w:rFonts w:hint="default"/>
      </w:rPr>
    </w:lvl>
    <w:lvl w:ilvl="8" w:tentative="0">
      <w:start w:val="1"/>
      <w:numFmt w:val="decimal"/>
      <w:lvlText w:val="%1.%2.%3.%4.%5.%6.%7.%8.%9."/>
      <w:lvlJc w:val="left"/>
      <w:pPr>
        <w:ind w:left="1558" w:hanging="1558"/>
      </w:pPr>
      <w:rPr>
        <w:rFont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displayBackgroundShape w:val="1"/>
  <w:embedTrueTypeFonts/>
  <w:saveSubsetFonts/>
  <w:bordersDoNotSurroundHeader w:val="0"/>
  <w:bordersDoNotSurroundFooter w:val="0"/>
  <w:documentProtection w:enforcement="0"/>
  <w:defaultTabStop w:val="420"/>
  <w:drawingGridVerticalSpacing w:val="165"/>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jb3VudCI6NjksImhkaWQiOiJiMzk2N2EzZjUyYWViODRjZjJhMDZjM2YyYjk4MTExMiIsInVzZXJDb3VudCI6MX0="/>
  </w:docVars>
  <w:rsids>
    <w:rsidRoot w:val="00172A27"/>
    <w:rsid w:val="00086151"/>
    <w:rsid w:val="00236F8C"/>
    <w:rsid w:val="00822154"/>
    <w:rsid w:val="00C65689"/>
    <w:rsid w:val="00CC2C8E"/>
    <w:rsid w:val="0179546C"/>
    <w:rsid w:val="01A03C5A"/>
    <w:rsid w:val="01A5267D"/>
    <w:rsid w:val="01AE3368"/>
    <w:rsid w:val="01AF6A8D"/>
    <w:rsid w:val="024808A2"/>
    <w:rsid w:val="025C3821"/>
    <w:rsid w:val="02DA3B1B"/>
    <w:rsid w:val="02E57B4D"/>
    <w:rsid w:val="03450B90"/>
    <w:rsid w:val="037B12D4"/>
    <w:rsid w:val="03804D63"/>
    <w:rsid w:val="03F5128D"/>
    <w:rsid w:val="03FB73B0"/>
    <w:rsid w:val="04642795"/>
    <w:rsid w:val="04806B11"/>
    <w:rsid w:val="049C1B9D"/>
    <w:rsid w:val="04BD008C"/>
    <w:rsid w:val="04C55939"/>
    <w:rsid w:val="04DA28BB"/>
    <w:rsid w:val="04F528BE"/>
    <w:rsid w:val="050E10CE"/>
    <w:rsid w:val="054F2DFB"/>
    <w:rsid w:val="05991C82"/>
    <w:rsid w:val="05CD1EC8"/>
    <w:rsid w:val="05E57574"/>
    <w:rsid w:val="061416A9"/>
    <w:rsid w:val="061D60A6"/>
    <w:rsid w:val="06236884"/>
    <w:rsid w:val="06B07006"/>
    <w:rsid w:val="06FC7C2A"/>
    <w:rsid w:val="070B57B7"/>
    <w:rsid w:val="07533AFE"/>
    <w:rsid w:val="07AC18F2"/>
    <w:rsid w:val="07B3657A"/>
    <w:rsid w:val="07C857D0"/>
    <w:rsid w:val="081163FE"/>
    <w:rsid w:val="083F3A0A"/>
    <w:rsid w:val="08AB5AAF"/>
    <w:rsid w:val="08C65EBD"/>
    <w:rsid w:val="08D24C32"/>
    <w:rsid w:val="09012C64"/>
    <w:rsid w:val="093B2E99"/>
    <w:rsid w:val="095D7943"/>
    <w:rsid w:val="09C006C6"/>
    <w:rsid w:val="0A10621F"/>
    <w:rsid w:val="0A464C4F"/>
    <w:rsid w:val="0A6729A3"/>
    <w:rsid w:val="0A694877"/>
    <w:rsid w:val="0AA954BE"/>
    <w:rsid w:val="0AE70639"/>
    <w:rsid w:val="0AEC32FF"/>
    <w:rsid w:val="0B4F5E6D"/>
    <w:rsid w:val="0B52270F"/>
    <w:rsid w:val="0B753AE2"/>
    <w:rsid w:val="0BB67D0A"/>
    <w:rsid w:val="0BC56230"/>
    <w:rsid w:val="0BCF21BD"/>
    <w:rsid w:val="0C481041"/>
    <w:rsid w:val="0C4E53E8"/>
    <w:rsid w:val="0C6712D6"/>
    <w:rsid w:val="0C7F7845"/>
    <w:rsid w:val="0C9F7900"/>
    <w:rsid w:val="0CB20B1A"/>
    <w:rsid w:val="0CB23317"/>
    <w:rsid w:val="0D101068"/>
    <w:rsid w:val="0D4E13BE"/>
    <w:rsid w:val="0D7557DF"/>
    <w:rsid w:val="0D853E34"/>
    <w:rsid w:val="0D9C2A57"/>
    <w:rsid w:val="0DC3019B"/>
    <w:rsid w:val="0DE47D04"/>
    <w:rsid w:val="0DFA5D82"/>
    <w:rsid w:val="0E1E52CE"/>
    <w:rsid w:val="0E866524"/>
    <w:rsid w:val="0E9268D3"/>
    <w:rsid w:val="0E957F1F"/>
    <w:rsid w:val="0F0E7284"/>
    <w:rsid w:val="0F28110F"/>
    <w:rsid w:val="0F37083F"/>
    <w:rsid w:val="0F4351D1"/>
    <w:rsid w:val="0F7470AF"/>
    <w:rsid w:val="0F8751F8"/>
    <w:rsid w:val="0F891DB8"/>
    <w:rsid w:val="0F8D3287"/>
    <w:rsid w:val="0FAA3B86"/>
    <w:rsid w:val="10191346"/>
    <w:rsid w:val="102A01A6"/>
    <w:rsid w:val="105A290D"/>
    <w:rsid w:val="10754A6C"/>
    <w:rsid w:val="108B537D"/>
    <w:rsid w:val="10B11DB1"/>
    <w:rsid w:val="11177F57"/>
    <w:rsid w:val="11217C97"/>
    <w:rsid w:val="113076C2"/>
    <w:rsid w:val="11365128"/>
    <w:rsid w:val="11464C20"/>
    <w:rsid w:val="115E4926"/>
    <w:rsid w:val="118A1FFA"/>
    <w:rsid w:val="11E35B5A"/>
    <w:rsid w:val="11E42DD6"/>
    <w:rsid w:val="125F5A1B"/>
    <w:rsid w:val="126979D6"/>
    <w:rsid w:val="129E45A7"/>
    <w:rsid w:val="12B632C8"/>
    <w:rsid w:val="13074404"/>
    <w:rsid w:val="136A5C00"/>
    <w:rsid w:val="13B97B08"/>
    <w:rsid w:val="13C527AC"/>
    <w:rsid w:val="14711797"/>
    <w:rsid w:val="147B6F17"/>
    <w:rsid w:val="149B087A"/>
    <w:rsid w:val="14D42061"/>
    <w:rsid w:val="15081C8B"/>
    <w:rsid w:val="15090D5C"/>
    <w:rsid w:val="15CC19E2"/>
    <w:rsid w:val="15CF053D"/>
    <w:rsid w:val="15E0131A"/>
    <w:rsid w:val="15E11DC0"/>
    <w:rsid w:val="16457D9F"/>
    <w:rsid w:val="17223EFF"/>
    <w:rsid w:val="17751C0A"/>
    <w:rsid w:val="17AA5F28"/>
    <w:rsid w:val="17B713F6"/>
    <w:rsid w:val="184350A0"/>
    <w:rsid w:val="18935485"/>
    <w:rsid w:val="18A34206"/>
    <w:rsid w:val="18DE3B2C"/>
    <w:rsid w:val="18EF453A"/>
    <w:rsid w:val="1906685D"/>
    <w:rsid w:val="19111683"/>
    <w:rsid w:val="19353916"/>
    <w:rsid w:val="193E101D"/>
    <w:rsid w:val="19C10AF1"/>
    <w:rsid w:val="1A017CDA"/>
    <w:rsid w:val="1A2672DE"/>
    <w:rsid w:val="1AA81D42"/>
    <w:rsid w:val="1AB433D9"/>
    <w:rsid w:val="1AEE2FA0"/>
    <w:rsid w:val="1AFB6D70"/>
    <w:rsid w:val="1B1B11EE"/>
    <w:rsid w:val="1B3719E0"/>
    <w:rsid w:val="1B6261C3"/>
    <w:rsid w:val="1B731730"/>
    <w:rsid w:val="1B882BB5"/>
    <w:rsid w:val="1B9B33C7"/>
    <w:rsid w:val="1B9D7FEC"/>
    <w:rsid w:val="1BA55461"/>
    <w:rsid w:val="1BE74496"/>
    <w:rsid w:val="1BFB1448"/>
    <w:rsid w:val="1C3D67D1"/>
    <w:rsid w:val="1C40731A"/>
    <w:rsid w:val="1C506572"/>
    <w:rsid w:val="1C560392"/>
    <w:rsid w:val="1C581532"/>
    <w:rsid w:val="1C9F2E05"/>
    <w:rsid w:val="1CA15E03"/>
    <w:rsid w:val="1CA24F0C"/>
    <w:rsid w:val="1CF8716C"/>
    <w:rsid w:val="1D1638FE"/>
    <w:rsid w:val="1D1E545A"/>
    <w:rsid w:val="1D4B1F5B"/>
    <w:rsid w:val="1D6C5CA0"/>
    <w:rsid w:val="1D725586"/>
    <w:rsid w:val="1D745B4F"/>
    <w:rsid w:val="1D867987"/>
    <w:rsid w:val="1D944010"/>
    <w:rsid w:val="1DD70E85"/>
    <w:rsid w:val="1DE74AD7"/>
    <w:rsid w:val="1DF60A19"/>
    <w:rsid w:val="1DFA6713"/>
    <w:rsid w:val="1E050843"/>
    <w:rsid w:val="1E2D3FB0"/>
    <w:rsid w:val="1E2E50F1"/>
    <w:rsid w:val="1E3B4E26"/>
    <w:rsid w:val="1ED22D79"/>
    <w:rsid w:val="1EDF707D"/>
    <w:rsid w:val="1F394761"/>
    <w:rsid w:val="1F65664C"/>
    <w:rsid w:val="1F7C149A"/>
    <w:rsid w:val="1F84140D"/>
    <w:rsid w:val="1F9B7FFD"/>
    <w:rsid w:val="1F9C7614"/>
    <w:rsid w:val="1FBE1971"/>
    <w:rsid w:val="2008768D"/>
    <w:rsid w:val="204B327F"/>
    <w:rsid w:val="204C2B10"/>
    <w:rsid w:val="20603500"/>
    <w:rsid w:val="207D30AD"/>
    <w:rsid w:val="209064B9"/>
    <w:rsid w:val="20970D81"/>
    <w:rsid w:val="20D165D5"/>
    <w:rsid w:val="210878E6"/>
    <w:rsid w:val="210E1408"/>
    <w:rsid w:val="211069AD"/>
    <w:rsid w:val="21573FAB"/>
    <w:rsid w:val="2172069C"/>
    <w:rsid w:val="21834E87"/>
    <w:rsid w:val="21987BC4"/>
    <w:rsid w:val="21BE314A"/>
    <w:rsid w:val="220451AB"/>
    <w:rsid w:val="2237486E"/>
    <w:rsid w:val="223D1378"/>
    <w:rsid w:val="22451BC7"/>
    <w:rsid w:val="22940650"/>
    <w:rsid w:val="22AD4B1E"/>
    <w:rsid w:val="22C43743"/>
    <w:rsid w:val="22D31DF3"/>
    <w:rsid w:val="22FD3CF7"/>
    <w:rsid w:val="232C221B"/>
    <w:rsid w:val="2356249E"/>
    <w:rsid w:val="236E713A"/>
    <w:rsid w:val="23700968"/>
    <w:rsid w:val="238761A6"/>
    <w:rsid w:val="23920578"/>
    <w:rsid w:val="23BB6F9A"/>
    <w:rsid w:val="23FC3864"/>
    <w:rsid w:val="24857B00"/>
    <w:rsid w:val="24F25212"/>
    <w:rsid w:val="25087C0C"/>
    <w:rsid w:val="251B0465"/>
    <w:rsid w:val="254B0AC6"/>
    <w:rsid w:val="25571AB6"/>
    <w:rsid w:val="2561056D"/>
    <w:rsid w:val="2577160A"/>
    <w:rsid w:val="259C5A45"/>
    <w:rsid w:val="25B40AD6"/>
    <w:rsid w:val="25BE7872"/>
    <w:rsid w:val="25BF702A"/>
    <w:rsid w:val="26390459"/>
    <w:rsid w:val="264D2D17"/>
    <w:rsid w:val="2662443D"/>
    <w:rsid w:val="26661BB3"/>
    <w:rsid w:val="26773DC1"/>
    <w:rsid w:val="26D50E55"/>
    <w:rsid w:val="271A539C"/>
    <w:rsid w:val="273823FA"/>
    <w:rsid w:val="274972D4"/>
    <w:rsid w:val="27AA3D97"/>
    <w:rsid w:val="280A3758"/>
    <w:rsid w:val="28292E99"/>
    <w:rsid w:val="284E28FF"/>
    <w:rsid w:val="289057C5"/>
    <w:rsid w:val="28A67C7A"/>
    <w:rsid w:val="28EA3248"/>
    <w:rsid w:val="28F72F97"/>
    <w:rsid w:val="28F879DA"/>
    <w:rsid w:val="294B7731"/>
    <w:rsid w:val="29514455"/>
    <w:rsid w:val="29D21FF2"/>
    <w:rsid w:val="2A611B0F"/>
    <w:rsid w:val="2AC1762B"/>
    <w:rsid w:val="2AE845D0"/>
    <w:rsid w:val="2B4975FB"/>
    <w:rsid w:val="2B695031"/>
    <w:rsid w:val="2B735A8F"/>
    <w:rsid w:val="2BA7478D"/>
    <w:rsid w:val="2BB038DB"/>
    <w:rsid w:val="2BB761E0"/>
    <w:rsid w:val="2BB812F9"/>
    <w:rsid w:val="2BE35C27"/>
    <w:rsid w:val="2BFA504B"/>
    <w:rsid w:val="2C681F1F"/>
    <w:rsid w:val="2C8608DC"/>
    <w:rsid w:val="2CA4764A"/>
    <w:rsid w:val="2CC42ECA"/>
    <w:rsid w:val="2CCC7A22"/>
    <w:rsid w:val="2CDA4349"/>
    <w:rsid w:val="2D225539"/>
    <w:rsid w:val="2D4618D2"/>
    <w:rsid w:val="2D5F021B"/>
    <w:rsid w:val="2D6E1286"/>
    <w:rsid w:val="2D70583E"/>
    <w:rsid w:val="2DA07759"/>
    <w:rsid w:val="2E0725DC"/>
    <w:rsid w:val="2E1B4BB8"/>
    <w:rsid w:val="2E256CB6"/>
    <w:rsid w:val="2E5F27E4"/>
    <w:rsid w:val="2EBD223E"/>
    <w:rsid w:val="2EC10AD1"/>
    <w:rsid w:val="2ECB6A5A"/>
    <w:rsid w:val="2EE65418"/>
    <w:rsid w:val="2EFC0112"/>
    <w:rsid w:val="2F0F45A5"/>
    <w:rsid w:val="2F0F6197"/>
    <w:rsid w:val="2F2B730D"/>
    <w:rsid w:val="2F6A001E"/>
    <w:rsid w:val="2F9F3DC1"/>
    <w:rsid w:val="2FFC7AC2"/>
    <w:rsid w:val="301430AF"/>
    <w:rsid w:val="30630612"/>
    <w:rsid w:val="308E59B0"/>
    <w:rsid w:val="30B10568"/>
    <w:rsid w:val="30E070F0"/>
    <w:rsid w:val="30E55DD3"/>
    <w:rsid w:val="30E60399"/>
    <w:rsid w:val="31356AA5"/>
    <w:rsid w:val="313E22F0"/>
    <w:rsid w:val="31B0194C"/>
    <w:rsid w:val="31CE17D1"/>
    <w:rsid w:val="31FD161E"/>
    <w:rsid w:val="32270449"/>
    <w:rsid w:val="323E4515"/>
    <w:rsid w:val="326A4E14"/>
    <w:rsid w:val="3286389B"/>
    <w:rsid w:val="32994FDB"/>
    <w:rsid w:val="32CF5C94"/>
    <w:rsid w:val="32D337C7"/>
    <w:rsid w:val="32E200EC"/>
    <w:rsid w:val="32E5408B"/>
    <w:rsid w:val="32EB0D70"/>
    <w:rsid w:val="330E785B"/>
    <w:rsid w:val="332824BC"/>
    <w:rsid w:val="332868BB"/>
    <w:rsid w:val="333211F3"/>
    <w:rsid w:val="33504B41"/>
    <w:rsid w:val="338B4A07"/>
    <w:rsid w:val="33944811"/>
    <w:rsid w:val="33BE79A7"/>
    <w:rsid w:val="33CE0488"/>
    <w:rsid w:val="341D31EE"/>
    <w:rsid w:val="34262463"/>
    <w:rsid w:val="34296F31"/>
    <w:rsid w:val="34340A27"/>
    <w:rsid w:val="346A2989"/>
    <w:rsid w:val="348865E9"/>
    <w:rsid w:val="348F70D5"/>
    <w:rsid w:val="349D2BAD"/>
    <w:rsid w:val="34B25886"/>
    <w:rsid w:val="34E538E1"/>
    <w:rsid w:val="35277FF8"/>
    <w:rsid w:val="35763460"/>
    <w:rsid w:val="35776F72"/>
    <w:rsid w:val="35997371"/>
    <w:rsid w:val="35BC359E"/>
    <w:rsid w:val="35DA3A24"/>
    <w:rsid w:val="35DD4D47"/>
    <w:rsid w:val="360134DF"/>
    <w:rsid w:val="360B1E2F"/>
    <w:rsid w:val="360D500F"/>
    <w:rsid w:val="36330424"/>
    <w:rsid w:val="36FE3ABA"/>
    <w:rsid w:val="37072BDE"/>
    <w:rsid w:val="37455334"/>
    <w:rsid w:val="37527C32"/>
    <w:rsid w:val="37731921"/>
    <w:rsid w:val="37E509C0"/>
    <w:rsid w:val="37E96FB8"/>
    <w:rsid w:val="38222D85"/>
    <w:rsid w:val="38767A34"/>
    <w:rsid w:val="38803721"/>
    <w:rsid w:val="38925A62"/>
    <w:rsid w:val="389F5F4F"/>
    <w:rsid w:val="38C36BA2"/>
    <w:rsid w:val="38D34E55"/>
    <w:rsid w:val="38E11CEF"/>
    <w:rsid w:val="38F6595C"/>
    <w:rsid w:val="391702A7"/>
    <w:rsid w:val="39286EB6"/>
    <w:rsid w:val="39601DF4"/>
    <w:rsid w:val="396960F3"/>
    <w:rsid w:val="39840D35"/>
    <w:rsid w:val="39A97DAF"/>
    <w:rsid w:val="39BF365D"/>
    <w:rsid w:val="39CD1330"/>
    <w:rsid w:val="39DD1AFF"/>
    <w:rsid w:val="3A2510B9"/>
    <w:rsid w:val="3A2B0CF2"/>
    <w:rsid w:val="3A2B1DFC"/>
    <w:rsid w:val="3AA6422C"/>
    <w:rsid w:val="3AAF46D5"/>
    <w:rsid w:val="3AF562AE"/>
    <w:rsid w:val="3B135A0E"/>
    <w:rsid w:val="3B183213"/>
    <w:rsid w:val="3B272BBC"/>
    <w:rsid w:val="3B374FEE"/>
    <w:rsid w:val="3B4410EE"/>
    <w:rsid w:val="3B46744C"/>
    <w:rsid w:val="3B56159C"/>
    <w:rsid w:val="3B596DF7"/>
    <w:rsid w:val="3B7D732B"/>
    <w:rsid w:val="3BD30423"/>
    <w:rsid w:val="3C14299D"/>
    <w:rsid w:val="3C6C0B58"/>
    <w:rsid w:val="3C945583"/>
    <w:rsid w:val="3CBE41D5"/>
    <w:rsid w:val="3D446B0E"/>
    <w:rsid w:val="3D745844"/>
    <w:rsid w:val="3D8626D0"/>
    <w:rsid w:val="3D8C1AA8"/>
    <w:rsid w:val="3D953A6B"/>
    <w:rsid w:val="3DBB5979"/>
    <w:rsid w:val="3DD56F21"/>
    <w:rsid w:val="3DEF6699"/>
    <w:rsid w:val="3E1057AF"/>
    <w:rsid w:val="3E6C0DFA"/>
    <w:rsid w:val="3E740322"/>
    <w:rsid w:val="3E7F4380"/>
    <w:rsid w:val="3E8D171B"/>
    <w:rsid w:val="3EA5630D"/>
    <w:rsid w:val="3EBA731B"/>
    <w:rsid w:val="3EE33949"/>
    <w:rsid w:val="3EFB5800"/>
    <w:rsid w:val="3F3B4E59"/>
    <w:rsid w:val="3F6E677C"/>
    <w:rsid w:val="3F712F46"/>
    <w:rsid w:val="3FBC0EF7"/>
    <w:rsid w:val="3FCD2AB9"/>
    <w:rsid w:val="3FCD4B44"/>
    <w:rsid w:val="3FD17600"/>
    <w:rsid w:val="3FFF0C57"/>
    <w:rsid w:val="40130B48"/>
    <w:rsid w:val="402E7C36"/>
    <w:rsid w:val="4050218A"/>
    <w:rsid w:val="405C7868"/>
    <w:rsid w:val="406B3BF6"/>
    <w:rsid w:val="408B24EB"/>
    <w:rsid w:val="408D1DBF"/>
    <w:rsid w:val="40C652D1"/>
    <w:rsid w:val="40F40090"/>
    <w:rsid w:val="417044B8"/>
    <w:rsid w:val="41A203A0"/>
    <w:rsid w:val="41A25D3E"/>
    <w:rsid w:val="41C77987"/>
    <w:rsid w:val="41E83F8C"/>
    <w:rsid w:val="421C17EA"/>
    <w:rsid w:val="422D1842"/>
    <w:rsid w:val="425B7C31"/>
    <w:rsid w:val="427D66D0"/>
    <w:rsid w:val="42BC7E02"/>
    <w:rsid w:val="42C82575"/>
    <w:rsid w:val="43022EE1"/>
    <w:rsid w:val="431A5F8F"/>
    <w:rsid w:val="431F247A"/>
    <w:rsid w:val="43335E8F"/>
    <w:rsid w:val="433F2968"/>
    <w:rsid w:val="43655F7F"/>
    <w:rsid w:val="43676E20"/>
    <w:rsid w:val="43A31040"/>
    <w:rsid w:val="43BF774E"/>
    <w:rsid w:val="43CD062F"/>
    <w:rsid w:val="43E214F9"/>
    <w:rsid w:val="43F06264"/>
    <w:rsid w:val="44223AB6"/>
    <w:rsid w:val="44404C8E"/>
    <w:rsid w:val="447537F1"/>
    <w:rsid w:val="44870D07"/>
    <w:rsid w:val="44D33826"/>
    <w:rsid w:val="45344EFF"/>
    <w:rsid w:val="453950E7"/>
    <w:rsid w:val="45513D03"/>
    <w:rsid w:val="45541E1C"/>
    <w:rsid w:val="45663CFF"/>
    <w:rsid w:val="45FE7734"/>
    <w:rsid w:val="461F0A8B"/>
    <w:rsid w:val="4648721E"/>
    <w:rsid w:val="46663E71"/>
    <w:rsid w:val="466A37AC"/>
    <w:rsid w:val="468A1A00"/>
    <w:rsid w:val="46CB071B"/>
    <w:rsid w:val="46DE140B"/>
    <w:rsid w:val="46E77334"/>
    <w:rsid w:val="46F22E29"/>
    <w:rsid w:val="46F7142F"/>
    <w:rsid w:val="47107AE3"/>
    <w:rsid w:val="473C62ED"/>
    <w:rsid w:val="47617242"/>
    <w:rsid w:val="478C16C9"/>
    <w:rsid w:val="47BD246B"/>
    <w:rsid w:val="47CB2B0C"/>
    <w:rsid w:val="47E773CE"/>
    <w:rsid w:val="47EE2C9A"/>
    <w:rsid w:val="47F00499"/>
    <w:rsid w:val="48015FF5"/>
    <w:rsid w:val="482A4397"/>
    <w:rsid w:val="483820D2"/>
    <w:rsid w:val="48692CD0"/>
    <w:rsid w:val="48AE3D01"/>
    <w:rsid w:val="48B96318"/>
    <w:rsid w:val="49067B2F"/>
    <w:rsid w:val="49100B80"/>
    <w:rsid w:val="49677E31"/>
    <w:rsid w:val="496C2225"/>
    <w:rsid w:val="49A35E02"/>
    <w:rsid w:val="49AE2880"/>
    <w:rsid w:val="49F42EAF"/>
    <w:rsid w:val="4A337323"/>
    <w:rsid w:val="4A5B28DC"/>
    <w:rsid w:val="4AA06B93"/>
    <w:rsid w:val="4ADB18EB"/>
    <w:rsid w:val="4B3A6FE7"/>
    <w:rsid w:val="4B96118E"/>
    <w:rsid w:val="4BAE1B66"/>
    <w:rsid w:val="4BBF6159"/>
    <w:rsid w:val="4BC806E6"/>
    <w:rsid w:val="4BED4708"/>
    <w:rsid w:val="4BF133DC"/>
    <w:rsid w:val="4C1A4AD9"/>
    <w:rsid w:val="4C2E4987"/>
    <w:rsid w:val="4C4117A4"/>
    <w:rsid w:val="4C507D4A"/>
    <w:rsid w:val="4CD60F91"/>
    <w:rsid w:val="4CDF5563"/>
    <w:rsid w:val="4CFB2214"/>
    <w:rsid w:val="4D2C4D26"/>
    <w:rsid w:val="4D335E0E"/>
    <w:rsid w:val="4D4759EB"/>
    <w:rsid w:val="4D4E4EA3"/>
    <w:rsid w:val="4D9A5B1B"/>
    <w:rsid w:val="4DA55D85"/>
    <w:rsid w:val="4DBB20DB"/>
    <w:rsid w:val="4DDC3F22"/>
    <w:rsid w:val="4DE66FB2"/>
    <w:rsid w:val="4DEC6CB8"/>
    <w:rsid w:val="4E1040C7"/>
    <w:rsid w:val="4E1760BF"/>
    <w:rsid w:val="4E30647F"/>
    <w:rsid w:val="4E353A96"/>
    <w:rsid w:val="4E5D2C75"/>
    <w:rsid w:val="4EBA03C3"/>
    <w:rsid w:val="4EBC5459"/>
    <w:rsid w:val="4ED94CB0"/>
    <w:rsid w:val="4EEC2ED3"/>
    <w:rsid w:val="4F0E56EA"/>
    <w:rsid w:val="4F2E11BC"/>
    <w:rsid w:val="4F3C4343"/>
    <w:rsid w:val="4F416688"/>
    <w:rsid w:val="4F5620B0"/>
    <w:rsid w:val="4F616EB4"/>
    <w:rsid w:val="4F6654EE"/>
    <w:rsid w:val="4F7379C6"/>
    <w:rsid w:val="4F872BDB"/>
    <w:rsid w:val="4FA033E9"/>
    <w:rsid w:val="4FA743DA"/>
    <w:rsid w:val="4FB3565A"/>
    <w:rsid w:val="4FC4714D"/>
    <w:rsid w:val="4FD571A2"/>
    <w:rsid w:val="503D1C79"/>
    <w:rsid w:val="507A6406"/>
    <w:rsid w:val="50853863"/>
    <w:rsid w:val="508A4590"/>
    <w:rsid w:val="50F1461D"/>
    <w:rsid w:val="50FE5411"/>
    <w:rsid w:val="510B072E"/>
    <w:rsid w:val="511B0BF4"/>
    <w:rsid w:val="51264306"/>
    <w:rsid w:val="513A0EC8"/>
    <w:rsid w:val="514E62C9"/>
    <w:rsid w:val="516123CE"/>
    <w:rsid w:val="51932FAD"/>
    <w:rsid w:val="51B177A9"/>
    <w:rsid w:val="51E066EB"/>
    <w:rsid w:val="52640E8B"/>
    <w:rsid w:val="5267570A"/>
    <w:rsid w:val="52707792"/>
    <w:rsid w:val="52734B8D"/>
    <w:rsid w:val="528D02F2"/>
    <w:rsid w:val="52A12CDC"/>
    <w:rsid w:val="52DF0C92"/>
    <w:rsid w:val="52E1159C"/>
    <w:rsid w:val="52E34D6A"/>
    <w:rsid w:val="530C1269"/>
    <w:rsid w:val="531E524E"/>
    <w:rsid w:val="534072EB"/>
    <w:rsid w:val="537648BE"/>
    <w:rsid w:val="538E2D0B"/>
    <w:rsid w:val="53922782"/>
    <w:rsid w:val="539C1424"/>
    <w:rsid w:val="53A639C0"/>
    <w:rsid w:val="53F00A24"/>
    <w:rsid w:val="53F63DBA"/>
    <w:rsid w:val="53FF492A"/>
    <w:rsid w:val="54261D4F"/>
    <w:rsid w:val="5448624E"/>
    <w:rsid w:val="54492049"/>
    <w:rsid w:val="546E2B1A"/>
    <w:rsid w:val="5482555F"/>
    <w:rsid w:val="54A31DD8"/>
    <w:rsid w:val="54AA6F8B"/>
    <w:rsid w:val="54D26583"/>
    <w:rsid w:val="55363E67"/>
    <w:rsid w:val="556E6DF7"/>
    <w:rsid w:val="55965CE3"/>
    <w:rsid w:val="559D47CE"/>
    <w:rsid w:val="55BE1959"/>
    <w:rsid w:val="56232437"/>
    <w:rsid w:val="56541A75"/>
    <w:rsid w:val="56755377"/>
    <w:rsid w:val="568832FC"/>
    <w:rsid w:val="568C4181"/>
    <w:rsid w:val="570725A9"/>
    <w:rsid w:val="5714693E"/>
    <w:rsid w:val="571D0C9C"/>
    <w:rsid w:val="573A16CE"/>
    <w:rsid w:val="57482A8C"/>
    <w:rsid w:val="578D049F"/>
    <w:rsid w:val="579C7F80"/>
    <w:rsid w:val="57B30D7C"/>
    <w:rsid w:val="58166B03"/>
    <w:rsid w:val="583E3C94"/>
    <w:rsid w:val="58721734"/>
    <w:rsid w:val="58900246"/>
    <w:rsid w:val="58977358"/>
    <w:rsid w:val="58CB5DC0"/>
    <w:rsid w:val="58D53944"/>
    <w:rsid w:val="58D65478"/>
    <w:rsid w:val="58F52487"/>
    <w:rsid w:val="58F9403E"/>
    <w:rsid w:val="590422E6"/>
    <w:rsid w:val="592257E5"/>
    <w:rsid w:val="59635CB4"/>
    <w:rsid w:val="59655E33"/>
    <w:rsid w:val="5970233D"/>
    <w:rsid w:val="59CF5BD9"/>
    <w:rsid w:val="59E20C3C"/>
    <w:rsid w:val="59E3512D"/>
    <w:rsid w:val="5A001BC6"/>
    <w:rsid w:val="5A1D5B0A"/>
    <w:rsid w:val="5A2447F3"/>
    <w:rsid w:val="5A3B4B4E"/>
    <w:rsid w:val="5A4804CA"/>
    <w:rsid w:val="5A594C85"/>
    <w:rsid w:val="5A8842AA"/>
    <w:rsid w:val="5AEB1E3C"/>
    <w:rsid w:val="5B2507CA"/>
    <w:rsid w:val="5B2A474A"/>
    <w:rsid w:val="5B2D237E"/>
    <w:rsid w:val="5B612747"/>
    <w:rsid w:val="5B830730"/>
    <w:rsid w:val="5BBB2DD6"/>
    <w:rsid w:val="5BD6009C"/>
    <w:rsid w:val="5BE263B6"/>
    <w:rsid w:val="5C1271FE"/>
    <w:rsid w:val="5C8E5C5A"/>
    <w:rsid w:val="5C965E61"/>
    <w:rsid w:val="5CD839BA"/>
    <w:rsid w:val="5CF0089C"/>
    <w:rsid w:val="5CF5796F"/>
    <w:rsid w:val="5D242A11"/>
    <w:rsid w:val="5D9217C2"/>
    <w:rsid w:val="5DAD06BF"/>
    <w:rsid w:val="5DC92CE9"/>
    <w:rsid w:val="5DE23CB3"/>
    <w:rsid w:val="5DE97EEC"/>
    <w:rsid w:val="5DFA5EB0"/>
    <w:rsid w:val="5E000E4D"/>
    <w:rsid w:val="5E0B583E"/>
    <w:rsid w:val="5E201A7B"/>
    <w:rsid w:val="5EA45884"/>
    <w:rsid w:val="5EBD0484"/>
    <w:rsid w:val="5F2C5C7C"/>
    <w:rsid w:val="5F36141C"/>
    <w:rsid w:val="5FC5273F"/>
    <w:rsid w:val="5FD64459"/>
    <w:rsid w:val="5FE33352"/>
    <w:rsid w:val="604F6C39"/>
    <w:rsid w:val="60806DF2"/>
    <w:rsid w:val="61072DA5"/>
    <w:rsid w:val="611C0817"/>
    <w:rsid w:val="61224A52"/>
    <w:rsid w:val="61300818"/>
    <w:rsid w:val="61520CCB"/>
    <w:rsid w:val="61851A29"/>
    <w:rsid w:val="61DF7484"/>
    <w:rsid w:val="622D1522"/>
    <w:rsid w:val="622E0574"/>
    <w:rsid w:val="62683B6B"/>
    <w:rsid w:val="6275761C"/>
    <w:rsid w:val="62816E52"/>
    <w:rsid w:val="62AB7BE6"/>
    <w:rsid w:val="62AC5944"/>
    <w:rsid w:val="632F3F8A"/>
    <w:rsid w:val="63332842"/>
    <w:rsid w:val="63716241"/>
    <w:rsid w:val="637279B4"/>
    <w:rsid w:val="63817D2B"/>
    <w:rsid w:val="63BD1FA9"/>
    <w:rsid w:val="63D175D1"/>
    <w:rsid w:val="63D27965"/>
    <w:rsid w:val="63F4667E"/>
    <w:rsid w:val="64095516"/>
    <w:rsid w:val="641A2468"/>
    <w:rsid w:val="64372F20"/>
    <w:rsid w:val="648944D0"/>
    <w:rsid w:val="64DC72D7"/>
    <w:rsid w:val="64FA42B4"/>
    <w:rsid w:val="653619A6"/>
    <w:rsid w:val="65610A02"/>
    <w:rsid w:val="658C0E37"/>
    <w:rsid w:val="65A11EA3"/>
    <w:rsid w:val="65AC3D66"/>
    <w:rsid w:val="65BB5334"/>
    <w:rsid w:val="663E1DBA"/>
    <w:rsid w:val="665D0213"/>
    <w:rsid w:val="668506C7"/>
    <w:rsid w:val="669E59F1"/>
    <w:rsid w:val="66A2024B"/>
    <w:rsid w:val="66CB5E2D"/>
    <w:rsid w:val="6704732B"/>
    <w:rsid w:val="670F6731"/>
    <w:rsid w:val="67585CB0"/>
    <w:rsid w:val="67770F0C"/>
    <w:rsid w:val="679E649A"/>
    <w:rsid w:val="67B03535"/>
    <w:rsid w:val="68174F69"/>
    <w:rsid w:val="682C436A"/>
    <w:rsid w:val="68382778"/>
    <w:rsid w:val="68391F41"/>
    <w:rsid w:val="68436B8C"/>
    <w:rsid w:val="68797358"/>
    <w:rsid w:val="6884624F"/>
    <w:rsid w:val="68A519DF"/>
    <w:rsid w:val="68BF2482"/>
    <w:rsid w:val="68C4160B"/>
    <w:rsid w:val="68C41C30"/>
    <w:rsid w:val="68CF3BA4"/>
    <w:rsid w:val="69257FA7"/>
    <w:rsid w:val="693F26C7"/>
    <w:rsid w:val="697E12B2"/>
    <w:rsid w:val="69C8706D"/>
    <w:rsid w:val="6A0E3FB4"/>
    <w:rsid w:val="6A292754"/>
    <w:rsid w:val="6A5E3B28"/>
    <w:rsid w:val="6A6B1EBE"/>
    <w:rsid w:val="6A8F43F7"/>
    <w:rsid w:val="6AD625F3"/>
    <w:rsid w:val="6B5B46E4"/>
    <w:rsid w:val="6B7218BE"/>
    <w:rsid w:val="6B750BA9"/>
    <w:rsid w:val="6BB93285"/>
    <w:rsid w:val="6C0C698C"/>
    <w:rsid w:val="6C222401"/>
    <w:rsid w:val="6C56267F"/>
    <w:rsid w:val="6C826EF9"/>
    <w:rsid w:val="6CAE4C93"/>
    <w:rsid w:val="6CB14F16"/>
    <w:rsid w:val="6CEC2069"/>
    <w:rsid w:val="6D0B1869"/>
    <w:rsid w:val="6D65402D"/>
    <w:rsid w:val="6D683822"/>
    <w:rsid w:val="6D8D136C"/>
    <w:rsid w:val="6DBF2759"/>
    <w:rsid w:val="6DC96F36"/>
    <w:rsid w:val="6DED00D0"/>
    <w:rsid w:val="6DFA3EBF"/>
    <w:rsid w:val="6E3E63D2"/>
    <w:rsid w:val="6E5F7BE6"/>
    <w:rsid w:val="6E6918C6"/>
    <w:rsid w:val="6EEB4AC4"/>
    <w:rsid w:val="6F212DD6"/>
    <w:rsid w:val="6F3B5912"/>
    <w:rsid w:val="6FA14A81"/>
    <w:rsid w:val="6FA3261F"/>
    <w:rsid w:val="6FB44BAA"/>
    <w:rsid w:val="700D6539"/>
    <w:rsid w:val="704203E3"/>
    <w:rsid w:val="7058046B"/>
    <w:rsid w:val="707F2079"/>
    <w:rsid w:val="70922734"/>
    <w:rsid w:val="70CD16CB"/>
    <w:rsid w:val="70CE6DC7"/>
    <w:rsid w:val="710B3646"/>
    <w:rsid w:val="711759F2"/>
    <w:rsid w:val="713C4ED8"/>
    <w:rsid w:val="71407642"/>
    <w:rsid w:val="71641210"/>
    <w:rsid w:val="71D95B7C"/>
    <w:rsid w:val="71EA6A50"/>
    <w:rsid w:val="71FE31A8"/>
    <w:rsid w:val="720C30AE"/>
    <w:rsid w:val="721A7983"/>
    <w:rsid w:val="721F6113"/>
    <w:rsid w:val="7233782C"/>
    <w:rsid w:val="725400DF"/>
    <w:rsid w:val="726A729D"/>
    <w:rsid w:val="73177841"/>
    <w:rsid w:val="733774FE"/>
    <w:rsid w:val="735231C7"/>
    <w:rsid w:val="73617E1B"/>
    <w:rsid w:val="736D7653"/>
    <w:rsid w:val="738035CB"/>
    <w:rsid w:val="73852C46"/>
    <w:rsid w:val="7396335C"/>
    <w:rsid w:val="73F46595"/>
    <w:rsid w:val="73F47FAE"/>
    <w:rsid w:val="74283FA2"/>
    <w:rsid w:val="742C135B"/>
    <w:rsid w:val="74463733"/>
    <w:rsid w:val="748A2F40"/>
    <w:rsid w:val="74D84FF7"/>
    <w:rsid w:val="74F85778"/>
    <w:rsid w:val="75272439"/>
    <w:rsid w:val="758F1E9B"/>
    <w:rsid w:val="75CE266B"/>
    <w:rsid w:val="75E538F2"/>
    <w:rsid w:val="75F2634E"/>
    <w:rsid w:val="76120141"/>
    <w:rsid w:val="76510960"/>
    <w:rsid w:val="768216BE"/>
    <w:rsid w:val="76C23B43"/>
    <w:rsid w:val="76FD6F97"/>
    <w:rsid w:val="770218E8"/>
    <w:rsid w:val="779469CE"/>
    <w:rsid w:val="77C875A5"/>
    <w:rsid w:val="77D777E8"/>
    <w:rsid w:val="78A27DF6"/>
    <w:rsid w:val="79285B3A"/>
    <w:rsid w:val="79490B03"/>
    <w:rsid w:val="79625CA9"/>
    <w:rsid w:val="79A91196"/>
    <w:rsid w:val="7A0B32D3"/>
    <w:rsid w:val="7AC13CD3"/>
    <w:rsid w:val="7AE10264"/>
    <w:rsid w:val="7AE4248E"/>
    <w:rsid w:val="7B4A207F"/>
    <w:rsid w:val="7B7122A7"/>
    <w:rsid w:val="7B936F45"/>
    <w:rsid w:val="7BA47419"/>
    <w:rsid w:val="7BB10D45"/>
    <w:rsid w:val="7BB44151"/>
    <w:rsid w:val="7C067CC4"/>
    <w:rsid w:val="7C656A39"/>
    <w:rsid w:val="7CAE7D7C"/>
    <w:rsid w:val="7CB93996"/>
    <w:rsid w:val="7CBE0F99"/>
    <w:rsid w:val="7D4E45F1"/>
    <w:rsid w:val="7DFB6D82"/>
    <w:rsid w:val="7E1D71D1"/>
    <w:rsid w:val="7E246254"/>
    <w:rsid w:val="7E553215"/>
    <w:rsid w:val="7E6D090F"/>
    <w:rsid w:val="7E7E2263"/>
    <w:rsid w:val="7ECC66B2"/>
    <w:rsid w:val="7F2914C3"/>
    <w:rsid w:val="7F5F2ED6"/>
    <w:rsid w:val="7FA837EF"/>
    <w:rsid w:val="7FC36955"/>
    <w:rsid w:val="7FE903A0"/>
    <w:rsid w:val="7FF07065"/>
    <w:rsid w:val="7FF97946"/>
    <w:rsid w:val="7FFE788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qFormat="1" w:unhideWhenUsed="0" w:uiPriority="0" w:semiHidden="0" w:name="header"/>
    <w:lsdException w:qFormat="1" w:unhideWhenUsed="0"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semiHidden="0" w:name="Balloon Text"/>
    <w:lsdException w:qFormat="1" w:unhideWhenUsed="0" w:uiPriority="0"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cs="宋体" w:asciiTheme="minorHAnsi" w:hAnsiTheme="minorHAnsi" w:eastAsiaTheme="minorEastAsia"/>
      <w:color w:val="auto"/>
      <w:kern w:val="0"/>
      <w:sz w:val="24"/>
      <w:szCs w:val="24"/>
      <w:lang w:val="en-US" w:eastAsia="zh-CN" w:bidi="ar-SA"/>
    </w:rPr>
  </w:style>
  <w:style w:type="paragraph" w:styleId="2">
    <w:name w:val="heading 1"/>
    <w:basedOn w:val="1"/>
    <w:next w:val="1"/>
    <w:qFormat/>
    <w:uiPriority w:val="0"/>
    <w:pPr>
      <w:keepNext/>
      <w:keepLines/>
      <w:numPr>
        <w:ilvl w:val="0"/>
        <w:numId w:val="1"/>
      </w:numPr>
      <w:adjustRightInd w:val="0"/>
      <w:snapToGrid w:val="0"/>
      <w:spacing w:before="340" w:after="50" w:afterLines="50" w:line="578" w:lineRule="auto"/>
      <w:ind w:left="425" w:hanging="425"/>
      <w:jc w:val="left"/>
      <w:outlineLvl w:val="0"/>
    </w:pPr>
    <w:rPr>
      <w:rFonts w:ascii="Times New Roman" w:hAnsi="Times New Roman" w:eastAsia="仿宋" w:cs="Times New Roman"/>
      <w:b/>
      <w:bCs/>
      <w:kern w:val="44"/>
      <w:sz w:val="36"/>
      <w:szCs w:val="44"/>
    </w:rPr>
  </w:style>
  <w:style w:type="paragraph" w:styleId="3">
    <w:name w:val="heading 2"/>
    <w:basedOn w:val="1"/>
    <w:next w:val="1"/>
    <w:link w:val="15"/>
    <w:semiHidden/>
    <w:unhideWhenUsed/>
    <w:qFormat/>
    <w:uiPriority w:val="9"/>
    <w:pPr>
      <w:widowControl w:val="0"/>
      <w:numPr>
        <w:ilvl w:val="1"/>
        <w:numId w:val="1"/>
      </w:numPr>
      <w:spacing w:line="416" w:lineRule="auto"/>
      <w:ind w:left="567" w:hanging="567"/>
      <w:outlineLvl w:val="1"/>
    </w:pPr>
    <w:rPr>
      <w:rFonts w:ascii="Calibri Light" w:hAnsi="Calibri Light" w:eastAsia="宋体" w:cs="Times New Roman"/>
      <w:b/>
      <w:bCs/>
      <w:sz w:val="28"/>
      <w:szCs w:val="32"/>
    </w:rPr>
  </w:style>
  <w:style w:type="paragraph" w:styleId="4">
    <w:name w:val="heading 3"/>
    <w:basedOn w:val="1"/>
    <w:next w:val="1"/>
    <w:semiHidden/>
    <w:unhideWhenUsed/>
    <w:qFormat/>
    <w:uiPriority w:val="9"/>
    <w:pPr>
      <w:keepNext/>
      <w:keepLines/>
      <w:numPr>
        <w:ilvl w:val="2"/>
        <w:numId w:val="1"/>
      </w:numPr>
      <w:spacing w:before="50" w:beforeLines="50" w:after="50" w:afterLines="50" w:line="416" w:lineRule="auto"/>
      <w:outlineLvl w:val="2"/>
    </w:pPr>
    <w:rPr>
      <w:rFonts w:ascii="宋体" w:hAnsi="宋体" w:eastAsia="宋体" w:cs="宋体"/>
      <w:b/>
      <w:bCs/>
      <w:sz w:val="32"/>
    </w:rPr>
  </w:style>
  <w:style w:type="paragraph" w:styleId="5">
    <w:name w:val="heading 4"/>
    <w:basedOn w:val="1"/>
    <w:next w:val="1"/>
    <w:semiHidden/>
    <w:unhideWhenUsed/>
    <w:qFormat/>
    <w:uiPriority w:val="9"/>
    <w:pPr>
      <w:keepNext/>
      <w:keepLines/>
      <w:numPr>
        <w:ilvl w:val="3"/>
        <w:numId w:val="1"/>
      </w:numPr>
      <w:spacing w:before="120" w:after="120"/>
      <w:outlineLvl w:val="3"/>
    </w:pPr>
    <w:rPr>
      <w:rFonts w:ascii="Calibri Light" w:hAnsi="Calibri Light" w:eastAsia="宋体" w:cs="Times New Roman"/>
      <w:b/>
      <w:bCs/>
      <w:sz w:val="28"/>
      <w:szCs w:val="28"/>
    </w:rPr>
  </w:style>
  <w:style w:type="character" w:default="1" w:styleId="13">
    <w:name w:val="Default Paragraph Font"/>
    <w:semiHidden/>
    <w:unhideWhenUsed/>
    <w:qFormat/>
    <w:uiPriority w:val="1"/>
  </w:style>
  <w:style w:type="table" w:default="1" w:styleId="11">
    <w:name w:val="Normal Table"/>
    <w:semiHidden/>
    <w:unhideWhenUsed/>
    <w:qFormat/>
    <w:uiPriority w:val="99"/>
    <w:tblPr>
      <w:tblCellMar>
        <w:top w:w="0" w:type="dxa"/>
        <w:left w:w="108" w:type="dxa"/>
        <w:bottom w:w="0" w:type="dxa"/>
        <w:right w:w="108" w:type="dxa"/>
      </w:tblCellMar>
    </w:tblPr>
  </w:style>
  <w:style w:type="paragraph" w:styleId="6">
    <w:name w:val="annotation text"/>
    <w:basedOn w:val="1"/>
    <w:semiHidden/>
    <w:unhideWhenUsed/>
    <w:qFormat/>
    <w:uiPriority w:val="99"/>
    <w:pPr>
      <w:jc w:val="left"/>
    </w:pPr>
  </w:style>
  <w:style w:type="paragraph" w:styleId="7">
    <w:name w:val="Balloon Text"/>
    <w:basedOn w:val="1"/>
    <w:link w:val="24"/>
    <w:unhideWhenUsed/>
    <w:qFormat/>
    <w:uiPriority w:val="99"/>
    <w:rPr>
      <w:rFonts w:cstheme="minorBidi"/>
      <w:kern w:val="2"/>
      <w:sz w:val="18"/>
      <w:szCs w:val="18"/>
    </w:rPr>
  </w:style>
  <w:style w:type="paragraph" w:styleId="8">
    <w:name w:val="footer"/>
    <w:basedOn w:val="1"/>
    <w:link w:val="16"/>
    <w:qFormat/>
    <w:uiPriority w:val="99"/>
    <w:pPr>
      <w:tabs>
        <w:tab w:val="center" w:pos="4153"/>
        <w:tab w:val="right" w:pos="8306"/>
      </w:tabs>
      <w:snapToGrid w:val="0"/>
      <w:jc w:val="left"/>
    </w:pPr>
    <w:rPr>
      <w:rFonts w:cstheme="minorBidi"/>
      <w:kern w:val="2"/>
      <w:sz w:val="18"/>
      <w:szCs w:val="18"/>
    </w:rPr>
  </w:style>
  <w:style w:type="paragraph" w:styleId="9">
    <w:name w:val="header"/>
    <w:basedOn w:val="1"/>
    <w:link w:val="17"/>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jc w:val="center"/>
    </w:pPr>
    <w:rPr>
      <w:rFonts w:cstheme="minorBidi"/>
      <w:kern w:val="2"/>
      <w:sz w:val="18"/>
      <w:szCs w:val="18"/>
    </w:rPr>
  </w:style>
  <w:style w:type="paragraph" w:styleId="10">
    <w:name w:val="Normal (Web)"/>
    <w:basedOn w:val="1"/>
    <w:semiHidden/>
    <w:unhideWhenUsed/>
    <w:qFormat/>
    <w:uiPriority w:val="99"/>
    <w:pPr>
      <w:spacing w:before="0" w:beforeAutospacing="1" w:after="0" w:afterAutospacing="1"/>
      <w:ind w:left="0" w:right="0"/>
      <w:jc w:val="left"/>
    </w:pPr>
    <w:rPr>
      <w:kern w:val="0"/>
      <w:sz w:val="24"/>
      <w:lang w:val="en-US" w:eastAsia="zh-CN" w:bidi="ar"/>
    </w:rPr>
  </w:style>
  <w:style w:type="table" w:styleId="12">
    <w:name w:val="Table Grid"/>
    <w:qFormat/>
    <w:uiPriority w:val="0"/>
    <w:rPr>
      <w:sz w:val="22"/>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
  </w:style>
  <w:style w:type="character" w:styleId="14">
    <w:name w:val="Strong"/>
    <w:basedOn w:val="13"/>
    <w:qFormat/>
    <w:uiPriority w:val="22"/>
    <w:rPr>
      <w:b/>
    </w:rPr>
  </w:style>
  <w:style w:type="character" w:customStyle="1" w:styleId="15">
    <w:name w:val="标题 2 Char"/>
    <w:link w:val="3"/>
    <w:qFormat/>
    <w:uiPriority w:val="0"/>
    <w:rPr>
      <w:rFonts w:ascii="Calibri Light" w:hAnsi="Calibri Light" w:eastAsia="宋体" w:cs="Times New Roman"/>
      <w:b/>
      <w:bCs/>
      <w:sz w:val="28"/>
      <w:szCs w:val="32"/>
    </w:rPr>
  </w:style>
  <w:style w:type="character" w:customStyle="1" w:styleId="16">
    <w:name w:val="页脚 Char"/>
    <w:basedOn w:val="13"/>
    <w:link w:val="8"/>
    <w:qFormat/>
    <w:uiPriority w:val="99"/>
    <w:rPr>
      <w:rFonts w:asciiTheme="minorHAnsi" w:hAnsiTheme="minorHAnsi" w:eastAsiaTheme="minorEastAsia" w:cstheme="minorBidi"/>
      <w:sz w:val="18"/>
      <w:szCs w:val="18"/>
      <w:lang w:val="en-US" w:eastAsia="zh-CN" w:bidi="ar-SA"/>
    </w:rPr>
  </w:style>
  <w:style w:type="character" w:customStyle="1" w:styleId="17">
    <w:name w:val="页眉 Char"/>
    <w:basedOn w:val="13"/>
    <w:link w:val="9"/>
    <w:qFormat/>
    <w:uiPriority w:val="0"/>
    <w:rPr>
      <w:rFonts w:asciiTheme="minorHAnsi" w:hAnsiTheme="minorHAnsi" w:eastAsiaTheme="minorEastAsia" w:cstheme="minorBidi"/>
      <w:sz w:val="18"/>
      <w:szCs w:val="18"/>
      <w:lang w:val="en-US" w:eastAsia="zh-CN" w:bidi="ar-SA"/>
    </w:rPr>
  </w:style>
  <w:style w:type="character" w:customStyle="1" w:styleId="18">
    <w:name w:val="font11"/>
    <w:basedOn w:val="13"/>
    <w:qFormat/>
    <w:uiPriority w:val="0"/>
    <w:rPr>
      <w:rFonts w:hint="eastAsia" w:ascii="宋体" w:hAnsi="宋体" w:eastAsia="宋体" w:cs="宋体"/>
      <w:color w:val="000000"/>
      <w:sz w:val="20"/>
      <w:szCs w:val="20"/>
      <w:u w:val="none"/>
      <w:lang w:val="en-US" w:eastAsia="zh-CN" w:bidi="ar-SA"/>
    </w:rPr>
  </w:style>
  <w:style w:type="character" w:customStyle="1" w:styleId="19">
    <w:name w:val="font01"/>
    <w:basedOn w:val="13"/>
    <w:qFormat/>
    <w:uiPriority w:val="0"/>
    <w:rPr>
      <w:rFonts w:hint="eastAsia" w:ascii="宋体" w:hAnsi="宋体" w:eastAsia="宋体" w:cs="宋体"/>
      <w:color w:val="000000"/>
      <w:sz w:val="22"/>
      <w:szCs w:val="22"/>
      <w:u w:val="none"/>
      <w:lang w:val="en-US" w:eastAsia="zh-CN" w:bidi="ar-SA"/>
    </w:rPr>
  </w:style>
  <w:style w:type="character" w:customStyle="1" w:styleId="20">
    <w:name w:val="font41"/>
    <w:basedOn w:val="13"/>
    <w:qFormat/>
    <w:uiPriority w:val="0"/>
    <w:rPr>
      <w:rFonts w:hint="eastAsia" w:ascii="宋体" w:hAnsi="宋体" w:eastAsia="宋体" w:cs="宋体"/>
      <w:color w:val="000000"/>
      <w:sz w:val="24"/>
      <w:szCs w:val="24"/>
      <w:u w:val="none"/>
      <w:lang w:val="en-US" w:eastAsia="zh-CN" w:bidi="ar-SA"/>
    </w:rPr>
  </w:style>
  <w:style w:type="character" w:customStyle="1" w:styleId="21">
    <w:name w:val="font31"/>
    <w:basedOn w:val="13"/>
    <w:qFormat/>
    <w:uiPriority w:val="0"/>
    <w:rPr>
      <w:rFonts w:hint="eastAsia" w:ascii="华文中宋" w:hAnsi="华文中宋" w:eastAsia="华文中宋" w:cs="华文中宋"/>
      <w:color w:val="000000"/>
      <w:sz w:val="32"/>
      <w:szCs w:val="32"/>
      <w:u w:val="none"/>
      <w:lang w:val="en-US" w:eastAsia="zh-CN" w:bidi="ar-SA"/>
    </w:rPr>
  </w:style>
  <w:style w:type="character" w:customStyle="1" w:styleId="22">
    <w:name w:val="font91"/>
    <w:basedOn w:val="13"/>
    <w:qFormat/>
    <w:uiPriority w:val="0"/>
    <w:rPr>
      <w:rFonts w:hint="eastAsia" w:ascii="华文中宋" w:hAnsi="华文中宋" w:eastAsia="华文中宋" w:cs="华文中宋"/>
      <w:color w:val="000000"/>
      <w:sz w:val="32"/>
      <w:szCs w:val="32"/>
      <w:u w:val="none"/>
      <w:lang w:val="en-US" w:eastAsia="zh-CN" w:bidi="ar-SA"/>
    </w:rPr>
  </w:style>
  <w:style w:type="character" w:customStyle="1" w:styleId="23">
    <w:name w:val="font51"/>
    <w:basedOn w:val="13"/>
    <w:qFormat/>
    <w:uiPriority w:val="0"/>
    <w:rPr>
      <w:rFonts w:hint="eastAsia" w:ascii="宋体" w:hAnsi="宋体" w:eastAsia="宋体" w:cs="宋体"/>
      <w:color w:val="000000"/>
      <w:sz w:val="24"/>
      <w:szCs w:val="24"/>
      <w:u w:val="none"/>
      <w:lang w:val="en-US" w:eastAsia="zh-CN" w:bidi="ar-SA"/>
    </w:rPr>
  </w:style>
  <w:style w:type="character" w:customStyle="1" w:styleId="24">
    <w:name w:val="批注框文本 Char"/>
    <w:basedOn w:val="13"/>
    <w:link w:val="7"/>
    <w:semiHidden/>
    <w:qFormat/>
    <w:uiPriority w:val="99"/>
    <w:rPr>
      <w:rFonts w:asciiTheme="minorHAnsi" w:hAnsiTheme="minorHAnsi" w:eastAsiaTheme="minorEastAsia" w:cstheme="minorBidi"/>
      <w:sz w:val="18"/>
      <w:szCs w:val="18"/>
      <w:lang w:val="en-US" w:eastAsia="zh-CN" w:bidi="ar-SA"/>
    </w:rPr>
  </w:style>
  <w:style w:type="character" w:customStyle="1" w:styleId="25">
    <w:name w:val="font21"/>
    <w:basedOn w:val="13"/>
    <w:qFormat/>
    <w:uiPriority w:val="0"/>
    <w:rPr>
      <w:rFonts w:hint="eastAsia" w:ascii="方正仿宋_GB2312" w:hAnsi="方正仿宋_GB2312" w:eastAsia="方正仿宋_GB2312" w:cs="方正仿宋_GB2312"/>
      <w:color w:val="000000"/>
      <w:sz w:val="18"/>
      <w:szCs w:val="18"/>
      <w:u w:val="none"/>
    </w:rPr>
  </w:style>
  <w:style w:type="character" w:customStyle="1" w:styleId="26">
    <w:name w:val="font61"/>
    <w:basedOn w:val="13"/>
    <w:qFormat/>
    <w:uiPriority w:val="0"/>
    <w:rPr>
      <w:rFonts w:hint="eastAsia" w:ascii="方正仿宋_GB2312" w:hAnsi="方正仿宋_GB2312" w:eastAsia="方正仿宋_GB2312" w:cs="方正仿宋_GB2312"/>
      <w:color w:val="000000"/>
      <w:sz w:val="20"/>
      <w:szCs w:val="20"/>
      <w:u w:val="none"/>
    </w:rPr>
  </w:style>
  <w:style w:type="character" w:customStyle="1" w:styleId="27">
    <w:name w:val="font71"/>
    <w:basedOn w:val="13"/>
    <w:qFormat/>
    <w:uiPriority w:val="0"/>
    <w:rPr>
      <w:rFonts w:ascii="Calibri" w:hAnsi="Calibri" w:cs="Calibri"/>
      <w:color w:val="000000"/>
      <w:sz w:val="20"/>
      <w:szCs w:val="20"/>
      <w:u w:val="none"/>
    </w:rPr>
  </w:style>
  <w:style w:type="character" w:customStyle="1" w:styleId="28">
    <w:name w:val="font81"/>
    <w:basedOn w:val="13"/>
    <w:qFormat/>
    <w:uiPriority w:val="0"/>
    <w:rPr>
      <w:rFonts w:ascii="Calibri" w:hAnsi="Calibri" w:cs="Calibri"/>
      <w:color w:val="000000"/>
      <w:sz w:val="20"/>
      <w:szCs w:val="20"/>
      <w:u w:val="none"/>
    </w:rPr>
  </w:style>
</w:styles>
</file>

<file path=word/_rels/document.xml.rels><?xml version="1.0" encoding="UTF-8" standalone="yes"?>
<Relationships xmlns="http://schemas.openxmlformats.org/package/2006/relationships"><Relationship Id="rId9" Type="http://schemas.openxmlformats.org/officeDocument/2006/relationships/header" Target="header3.xml"/><Relationship Id="rId8" Type="http://schemas.openxmlformats.org/officeDocument/2006/relationships/footer" Target="footer4.xml"/><Relationship Id="rId7" Type="http://schemas.openxmlformats.org/officeDocument/2006/relationships/footer" Target="footer3.xml"/><Relationship Id="rId6" Type="http://schemas.openxmlformats.org/officeDocument/2006/relationships/header" Target="header2.xml"/><Relationship Id="rId5" Type="http://schemas.openxmlformats.org/officeDocument/2006/relationships/header" Target="header1.xml"/><Relationship Id="rId4" Type="http://schemas.openxmlformats.org/officeDocument/2006/relationships/footer" Target="footer2.xml"/><Relationship Id="rId3" Type="http://schemas.openxmlformats.org/officeDocument/2006/relationships/footer" Target="footer1.xml"/><Relationship Id="rId21" Type="http://schemas.openxmlformats.org/officeDocument/2006/relationships/fontTable" Target="fontTable.xml"/><Relationship Id="rId20" Type="http://schemas.openxmlformats.org/officeDocument/2006/relationships/numbering" Target="numbering.xml"/><Relationship Id="rId2" Type="http://schemas.openxmlformats.org/officeDocument/2006/relationships/settings" Target="settings.xml"/><Relationship Id="rId19" Type="http://schemas.openxmlformats.org/officeDocument/2006/relationships/customXml" Target="../customXml/item1.xml"/><Relationship Id="rId18" Type="http://schemas.openxmlformats.org/officeDocument/2006/relationships/chart" Target="charts/chart5.xml"/><Relationship Id="rId17" Type="http://schemas.openxmlformats.org/officeDocument/2006/relationships/chart" Target="charts/chart4.xml"/><Relationship Id="rId16" Type="http://schemas.openxmlformats.org/officeDocument/2006/relationships/chart" Target="charts/chart3.xml"/><Relationship Id="rId15" Type="http://schemas.openxmlformats.org/officeDocument/2006/relationships/chart" Target="charts/chart2.xml"/><Relationship Id="rId14" Type="http://schemas.openxmlformats.org/officeDocument/2006/relationships/chart" Target="charts/chart1.xml"/><Relationship Id="rId13" Type="http://schemas.openxmlformats.org/officeDocument/2006/relationships/image" Target="media/image1.jpeg"/><Relationship Id="rId12" Type="http://schemas.openxmlformats.org/officeDocument/2006/relationships/theme" Target="theme/theme1.xml"/><Relationship Id="rId11" Type="http://schemas.openxmlformats.org/officeDocument/2006/relationships/footer" Target="footer6.xml"/><Relationship Id="rId10" Type="http://schemas.openxmlformats.org/officeDocument/2006/relationships/footer" Target="footer5.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9" Type="http://schemas.openxmlformats.org/officeDocument/2006/relationships/font" Target="fonts/font9.odttf"/><Relationship Id="rId8" Type="http://schemas.openxmlformats.org/officeDocument/2006/relationships/font" Target="fonts/font8.odttf"/><Relationship Id="rId7" Type="http://schemas.openxmlformats.org/officeDocument/2006/relationships/font" Target="fonts/font7.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0" Type="http://schemas.openxmlformats.org/officeDocument/2006/relationships/font" Target="fonts/font10.odttf"/><Relationship Id="rId1" Type="http://schemas.openxmlformats.org/officeDocument/2006/relationships/font" Target="fonts/font1.odttf"/></Relationships>
</file>

<file path=word/charts/_rels/chart1.xml.rels><?xml version="1.0" encoding="UTF-8" standalone="yes"?>
<Relationships xmlns="http://schemas.openxmlformats.org/package/2006/relationships"><Relationship Id="rId3" Type="http://schemas.microsoft.com/office/2011/relationships/chartColorStyle" Target="colors1.xml"/><Relationship Id="rId2" Type="http://schemas.microsoft.com/office/2011/relationships/chartStyle" Target="style1.xml"/><Relationship Id="rId1" Type="http://schemas.openxmlformats.org/officeDocument/2006/relationships/package" Target="../embeddings/Workbook1.xlsx"/></Relationships>
</file>

<file path=word/charts/_rels/chart2.xml.rels><?xml version="1.0" encoding="UTF-8" standalone="yes"?>
<Relationships xmlns="http://schemas.openxmlformats.org/package/2006/relationships"><Relationship Id="rId3" Type="http://schemas.microsoft.com/office/2011/relationships/chartColorStyle" Target="colors2.xml"/><Relationship Id="rId2" Type="http://schemas.microsoft.com/office/2011/relationships/chartStyle" Target="style2.xml"/><Relationship Id="rId1" Type="http://schemas.openxmlformats.org/officeDocument/2006/relationships/package" Target="../embeddings/Workbook2.xlsx"/></Relationships>
</file>

<file path=word/charts/_rels/chart3.xml.rels><?xml version="1.0" encoding="UTF-8" standalone="yes"?>
<Relationships xmlns="http://schemas.openxmlformats.org/package/2006/relationships"><Relationship Id="rId3" Type="http://schemas.microsoft.com/office/2011/relationships/chartColorStyle" Target="colors5.xml"/><Relationship Id="rId2" Type="http://schemas.microsoft.com/office/2011/relationships/chartStyle" Target="style5.xml"/><Relationship Id="rId1" Type="http://schemas.openxmlformats.org/officeDocument/2006/relationships/package" Target="../embeddings/Workbook5.xlsx"/></Relationships>
</file>

<file path=word/charts/_rels/chart4.xml.rels><?xml version="1.0" encoding="UTF-8" standalone="yes"?>
<Relationships xmlns="http://schemas.openxmlformats.org/package/2006/relationships"><Relationship Id="rId3" Type="http://schemas.microsoft.com/office/2011/relationships/chartColorStyle" Target="colors3.xml"/><Relationship Id="rId2" Type="http://schemas.microsoft.com/office/2011/relationships/chartStyle" Target="style3.xml"/><Relationship Id="rId1" Type="http://schemas.openxmlformats.org/officeDocument/2006/relationships/package" Target="../embeddings/Workbook3.xlsx"/></Relationships>
</file>

<file path=word/charts/_rels/chart5.xml.rels><?xml version="1.0" encoding="UTF-8" standalone="yes"?>
<Relationships xmlns="http://schemas.openxmlformats.org/package/2006/relationships"><Relationship Id="rId3" Type="http://schemas.microsoft.com/office/2011/relationships/chartColorStyle" Target="colors4.xml"/><Relationship Id="rId2" Type="http://schemas.microsoft.com/office/2011/relationships/chartStyle" Target="style4.xml"/><Relationship Id="rId1" Type="http://schemas.openxmlformats.org/officeDocument/2006/relationships/package" Target="../embeddings/Workbook4.xlsx"/></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1" i="0" u="none" strike="noStrike" kern="1200" baseline="0">
                <a:solidFill>
                  <a:schemeClr val="tx1">
                    <a:lumMod val="75000"/>
                    <a:lumOff val="25000"/>
                  </a:schemeClr>
                </a:solidFill>
                <a:latin typeface="+mn-lt"/>
                <a:ea typeface="+mn-ea"/>
                <a:cs typeface="+mn-cs"/>
              </a:defRPr>
            </a:pPr>
            <a:r>
              <a:rPr lang="zh-CN" altLang="en-US"/>
              <a:t>图 </a:t>
            </a:r>
            <a:r>
              <a:rPr lang="en-US" altLang="zh-CN"/>
              <a:t>1 </a:t>
            </a:r>
            <a:r>
              <a:rPr lang="zh-CN" altLang="en-US"/>
              <a:t>： </a:t>
            </a:r>
            <a:r>
              <a:rPr lang="en-US" altLang="zh-CN"/>
              <a:t>2024-2025</a:t>
            </a:r>
            <a:r>
              <a:rPr lang="zh-CN" altLang="en-US"/>
              <a:t>年收支总计对比图（万元）</a:t>
            </a:r>
            <a:endParaRPr lang="zh-CN" altLang="en-US"/>
          </a:p>
        </c:rich>
      </c:tx>
      <c:layout/>
      <c:overlay val="0"/>
      <c:spPr>
        <a:noFill/>
        <a:ln>
          <a:noFill/>
        </a:ln>
        <a:effectLst/>
      </c:spPr>
    </c:title>
    <c:autoTitleDeleted val="0"/>
    <c:plotArea>
      <c:layout/>
      <c:barChart>
        <c:barDir val="col"/>
        <c:grouping val="clustered"/>
        <c:varyColors val="0"/>
        <c:ser>
          <c:idx val="0"/>
          <c:order val="0"/>
          <c:tx>
            <c:strRef>
              <c:f>Sheet1!$B$1</c:f>
              <c:strCache>
                <c:ptCount val="1"/>
                <c:pt idx="0">
                  <c:v>收支总计</c:v>
                </c:pt>
              </c:strCache>
            </c:strRef>
          </c:tx>
          <c:spPr>
            <a:solidFill>
              <a:schemeClr val="accent1"/>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10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Sheet1!$A$2:$A$3</c:f>
              <c:strCache>
                <c:ptCount val="2"/>
                <c:pt idx="0">
                  <c:v>2025年</c:v>
                </c:pt>
                <c:pt idx="1">
                  <c:v>2024年</c:v>
                </c:pt>
              </c:strCache>
            </c:strRef>
          </c:cat>
          <c:val>
            <c:numRef>
              <c:f>Sheet1!$B$2:$B$3</c:f>
              <c:numCache>
                <c:formatCode>General</c:formatCode>
                <c:ptCount val="2"/>
                <c:pt idx="0">
                  <c:v>544.68</c:v>
                </c:pt>
                <c:pt idx="1">
                  <c:v>440.07</c:v>
                </c:pt>
              </c:numCache>
            </c:numRef>
          </c:val>
        </c:ser>
        <c:dLbls>
          <c:showLegendKey val="0"/>
          <c:showVal val="1"/>
          <c:showCatName val="0"/>
          <c:showSerName val="0"/>
          <c:showPercent val="0"/>
          <c:showBubbleSize val="0"/>
        </c:dLbls>
        <c:gapWidth val="246"/>
        <c:overlap val="-28"/>
        <c:axId val="817088452"/>
        <c:axId val="587069473"/>
      </c:barChart>
      <c:catAx>
        <c:axId val="817088452"/>
        <c:scaling>
          <c:orientation val="minMax"/>
        </c:scaling>
        <c:delete val="0"/>
        <c:axPos val="b"/>
        <c:numFmt formatCode="General" sourceLinked="0"/>
        <c:majorTickMark val="none"/>
        <c:minorTickMark val="none"/>
        <c:tickLblPos val="nextTo"/>
        <c:spPr>
          <a:noFill/>
          <a:ln w="9525" cap="flat" cmpd="sng" algn="ctr">
            <a:solidFill>
              <a:schemeClr val="tx1">
                <a:lumMod val="15000"/>
                <a:lumOff val="85000"/>
              </a:schemeClr>
            </a:solidFill>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587069473"/>
        <c:crosses val="autoZero"/>
        <c:auto val="1"/>
        <c:lblAlgn val="ctr"/>
        <c:lblOffset val="100"/>
        <c:noMultiLvlLbl val="0"/>
      </c:catAx>
      <c:valAx>
        <c:axId val="587069473"/>
        <c:scaling>
          <c:orientation val="minMax"/>
        </c:scaling>
        <c:delete val="0"/>
        <c:axPos val="l"/>
        <c:majorGridlines>
          <c:spPr>
            <a:ln w="9525" cap="flat" cmpd="sng" algn="ctr">
              <a:solidFill>
                <a:schemeClr val="lt1">
                  <a:lumMod val="90200"/>
                </a:schemeClr>
              </a:solidFill>
              <a:round/>
            </a:ln>
            <a:effectLst/>
          </c:spPr>
        </c:majorGridlines>
        <c:numFmt formatCode="General" sourceLinked="1"/>
        <c:majorTickMark val="none"/>
        <c:minorTickMark val="none"/>
        <c:tickLblPos val="nextTo"/>
        <c:spPr>
          <a:noFill/>
          <a:ln>
            <a:noFill/>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817088452"/>
        <c:crosses val="autoZero"/>
        <c:crossBetween val="between"/>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1" i="0" u="none" strike="noStrike" kern="1200" baseline="0">
                <a:solidFill>
                  <a:schemeClr val="tx1">
                    <a:lumMod val="75000"/>
                    <a:lumOff val="25000"/>
                  </a:schemeClr>
                </a:solidFill>
                <a:latin typeface="+mn-lt"/>
                <a:ea typeface="+mn-ea"/>
                <a:cs typeface="+mn-cs"/>
              </a:defRPr>
            </a:pPr>
            <a:r>
              <a:rPr lang="zh-CN" altLang="en-US"/>
              <a:t>图 </a:t>
            </a:r>
            <a:r>
              <a:rPr lang="en-US" altLang="zh-CN"/>
              <a:t>2 </a:t>
            </a:r>
            <a:r>
              <a:rPr lang="zh-CN" altLang="en-US"/>
              <a:t>：收入决算构成情况图</a:t>
            </a:r>
            <a:endParaRPr lang="zh-CN" altLang="en-US"/>
          </a:p>
        </c:rich>
      </c:tx>
      <c:layout/>
      <c:overlay val="0"/>
      <c:spPr>
        <a:noFill/>
        <a:ln>
          <a:noFill/>
        </a:ln>
        <a:effectLst/>
      </c:spPr>
    </c:title>
    <c:autoTitleDeleted val="0"/>
    <c:plotArea>
      <c:layout/>
      <c:pieChart>
        <c:varyColors val="1"/>
        <c:ser>
          <c:idx val="0"/>
          <c:order val="0"/>
          <c:tx>
            <c:strRef>
              <c:f>Sheet1!$B$1</c:f>
              <c:strCache>
                <c:ptCount val="1"/>
                <c:pt idx="0">
                  <c:v>金额</c:v>
                </c:pt>
              </c:strCache>
            </c:strRef>
          </c:tx>
          <c:spPr/>
          <c:explosion val="0"/>
          <c:dPt>
            <c:idx val="0"/>
            <c:bubble3D val="0"/>
            <c:spPr>
              <a:solidFill>
                <a:schemeClr val="accent1"/>
              </a:solidFill>
              <a:ln>
                <a:solidFill>
                  <a:schemeClr val="bg1"/>
                </a:solidFill>
              </a:ln>
              <a:effectLst/>
            </c:spPr>
          </c:dPt>
          <c:dPt>
            <c:idx val="1"/>
            <c:bubble3D val="0"/>
            <c:spPr>
              <a:solidFill>
                <a:schemeClr val="accent2"/>
              </a:solidFill>
              <a:ln>
                <a:solidFill>
                  <a:schemeClr val="bg1"/>
                </a:solidFill>
              </a:ln>
              <a:effectLst/>
            </c:spPr>
          </c:dPt>
          <c:dPt>
            <c:idx val="2"/>
            <c:bubble3D val="0"/>
            <c:spPr>
              <a:solidFill>
                <a:schemeClr val="accent3"/>
              </a:solidFill>
              <a:ln>
                <a:solidFill>
                  <a:schemeClr val="bg1"/>
                </a:solidFill>
              </a:ln>
              <a:effectLst/>
            </c:spPr>
          </c:dPt>
          <c:dPt>
            <c:idx val="3"/>
            <c:bubble3D val="0"/>
            <c:spPr>
              <a:solidFill>
                <a:schemeClr val="accent4"/>
              </a:solidFill>
              <a:ln>
                <a:solidFill>
                  <a:schemeClr val="bg1"/>
                </a:solidFill>
              </a:ln>
              <a:effectLst/>
            </c:spPr>
          </c:dPt>
          <c:dPt>
            <c:idx val="4"/>
            <c:bubble3D val="0"/>
            <c:spPr>
              <a:solidFill>
                <a:schemeClr val="accent5"/>
              </a:solidFill>
              <a:ln>
                <a:solidFill>
                  <a:schemeClr val="bg1"/>
                </a:solidFill>
              </a:ln>
              <a:effectLst/>
            </c:spPr>
          </c:dPt>
          <c:dPt>
            <c:idx val="5"/>
            <c:bubble3D val="0"/>
            <c:spPr>
              <a:solidFill>
                <a:schemeClr val="accent6"/>
              </a:solidFill>
              <a:ln>
                <a:solidFill>
                  <a:schemeClr val="bg1"/>
                </a:solidFill>
              </a:ln>
              <a:effectLst/>
            </c:spPr>
          </c:dPt>
          <c:dLbls>
            <c:dLbl>
              <c:idx val="0"/>
              <c:layout>
                <c:manualLayout>
                  <c:x val="0.320125539403024"/>
                  <c:y val="0.726907139821478"/>
                </c:manualLayout>
              </c:layout>
              <c:dLblPos val="bestFit"/>
              <c:showLegendKey val="1"/>
              <c:showVal val="0"/>
              <c:showCatName val="1"/>
              <c:showSerName val="0"/>
              <c:showPercent val="1"/>
              <c:showBubbleSize val="0"/>
              <c:separator> </c:separator>
              <c:extLst>
                <c:ext xmlns:c15="http://schemas.microsoft.com/office/drawing/2012/chart" uri="{CE6537A1-D6FC-4f65-9D91-7224C49458BB}">
                  <c15:layout/>
                </c:ext>
              </c:extLst>
            </c:dLbl>
            <c:dLbl>
              <c:idx val="1"/>
              <c:layout>
                <c:manualLayout>
                  <c:x val="-0.308045516407558"/>
                  <c:y val="0.639146833829128"/>
                </c:manualLayout>
              </c:layout>
              <c:dLblPos val="bestFit"/>
              <c:showLegendKey val="1"/>
              <c:showVal val="0"/>
              <c:showCatName val="1"/>
              <c:showSerName val="0"/>
              <c:showPercent val="1"/>
              <c:showBubbleSize val="0"/>
              <c:separator> </c:separator>
              <c:extLst>
                <c:ext xmlns:c15="http://schemas.microsoft.com/office/drawing/2012/chart" uri="{CE6537A1-D6FC-4f65-9D91-7224C49458BB}">
                  <c15:layout/>
                </c:ext>
              </c:extLst>
            </c:dLbl>
            <c:dLbl>
              <c:idx val="2"/>
              <c:layout>
                <c:manualLayout>
                  <c:x val="0.405411836540074"/>
                  <c:y val="0.171855078623054"/>
                </c:manualLayout>
              </c:layout>
              <c:dLblPos val="bestFit"/>
              <c:showLegendKey val="1"/>
              <c:showVal val="0"/>
              <c:showCatName val="1"/>
              <c:showSerName val="0"/>
              <c:showPercent val="1"/>
              <c:showBubbleSize val="0"/>
              <c:separator> </c:separator>
              <c:extLst>
                <c:ext xmlns:c15="http://schemas.microsoft.com/office/drawing/2012/chart" uri="{CE6537A1-D6FC-4f65-9D91-7224C49458BB}">
                  <c15:layout>
                    <c:manualLayout>
                      <c:w val="0.19545300797294"/>
                      <c:h val="0.137059073523162"/>
                    </c:manualLayout>
                  </c15:layout>
                </c:ext>
              </c:extLst>
            </c:dLbl>
            <c:dLbl>
              <c:idx val="3"/>
              <c:layout>
                <c:manualLayout>
                  <c:x val="-0.286905148238858"/>
                  <c:y val="0.270250743731381"/>
                </c:manualLayout>
              </c:layout>
              <c:dLblPos val="bestFit"/>
              <c:showLegendKey val="1"/>
              <c:showVal val="0"/>
              <c:showCatName val="1"/>
              <c:showSerName val="0"/>
              <c:showPercent val="1"/>
              <c:showBubbleSize val="0"/>
              <c:separator> </c:separator>
              <c:extLst>
                <c:ext xmlns:c15="http://schemas.microsoft.com/office/drawing/2012/chart" uri="{CE6537A1-D6FC-4f65-9D91-7224C49458BB}">
                  <c15:layout>
                    <c:manualLayout>
                      <c:w val="0.19545300797294"/>
                      <c:h val="0.110709732256694"/>
                    </c:manualLayout>
                  </c15:layout>
                </c:ext>
              </c:extLst>
            </c:dLbl>
            <c:dLbl>
              <c:idx val="4"/>
              <c:layout>
                <c:manualLayout>
                  <c:x val="-0.298985360795255"/>
                  <c:y val="0.449160645983869"/>
                </c:manualLayout>
              </c:layout>
              <c:dLblPos val="bestFit"/>
              <c:showLegendKey val="1"/>
              <c:showVal val="0"/>
              <c:showCatName val="1"/>
              <c:showSerName val="0"/>
              <c:showPercent val="1"/>
              <c:showBubbleSize val="0"/>
              <c:separator> </c:separator>
              <c:extLst>
                <c:ext xmlns:c15="http://schemas.microsoft.com/office/drawing/2012/chart" uri="{CE6537A1-D6FC-4f65-9D91-7224C49458BB}">
                  <c15:layout>
                    <c:manualLayout>
                      <c:w val="0.195211403720706"/>
                      <c:h val="0.154908627284318"/>
                    </c:manualLayout>
                  </c15:layout>
                </c:ext>
              </c:extLst>
            </c:dLbl>
            <c:dLbl>
              <c:idx val="5"/>
              <c:layout>
                <c:manualLayout>
                  <c:x val="-0.288475575878384"/>
                  <c:y val="0.124165958351015"/>
                </c:manualLayout>
              </c:layout>
              <c:dLblPos val="bestFit"/>
              <c:showLegendKey val="1"/>
              <c:showVal val="0"/>
              <c:showCatName val="1"/>
              <c:showSerName val="0"/>
              <c:showPercent val="1"/>
              <c:showBubbleSize val="0"/>
              <c:separator> </c:separator>
              <c:extLst>
                <c:ext xmlns:c15="http://schemas.microsoft.com/office/drawing/2012/chart" uri="{CE6537A1-D6FC-4f65-9D91-7224C49458BB}">
                  <c15:layout>
                    <c:manualLayout>
                      <c:w val="0.19545300797294"/>
                      <c:h val="0.110922226944326"/>
                    </c:manualLayout>
                  </c15:layout>
                </c:ext>
              </c:extLst>
            </c:dLbl>
            <c:numFmt formatCode="0.0%" sourceLinked="0"/>
            <c:spPr>
              <a:noFill/>
              <a:ln>
                <a:noFill/>
              </a:ln>
              <a:effectLst/>
            </c:spPr>
            <c:txPr>
              <a:bodyPr rot="0" spcFirstLastPara="0" vertOverflow="ellipsis" vert="horz" wrap="square" lIns="38100" tIns="19050" rIns="38100" bIns="19050" anchor="ctr" anchorCtr="1"/>
              <a:lstStyle/>
              <a:p>
                <a:pPr>
                  <a:defRPr lang="zh-CN" sz="1000" b="0" i="0" u="none" strike="noStrike" kern="1200" baseline="0">
                    <a:solidFill>
                      <a:schemeClr val="tx1">
                        <a:lumMod val="75000"/>
                        <a:lumOff val="25000"/>
                      </a:schemeClr>
                    </a:solidFill>
                    <a:latin typeface="+mn-lt"/>
                    <a:ea typeface="+mn-ea"/>
                    <a:cs typeface="+mn-cs"/>
                  </a:defRPr>
                </a:pPr>
              </a:p>
            </c:txPr>
            <c:dLblPos val="ctr"/>
            <c:showLegendKey val="1"/>
            <c:showVal val="0"/>
            <c:showCatName val="1"/>
            <c:showSerName val="0"/>
            <c:showPercent val="1"/>
            <c:showBubbleSize val="0"/>
            <c:separator> </c:separator>
            <c:showLeaderLines val="1"/>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Sheet1!$A$2:$A$7</c:f>
              <c:strCache>
                <c:ptCount val="6"/>
                <c:pt idx="0">
                  <c:v>财政拨款收入</c:v>
                </c:pt>
                <c:pt idx="1">
                  <c:v>上级补助收入</c:v>
                </c:pt>
                <c:pt idx="2">
                  <c:v>事业收入</c:v>
                </c:pt>
                <c:pt idx="3">
                  <c:v>经营收入</c:v>
                </c:pt>
                <c:pt idx="4">
                  <c:v>附属单位上缴收入</c:v>
                </c:pt>
                <c:pt idx="5">
                  <c:v>其他收入</c:v>
                </c:pt>
              </c:strCache>
            </c:strRef>
          </c:cat>
          <c:val>
            <c:numRef>
              <c:f>Sheet1!$B$2:$B$7</c:f>
              <c:numCache>
                <c:formatCode>General</c:formatCode>
                <c:ptCount val="6"/>
                <c:pt idx="0">
                  <c:v>5446814.91</c:v>
                </c:pt>
                <c:pt idx="1">
                  <c:v>0</c:v>
                </c:pt>
                <c:pt idx="2">
                  <c:v>0</c:v>
                </c:pt>
                <c:pt idx="3">
                  <c:v>0</c:v>
                </c:pt>
                <c:pt idx="4">
                  <c:v>0</c:v>
                </c:pt>
                <c:pt idx="5">
                  <c:v>0</c:v>
                </c:pt>
              </c:numCache>
            </c:numRef>
          </c:val>
        </c:ser>
        <c:dLbls>
          <c:showLegendKey val="0"/>
          <c:showVal val="1"/>
          <c:showCatName val="0"/>
          <c:showSerName val="0"/>
          <c:showPercent val="0"/>
          <c:showBubbleSize val="0"/>
          <c:showLeaderLines val="1"/>
        </c:dLbls>
        <c:firstSliceAng val="0"/>
      </c:pieChart>
      <c:spPr>
        <a:noFill/>
        <a:ln>
          <a:noFill/>
        </a:ln>
        <a:effectLst/>
      </c:spPr>
    </c:plotArea>
    <c:legend>
      <c:legendPos val="r"/>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960" b="0" i="0" u="none" strike="noStrike" kern="1200" baseline="0">
                <a:solidFill>
                  <a:schemeClr val="tx1">
                    <a:lumMod val="75000"/>
                    <a:lumOff val="25000"/>
                  </a:schemeClr>
                </a:solidFill>
                <a:latin typeface="+mn-lt"/>
                <a:ea typeface="+mn-ea"/>
                <a:cs typeface="+mn-cs"/>
              </a:defRPr>
            </a:pPr>
            <a:r>
              <a:rPr lang="zh-CN" altLang="en-US" sz="960" b="1"/>
              <a:t>图 </a:t>
            </a:r>
            <a:r>
              <a:rPr lang="en-US" altLang="zh-CN" sz="960" b="1"/>
              <a:t>3 </a:t>
            </a:r>
            <a:r>
              <a:rPr lang="zh-CN" altLang="en-US" sz="960" b="1"/>
              <a:t>：支出决算构成情况图</a:t>
            </a:r>
            <a:endParaRPr lang="zh-CN" altLang="en-US" sz="960" b="1"/>
          </a:p>
        </c:rich>
      </c:tx>
      <c:layout/>
      <c:overlay val="0"/>
      <c:spPr>
        <a:noFill/>
        <a:ln>
          <a:noFill/>
        </a:ln>
        <a:effectLst/>
      </c:spPr>
    </c:title>
    <c:autoTitleDeleted val="0"/>
    <c:plotArea>
      <c:layout>
        <c:manualLayout>
          <c:layoutTarget val="inner"/>
          <c:xMode val="edge"/>
          <c:yMode val="edge"/>
          <c:x val="0.298441652573085"/>
          <c:y val="0.225244368890778"/>
          <c:w val="0.412297656438753"/>
          <c:h val="0.725244368890778"/>
        </c:manualLayout>
      </c:layout>
      <c:pieChart>
        <c:varyColors val="1"/>
        <c:ser>
          <c:idx val="0"/>
          <c:order val="0"/>
          <c:tx>
            <c:strRef>
              <c:f>Sheet1!$B$1</c:f>
              <c:strCache>
                <c:ptCount val="1"/>
                <c:pt idx="0">
                  <c:v>金额</c:v>
                </c:pt>
              </c:strCache>
            </c:strRef>
          </c:tx>
          <c:spPr/>
          <c:explosion val="0"/>
          <c:dPt>
            <c:idx val="0"/>
            <c:bubble3D val="0"/>
            <c:spPr>
              <a:solidFill>
                <a:schemeClr val="accent1"/>
              </a:solidFill>
              <a:ln>
                <a:solidFill>
                  <a:schemeClr val="bg1"/>
                </a:solidFill>
              </a:ln>
              <a:effectLst/>
            </c:spPr>
          </c:dPt>
          <c:dPt>
            <c:idx val="1"/>
            <c:bubble3D val="0"/>
            <c:spPr>
              <a:solidFill>
                <a:schemeClr val="accent2"/>
              </a:solidFill>
              <a:ln>
                <a:solidFill>
                  <a:schemeClr val="bg1"/>
                </a:solidFill>
              </a:ln>
              <a:effectLst/>
            </c:spPr>
          </c:dPt>
          <c:dPt>
            <c:idx val="2"/>
            <c:bubble3D val="0"/>
            <c:spPr>
              <a:solidFill>
                <a:schemeClr val="accent3"/>
              </a:solidFill>
              <a:ln>
                <a:solidFill>
                  <a:schemeClr val="bg1"/>
                </a:solidFill>
              </a:ln>
              <a:effectLst/>
            </c:spPr>
          </c:dPt>
          <c:dPt>
            <c:idx val="3"/>
            <c:bubble3D val="0"/>
            <c:spPr>
              <a:solidFill>
                <a:schemeClr val="accent4"/>
              </a:solidFill>
              <a:ln>
                <a:solidFill>
                  <a:schemeClr val="bg1"/>
                </a:solidFill>
              </a:ln>
              <a:effectLst/>
            </c:spPr>
          </c:dPt>
          <c:dPt>
            <c:idx val="4"/>
            <c:bubble3D val="0"/>
            <c:spPr>
              <a:solidFill>
                <a:schemeClr val="accent5"/>
              </a:solidFill>
              <a:ln>
                <a:solidFill>
                  <a:schemeClr val="bg1"/>
                </a:solidFill>
              </a:ln>
              <a:effectLst/>
            </c:spPr>
          </c:dPt>
          <c:dLbls>
            <c:dLbl>
              <c:idx val="0"/>
              <c:layout>
                <c:manualLayout>
                  <c:x val="-0.28690513020387"/>
                  <c:y val="0.199835316617064"/>
                </c:manualLayout>
              </c:layout>
              <c:dLblPos val="bestFit"/>
              <c:showLegendKey val="1"/>
              <c:showVal val="0"/>
              <c:showCatName val="1"/>
              <c:showSerName val="0"/>
              <c:showPercent val="1"/>
              <c:showBubbleSize val="0"/>
              <c:separator> </c:separator>
              <c:extLst>
                <c:ext xmlns:c15="http://schemas.microsoft.com/office/drawing/2012/chart" uri="{CE6537A1-D6FC-4f65-9D91-7224C49458BB}">
                  <c15:layout/>
                </c:ext>
              </c:extLst>
            </c:dLbl>
            <c:dLbl>
              <c:idx val="1"/>
              <c:layout>
                <c:manualLayout>
                  <c:x val="-0.29910614494173"/>
                  <c:y val="0.0910380365490653"/>
                </c:manualLayout>
              </c:layout>
              <c:dLblPos val="bestFit"/>
              <c:showLegendKey val="1"/>
              <c:showVal val="0"/>
              <c:showCatName val="1"/>
              <c:showSerName val="0"/>
              <c:showPercent val="1"/>
              <c:showBubbleSize val="0"/>
              <c:separator> </c:separator>
              <c:extLst>
                <c:ext xmlns:c15="http://schemas.microsoft.com/office/drawing/2012/chart" uri="{CE6537A1-D6FC-4f65-9D91-7224C49458BB}">
                  <c15:layout/>
                </c:ext>
              </c:extLst>
            </c:dLbl>
            <c:dLbl>
              <c:idx val="2"/>
              <c:layout>
                <c:manualLayout>
                  <c:x val="0.309494957582572"/>
                  <c:y val="0.189210582235423"/>
                </c:manualLayout>
              </c:layout>
              <c:dLblPos val="bestFit"/>
              <c:showLegendKey val="1"/>
              <c:showVal val="0"/>
              <c:showCatName val="1"/>
              <c:showSerName val="0"/>
              <c:showPercent val="1"/>
              <c:showBubbleSize val="0"/>
              <c:separator> </c:separator>
              <c:extLst>
                <c:ext xmlns:c15="http://schemas.microsoft.com/office/drawing/2012/chart" uri="{CE6537A1-D6FC-4f65-9D91-7224C49458BB}">
                  <c15:layout/>
                </c:ext>
              </c:extLst>
            </c:dLbl>
            <c:dLbl>
              <c:idx val="3"/>
              <c:layout>
                <c:manualLayout>
                  <c:x val="0.335225819300842"/>
                  <c:y val="0.0589513387165111"/>
                </c:manualLayout>
              </c:layout>
              <c:dLblPos val="bestFit"/>
              <c:showLegendKey val="1"/>
              <c:showVal val="0"/>
              <c:showCatName val="1"/>
              <c:showSerName val="0"/>
              <c:showPercent val="1"/>
              <c:showBubbleSize val="0"/>
              <c:separator> </c:separator>
              <c:extLst>
                <c:ext xmlns:c15="http://schemas.microsoft.com/office/drawing/2012/chart" uri="{CE6537A1-D6FC-4f65-9D91-7224C49458BB}">
                  <c15:layout/>
                </c:ext>
              </c:extLst>
            </c:dLbl>
            <c:dLbl>
              <c:idx val="4"/>
              <c:layout>
                <c:manualLayout>
                  <c:x val="0.323024782424836"/>
                  <c:y val="0.28504568635782"/>
                </c:manualLayout>
              </c:layout>
              <c:dLblPos val="bestFit"/>
              <c:showLegendKey val="1"/>
              <c:showVal val="0"/>
              <c:showCatName val="1"/>
              <c:showSerName val="0"/>
              <c:showPercent val="1"/>
              <c:showBubbleSize val="0"/>
              <c:separator> </c:separator>
              <c:extLst>
                <c:ext xmlns:c15="http://schemas.microsoft.com/office/drawing/2012/chart" uri="{CE6537A1-D6FC-4f65-9D91-7224C49458BB}">
                  <c15:layout/>
                </c:ext>
              </c:extLst>
            </c:dLbl>
            <c:numFmt formatCode="0.0%" sourceLinked="0"/>
            <c:spPr>
              <a:noFill/>
              <a:ln>
                <a:noFill/>
              </a:ln>
              <a:effectLst/>
            </c:spPr>
            <c:txPr>
              <a:bodyPr rot="0" spcFirstLastPara="0" vertOverflow="ellipsis" vert="horz" wrap="none" lIns="0" tIns="0" rIns="0" bIns="0" anchor="ctr" anchorCtr="1"/>
              <a:lstStyle/>
              <a:p>
                <a:pPr>
                  <a:defRPr lang="zh-CN" sz="800" b="0" i="0" u="none" strike="noStrike" kern="1200" baseline="0">
                    <a:solidFill>
                      <a:schemeClr val="tx1">
                        <a:lumMod val="75000"/>
                        <a:lumOff val="25000"/>
                      </a:schemeClr>
                    </a:solidFill>
                    <a:latin typeface="+mn-lt"/>
                    <a:ea typeface="+mn-ea"/>
                    <a:cs typeface="+mn-cs"/>
                  </a:defRPr>
                </a:pPr>
              </a:p>
            </c:txPr>
            <c:dLblPos val="ctr"/>
            <c:showLegendKey val="1"/>
            <c:showVal val="0"/>
            <c:showCatName val="1"/>
            <c:showSerName val="0"/>
            <c:showPercent val="1"/>
            <c:showBubbleSize val="0"/>
            <c:separator> </c:separator>
            <c:showLeaderLines val="1"/>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Sheet1!$A$2:$A$6</c:f>
              <c:strCache>
                <c:ptCount val="5"/>
                <c:pt idx="0">
                  <c:v>基本支出</c:v>
                </c:pt>
                <c:pt idx="1">
                  <c:v>项目支出</c:v>
                </c:pt>
                <c:pt idx="2">
                  <c:v>上缴上级支出</c:v>
                </c:pt>
                <c:pt idx="3">
                  <c:v>经营支出</c:v>
                </c:pt>
                <c:pt idx="4">
                  <c:v>对附属单位补助支出</c:v>
                </c:pt>
              </c:strCache>
            </c:strRef>
          </c:cat>
          <c:val>
            <c:numRef>
              <c:f>Sheet1!$B$2:$B$6</c:f>
              <c:numCache>
                <c:formatCode>General</c:formatCode>
                <c:ptCount val="5"/>
                <c:pt idx="0">
                  <c:v>4730676.91</c:v>
                </c:pt>
                <c:pt idx="1">
                  <c:v>716138</c:v>
                </c:pt>
                <c:pt idx="2">
                  <c:v>0</c:v>
                </c:pt>
                <c:pt idx="3">
                  <c:v>0</c:v>
                </c:pt>
                <c:pt idx="4">
                  <c:v>0</c:v>
                </c:pt>
              </c:numCache>
            </c:numRef>
          </c:val>
        </c:ser>
        <c:dLbls>
          <c:showLegendKey val="0"/>
          <c:showVal val="1"/>
          <c:showCatName val="0"/>
          <c:showSerName val="0"/>
          <c:showPercent val="0"/>
          <c:showBubbleSize val="0"/>
          <c:showLeaderLines val="1"/>
        </c:dLbls>
        <c:firstSliceAng val="0"/>
      </c:pieChart>
      <c:spPr>
        <a:noFill/>
        <a:ln>
          <a:noFill/>
        </a:ln>
        <a:effectLst/>
      </c:spPr>
    </c:plotArea>
    <c:legend>
      <c:legendPos val="t"/>
      <c:legendEntry>
        <c:idx val="0"/>
        <c:txPr>
          <a:bodyPr rot="0" spcFirstLastPara="0" vertOverflow="ellipsis" vert="horz" wrap="square" anchor="ctr" anchorCtr="1"/>
          <a:lstStyle/>
          <a:p>
            <a:pPr>
              <a:defRPr lang="zh-CN" sz="800" b="0" i="0" u="none" strike="noStrike" kern="1200" baseline="0">
                <a:solidFill>
                  <a:schemeClr val="tx1">
                    <a:lumMod val="65000"/>
                    <a:lumOff val="35000"/>
                  </a:schemeClr>
                </a:solidFill>
                <a:latin typeface="+mn-lt"/>
                <a:ea typeface="+mn-ea"/>
                <a:cs typeface="+mn-cs"/>
              </a:defRPr>
            </a:pPr>
          </a:p>
        </c:txPr>
      </c:legendEntry>
      <c:legendEntry>
        <c:idx val="1"/>
        <c:txPr>
          <a:bodyPr rot="0" spcFirstLastPara="0" vertOverflow="ellipsis" vert="horz" wrap="square" anchor="ctr" anchorCtr="1"/>
          <a:lstStyle/>
          <a:p>
            <a:pPr>
              <a:defRPr lang="zh-CN" sz="800" b="0" i="0" u="none" strike="noStrike" kern="1200" baseline="0">
                <a:solidFill>
                  <a:schemeClr val="tx1">
                    <a:lumMod val="65000"/>
                    <a:lumOff val="35000"/>
                  </a:schemeClr>
                </a:solidFill>
                <a:latin typeface="+mn-lt"/>
                <a:ea typeface="+mn-ea"/>
                <a:cs typeface="+mn-cs"/>
              </a:defRPr>
            </a:pPr>
          </a:p>
        </c:txPr>
      </c:legendEntry>
      <c:legendEntry>
        <c:idx val="2"/>
        <c:txPr>
          <a:bodyPr rot="0" spcFirstLastPara="0" vertOverflow="ellipsis" vert="horz" wrap="square" anchor="ctr" anchorCtr="1"/>
          <a:lstStyle/>
          <a:p>
            <a:pPr>
              <a:defRPr lang="zh-CN" sz="800" b="0" i="0" u="none" strike="noStrike" kern="1200" baseline="0">
                <a:solidFill>
                  <a:schemeClr val="tx1">
                    <a:lumMod val="65000"/>
                    <a:lumOff val="35000"/>
                  </a:schemeClr>
                </a:solidFill>
                <a:latin typeface="+mn-lt"/>
                <a:ea typeface="+mn-ea"/>
                <a:cs typeface="+mn-cs"/>
              </a:defRPr>
            </a:pPr>
          </a:p>
        </c:txPr>
      </c:legendEntry>
      <c:legendEntry>
        <c:idx val="3"/>
        <c:txPr>
          <a:bodyPr rot="0" spcFirstLastPara="0" vertOverflow="ellipsis" vert="horz" wrap="square" anchor="ctr" anchorCtr="1"/>
          <a:lstStyle/>
          <a:p>
            <a:pPr>
              <a:defRPr lang="zh-CN" sz="800" b="0" i="0" u="none" strike="noStrike" kern="1200" baseline="0">
                <a:solidFill>
                  <a:schemeClr val="tx1">
                    <a:lumMod val="65000"/>
                    <a:lumOff val="35000"/>
                  </a:schemeClr>
                </a:solidFill>
                <a:latin typeface="+mn-lt"/>
                <a:ea typeface="+mn-ea"/>
                <a:cs typeface="+mn-cs"/>
              </a:defRPr>
            </a:pPr>
          </a:p>
        </c:txPr>
      </c:legendEntry>
      <c:legendEntry>
        <c:idx val="4"/>
        <c:txPr>
          <a:bodyPr rot="0" spcFirstLastPara="0" vertOverflow="ellipsis" vert="horz" wrap="square" anchor="ctr" anchorCtr="1"/>
          <a:lstStyle/>
          <a:p>
            <a:pPr>
              <a:defRPr lang="zh-CN" sz="800" b="0" i="0" u="none" strike="noStrike" kern="1200" baseline="0">
                <a:solidFill>
                  <a:schemeClr val="tx1">
                    <a:lumMod val="65000"/>
                    <a:lumOff val="35000"/>
                  </a:schemeClr>
                </a:solidFill>
                <a:latin typeface="+mn-lt"/>
                <a:ea typeface="+mn-ea"/>
                <a:cs typeface="+mn-cs"/>
              </a:defRPr>
            </a:pPr>
          </a:p>
        </c:txPr>
      </c:legendEntry>
      <c:layout/>
      <c:overlay val="0"/>
      <c:spPr>
        <a:noFill/>
        <a:ln>
          <a:noFill/>
        </a:ln>
        <a:effectLst/>
      </c:spPr>
      <c:txPr>
        <a:bodyPr rot="0" spcFirstLastPara="0" vertOverflow="ellipsis" vert="horz" wrap="square" anchor="ctr" anchorCtr="1"/>
        <a:lstStyle/>
        <a:p>
          <a:pPr>
            <a:defRPr lang="zh-CN" sz="8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lang="zh-CN" sz="800"/>
      </a:pPr>
    </a:p>
  </c:txPr>
  <c:externalData r:id="rId1">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1" i="0" u="none" strike="noStrike" kern="1200" baseline="0">
                <a:solidFill>
                  <a:schemeClr val="tx1">
                    <a:lumMod val="75000"/>
                    <a:lumOff val="25000"/>
                  </a:schemeClr>
                </a:solidFill>
                <a:latin typeface="+mn-lt"/>
                <a:ea typeface="+mn-ea"/>
                <a:cs typeface="+mn-cs"/>
              </a:defRPr>
            </a:pPr>
            <a:r>
              <a:rPr lang="zh-CN" altLang="en-US"/>
              <a:t>图 </a:t>
            </a:r>
            <a:r>
              <a:rPr lang="en-US" altLang="zh-CN"/>
              <a:t>4 </a:t>
            </a:r>
            <a:r>
              <a:rPr lang="zh-CN" altLang="en-US"/>
              <a:t>：</a:t>
            </a:r>
            <a:r>
              <a:rPr lang="en-US" altLang="zh-CN"/>
              <a:t>2024-2025</a:t>
            </a:r>
            <a:r>
              <a:rPr lang="zh-CN" altLang="en-US"/>
              <a:t>年财政拨款收支对比图（万元）</a:t>
            </a:r>
            <a:endParaRPr lang="zh-CN" altLang="en-US"/>
          </a:p>
        </c:rich>
      </c:tx>
      <c:layout>
        <c:manualLayout>
          <c:xMode val="edge"/>
          <c:yMode val="edge"/>
          <c:x val="0.133244745107514"/>
          <c:y val="0.0254993625159371"/>
        </c:manualLayout>
      </c:layout>
      <c:overlay val="0"/>
      <c:spPr>
        <a:noFill/>
        <a:ln>
          <a:noFill/>
        </a:ln>
        <a:effectLst/>
      </c:spPr>
    </c:title>
    <c:autoTitleDeleted val="0"/>
    <c:plotArea>
      <c:layout/>
      <c:barChart>
        <c:barDir val="col"/>
        <c:grouping val="clustered"/>
        <c:varyColors val="0"/>
        <c:ser>
          <c:idx val="0"/>
          <c:order val="0"/>
          <c:tx>
            <c:strRef>
              <c:f>Sheet1!$B$1</c:f>
              <c:strCache>
                <c:ptCount val="1"/>
                <c:pt idx="0">
                  <c:v>2024年</c:v>
                </c:pt>
              </c:strCache>
            </c:strRef>
          </c:tx>
          <c:spPr>
            <a:solidFill>
              <a:schemeClr val="accent1"/>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1000" b="0" i="0" u="none" strike="noStrike" kern="1200" baseline="0">
                    <a:solidFill>
                      <a:schemeClr val="tx1">
                        <a:lumMod val="75000"/>
                        <a:lumOff val="25000"/>
                      </a:schemeClr>
                    </a:solidFill>
                    <a:latin typeface="+mn-lt"/>
                    <a:ea typeface="+mn-ea"/>
                    <a:cs typeface="+mn-cs"/>
                  </a:defRPr>
                </a:pPr>
              </a:p>
            </c:txPr>
            <c:dLblPos val="ctr"/>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Sheet1!$A$2:$A$9</c:f>
              <c:strCache>
                <c:ptCount val="8"/>
                <c:pt idx="0">
                  <c:v>财政拨款收入</c:v>
                </c:pt>
                <c:pt idx="1">
                  <c:v>财政拨款支出</c:v>
                </c:pt>
                <c:pt idx="2">
                  <c:v>一般公共预算财政拨款收入</c:v>
                </c:pt>
                <c:pt idx="3">
                  <c:v>一般公共预算财政拨款支出</c:v>
                </c:pt>
                <c:pt idx="4">
                  <c:v>政府性基金财政拨款收入</c:v>
                </c:pt>
                <c:pt idx="5">
                  <c:v>政府性基金财政拨款支出</c:v>
                </c:pt>
                <c:pt idx="6">
                  <c:v>国有资本经营预算财政拨款收入</c:v>
                </c:pt>
                <c:pt idx="7">
                  <c:v>国有资本经营预算财政拨款支出</c:v>
                </c:pt>
              </c:strCache>
            </c:strRef>
          </c:cat>
          <c:val>
            <c:numRef>
              <c:f>Sheet1!$B$2:$B$9</c:f>
              <c:numCache>
                <c:formatCode>General</c:formatCode>
                <c:ptCount val="8"/>
                <c:pt idx="0">
                  <c:v>438.52</c:v>
                </c:pt>
                <c:pt idx="1">
                  <c:v>440.07</c:v>
                </c:pt>
                <c:pt idx="2">
                  <c:v>438.52</c:v>
                </c:pt>
                <c:pt idx="3">
                  <c:v>440.07</c:v>
                </c:pt>
                <c:pt idx="4">
                  <c:v>0</c:v>
                </c:pt>
                <c:pt idx="5">
                  <c:v>0</c:v>
                </c:pt>
                <c:pt idx="6">
                  <c:v>0</c:v>
                </c:pt>
                <c:pt idx="7">
                  <c:v>0</c:v>
                </c:pt>
              </c:numCache>
            </c:numRef>
          </c:val>
        </c:ser>
        <c:ser>
          <c:idx val="1"/>
          <c:order val="1"/>
          <c:tx>
            <c:strRef>
              <c:f>Sheet1!$C$1</c:f>
              <c:strCache>
                <c:ptCount val="1"/>
                <c:pt idx="0">
                  <c:v>2025年</c:v>
                </c:pt>
              </c:strCache>
            </c:strRef>
          </c:tx>
          <c:spPr>
            <a:solidFill>
              <a:schemeClr val="accent2"/>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10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Sheet1!$A$2:$A$9</c:f>
              <c:strCache>
                <c:ptCount val="8"/>
                <c:pt idx="0">
                  <c:v>财政拨款收入</c:v>
                </c:pt>
                <c:pt idx="1">
                  <c:v>财政拨款支出</c:v>
                </c:pt>
                <c:pt idx="2">
                  <c:v>一般公共预算财政拨款收入</c:v>
                </c:pt>
                <c:pt idx="3">
                  <c:v>一般公共预算财政拨款支出</c:v>
                </c:pt>
                <c:pt idx="4">
                  <c:v>政府性基金财政拨款收入</c:v>
                </c:pt>
                <c:pt idx="5">
                  <c:v>政府性基金财政拨款支出</c:v>
                </c:pt>
                <c:pt idx="6">
                  <c:v>国有资本经营预算财政拨款收入</c:v>
                </c:pt>
                <c:pt idx="7">
                  <c:v>国有资本经营预算财政拨款支出</c:v>
                </c:pt>
              </c:strCache>
            </c:strRef>
          </c:cat>
          <c:val>
            <c:numRef>
              <c:f>Sheet1!$C$2:$C$9</c:f>
              <c:numCache>
                <c:formatCode>General</c:formatCode>
                <c:ptCount val="8"/>
                <c:pt idx="0">
                  <c:v>544.68</c:v>
                </c:pt>
                <c:pt idx="1">
                  <c:v>544.68</c:v>
                </c:pt>
                <c:pt idx="2">
                  <c:v>544.68</c:v>
                </c:pt>
                <c:pt idx="3">
                  <c:v>544.68</c:v>
                </c:pt>
                <c:pt idx="4">
                  <c:v>0</c:v>
                </c:pt>
                <c:pt idx="5">
                  <c:v>0</c:v>
                </c:pt>
                <c:pt idx="6">
                  <c:v>0</c:v>
                </c:pt>
                <c:pt idx="7">
                  <c:v>0</c:v>
                </c:pt>
              </c:numCache>
            </c:numRef>
          </c:val>
        </c:ser>
        <c:dLbls>
          <c:showLegendKey val="0"/>
          <c:showVal val="1"/>
          <c:showCatName val="0"/>
          <c:showSerName val="0"/>
          <c:showPercent val="0"/>
          <c:showBubbleSize val="0"/>
        </c:dLbls>
        <c:gapWidth val="246"/>
        <c:overlap val="-28"/>
        <c:axId val="40225855"/>
        <c:axId val="660958640"/>
      </c:barChart>
      <c:catAx>
        <c:axId val="40225855"/>
        <c:scaling>
          <c:orientation val="minMax"/>
        </c:scaling>
        <c:delete val="0"/>
        <c:axPos val="b"/>
        <c:numFmt formatCode="General" sourceLinked="0"/>
        <c:majorTickMark val="out"/>
        <c:minorTickMark val="none"/>
        <c:tickLblPos val="nextTo"/>
        <c:spPr>
          <a:noFill/>
          <a:ln w="9525" cap="flat" cmpd="sng" algn="ctr">
            <a:solidFill>
              <a:schemeClr val="tx1">
                <a:lumMod val="15000"/>
                <a:lumOff val="85000"/>
              </a:schemeClr>
            </a:solidFill>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660958640"/>
        <c:crosses val="autoZero"/>
        <c:auto val="1"/>
        <c:lblAlgn val="ctr"/>
        <c:lblOffset val="100"/>
        <c:noMultiLvlLbl val="0"/>
      </c:catAx>
      <c:valAx>
        <c:axId val="660958640"/>
        <c:scaling>
          <c:orientation val="minMax"/>
        </c:scaling>
        <c:delete val="0"/>
        <c:axPos val="l"/>
        <c:majorGridlines>
          <c:spPr>
            <a:ln w="9525" cap="flat" cmpd="sng" algn="ctr">
              <a:solidFill>
                <a:schemeClr val="lt1">
                  <a:lumMod val="90200"/>
                </a:schemeClr>
              </a:solidFill>
              <a:round/>
            </a:ln>
            <a:effectLst/>
          </c:spPr>
        </c:majorGridlines>
        <c:numFmt formatCode="General" sourceLinked="1"/>
        <c:majorTickMark val="out"/>
        <c:minorTickMark val="none"/>
        <c:tickLblPos val="nextTo"/>
        <c:spPr>
          <a:noFill/>
          <a:ln>
            <a:noFill/>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40225855"/>
        <c:crosses val="autoZero"/>
        <c:crossBetween val="between"/>
      </c:valAx>
      <c:spPr>
        <a:noFill/>
        <a:ln>
          <a:noFill/>
        </a:ln>
        <a:effectLst/>
      </c:spPr>
    </c:plotArea>
    <c:legend>
      <c:legendPos val="b"/>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5.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960" b="1" i="0" u="none" strike="noStrike" kern="1200" baseline="0">
                <a:solidFill>
                  <a:schemeClr val="tx1">
                    <a:lumMod val="75000"/>
                    <a:lumOff val="25000"/>
                  </a:schemeClr>
                </a:solidFill>
                <a:latin typeface="+mn-lt"/>
                <a:ea typeface="+mn-ea"/>
                <a:cs typeface="+mn-cs"/>
              </a:defRPr>
            </a:pPr>
            <a:r>
              <a:rPr lang="zh-CN" altLang="en-US" sz="960"/>
              <a:t>图 </a:t>
            </a:r>
            <a:r>
              <a:rPr lang="en-US" altLang="zh-CN" sz="960"/>
              <a:t>5 :</a:t>
            </a:r>
            <a:r>
              <a:rPr lang="zh-CN" altLang="en-US" sz="960"/>
              <a:t>财政拨款收支预算对比图（万元）</a:t>
            </a:r>
            <a:endParaRPr lang="zh-CN" altLang="en-US" sz="960"/>
          </a:p>
        </c:rich>
      </c:tx>
      <c:layout/>
      <c:overlay val="0"/>
      <c:spPr>
        <a:noFill/>
        <a:ln>
          <a:noFill/>
        </a:ln>
        <a:effectLst/>
      </c:spPr>
    </c:title>
    <c:autoTitleDeleted val="0"/>
    <c:plotArea>
      <c:layout>
        <c:manualLayout>
          <c:layoutTarget val="inner"/>
          <c:xMode val="edge"/>
          <c:yMode val="edge"/>
          <c:x val="0.17641942498188"/>
          <c:y val="0.160433489162771"/>
          <c:w val="0.795796086011114"/>
          <c:h val="0.474330641733957"/>
        </c:manualLayout>
      </c:layout>
      <c:barChart>
        <c:barDir val="col"/>
        <c:grouping val="clustered"/>
        <c:varyColors val="0"/>
        <c:ser>
          <c:idx val="0"/>
          <c:order val="0"/>
          <c:tx>
            <c:strRef>
              <c:f>Sheet1!$B$1</c:f>
              <c:strCache>
                <c:ptCount val="1"/>
                <c:pt idx="0">
                  <c:v>年初预算数</c:v>
                </c:pt>
              </c:strCache>
            </c:strRef>
          </c:tx>
          <c:spPr>
            <a:solidFill>
              <a:schemeClr val="accent1"/>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800" b="0" i="0" u="none" strike="noStrike" kern="1200" baseline="0">
                    <a:solidFill>
                      <a:schemeClr val="tx1">
                        <a:lumMod val="75000"/>
                        <a:lumOff val="25000"/>
                      </a:schemeClr>
                    </a:solidFill>
                    <a:latin typeface="+mn-lt"/>
                    <a:ea typeface="+mn-ea"/>
                    <a:cs typeface="+mn-cs"/>
                  </a:defRPr>
                </a:pPr>
              </a:p>
            </c:txPr>
            <c:dLblPos val="ctr"/>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Sheet1!$A$2:$A$9</c:f>
              <c:strCache>
                <c:ptCount val="8"/>
                <c:pt idx="0">
                  <c:v>财政拨款收入</c:v>
                </c:pt>
                <c:pt idx="1">
                  <c:v>财政拨款支出</c:v>
                </c:pt>
                <c:pt idx="2">
                  <c:v>一般公共预算财政拨款收入</c:v>
                </c:pt>
                <c:pt idx="3">
                  <c:v>一般公共预算财政拨款支出</c:v>
                </c:pt>
                <c:pt idx="4">
                  <c:v>政府性基金财政拨款收入</c:v>
                </c:pt>
                <c:pt idx="5">
                  <c:v>政府性基金财政拨款支出</c:v>
                </c:pt>
                <c:pt idx="6">
                  <c:v>国有资本经营预算财政拨款收入</c:v>
                </c:pt>
                <c:pt idx="7">
                  <c:v>国有资本经营预算财政拨款支出</c:v>
                </c:pt>
              </c:strCache>
            </c:strRef>
          </c:cat>
          <c:val>
            <c:numRef>
              <c:f>Sheet1!$B$2:$B$9</c:f>
              <c:numCache>
                <c:formatCode>General</c:formatCode>
                <c:ptCount val="8"/>
                <c:pt idx="0">
                  <c:v>587.3</c:v>
                </c:pt>
                <c:pt idx="1">
                  <c:v>587.3</c:v>
                </c:pt>
                <c:pt idx="2">
                  <c:v>587.3</c:v>
                </c:pt>
                <c:pt idx="3">
                  <c:v>587.3</c:v>
                </c:pt>
                <c:pt idx="4">
                  <c:v>0</c:v>
                </c:pt>
                <c:pt idx="5">
                  <c:v>0</c:v>
                </c:pt>
                <c:pt idx="6">
                  <c:v>0</c:v>
                </c:pt>
                <c:pt idx="7">
                  <c:v>0</c:v>
                </c:pt>
              </c:numCache>
            </c:numRef>
          </c:val>
        </c:ser>
        <c:ser>
          <c:idx val="1"/>
          <c:order val="1"/>
          <c:tx>
            <c:strRef>
              <c:f>Sheet1!$C$1</c:f>
              <c:strCache>
                <c:ptCount val="1"/>
                <c:pt idx="0">
                  <c:v>决算数</c:v>
                </c:pt>
              </c:strCache>
            </c:strRef>
          </c:tx>
          <c:spPr>
            <a:solidFill>
              <a:schemeClr val="accent2"/>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65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Sheet1!$A$2:$A$9</c:f>
              <c:strCache>
                <c:ptCount val="8"/>
                <c:pt idx="0">
                  <c:v>财政拨款收入</c:v>
                </c:pt>
                <c:pt idx="1">
                  <c:v>财政拨款支出</c:v>
                </c:pt>
                <c:pt idx="2">
                  <c:v>一般公共预算财政拨款收入</c:v>
                </c:pt>
                <c:pt idx="3">
                  <c:v>一般公共预算财政拨款支出</c:v>
                </c:pt>
                <c:pt idx="4">
                  <c:v>政府性基金财政拨款收入</c:v>
                </c:pt>
                <c:pt idx="5">
                  <c:v>政府性基金财政拨款支出</c:v>
                </c:pt>
                <c:pt idx="6">
                  <c:v>国有资本经营预算财政拨款收入</c:v>
                </c:pt>
                <c:pt idx="7">
                  <c:v>国有资本经营预算财政拨款支出</c:v>
                </c:pt>
              </c:strCache>
            </c:strRef>
          </c:cat>
          <c:val>
            <c:numRef>
              <c:f>Sheet1!$C$2:$C$9</c:f>
              <c:numCache>
                <c:formatCode>General</c:formatCode>
                <c:ptCount val="8"/>
                <c:pt idx="0">
                  <c:v>544.68</c:v>
                </c:pt>
                <c:pt idx="1">
                  <c:v>544.68</c:v>
                </c:pt>
                <c:pt idx="2">
                  <c:v>544.68</c:v>
                </c:pt>
                <c:pt idx="3">
                  <c:v>544.68</c:v>
                </c:pt>
                <c:pt idx="4">
                  <c:v>0</c:v>
                </c:pt>
                <c:pt idx="5">
                  <c:v>0</c:v>
                </c:pt>
                <c:pt idx="6">
                  <c:v>0</c:v>
                </c:pt>
                <c:pt idx="7">
                  <c:v>0</c:v>
                </c:pt>
              </c:numCache>
            </c:numRef>
          </c:val>
        </c:ser>
        <c:dLbls>
          <c:showLegendKey val="0"/>
          <c:showVal val="1"/>
          <c:showCatName val="0"/>
          <c:showSerName val="0"/>
          <c:showPercent val="0"/>
          <c:showBubbleSize val="0"/>
        </c:dLbls>
        <c:gapWidth val="150"/>
        <c:axId val="136214206"/>
        <c:axId val="897256872"/>
      </c:barChart>
      <c:catAx>
        <c:axId val="136214206"/>
        <c:scaling>
          <c:orientation val="minMax"/>
        </c:scaling>
        <c:delete val="0"/>
        <c:axPos val="b"/>
        <c:numFmt formatCode="General" sourceLinked="0"/>
        <c:majorTickMark val="none"/>
        <c:minorTickMark val="none"/>
        <c:tickLblPos val="nextTo"/>
        <c:spPr>
          <a:noFill/>
          <a:ln w="9525" cap="flat" cmpd="sng" algn="ctr">
            <a:solidFill>
              <a:schemeClr val="tx1">
                <a:lumMod val="15000"/>
                <a:lumOff val="85000"/>
              </a:schemeClr>
            </a:solidFill>
            <a:round/>
          </a:ln>
          <a:effectLst/>
        </c:spPr>
        <c:txPr>
          <a:bodyPr rot="-60000000" spcFirstLastPara="0" vertOverflow="ellipsis" vert="horz" wrap="square" anchor="ctr" anchorCtr="1"/>
          <a:lstStyle/>
          <a:p>
            <a:pPr>
              <a:defRPr lang="zh-CN" sz="800" b="0" i="0" u="none" strike="noStrike" kern="1200" baseline="0">
                <a:solidFill>
                  <a:schemeClr val="tx1">
                    <a:lumMod val="65000"/>
                    <a:lumOff val="35000"/>
                  </a:schemeClr>
                </a:solidFill>
                <a:latin typeface="+mn-lt"/>
                <a:ea typeface="+mn-ea"/>
                <a:cs typeface="+mn-cs"/>
              </a:defRPr>
            </a:pPr>
          </a:p>
        </c:txPr>
        <c:crossAx val="897256872"/>
        <c:crosses val="autoZero"/>
        <c:auto val="1"/>
        <c:lblAlgn val="ctr"/>
        <c:lblOffset val="100"/>
        <c:noMultiLvlLbl val="0"/>
      </c:catAx>
      <c:valAx>
        <c:axId val="897256872"/>
        <c:scaling>
          <c:orientation val="minMax"/>
        </c:scaling>
        <c:delete val="0"/>
        <c:axPos val="l"/>
        <c:majorGridlines>
          <c:spPr>
            <a:ln w="9525" cap="flat" cmpd="sng" algn="ctr">
              <a:solidFill>
                <a:schemeClr val="lt1">
                  <a:lumMod val="90200"/>
                </a:schemeClr>
              </a:solidFill>
              <a:round/>
            </a:ln>
            <a:effectLst/>
          </c:spPr>
        </c:majorGridlines>
        <c:numFmt formatCode="General" sourceLinked="1"/>
        <c:majorTickMark val="none"/>
        <c:minorTickMark val="none"/>
        <c:tickLblPos val="nextTo"/>
        <c:spPr>
          <a:noFill/>
          <a:ln>
            <a:noFill/>
          </a:ln>
          <a:effectLst/>
        </c:spPr>
        <c:txPr>
          <a:bodyPr rot="-60000000" spcFirstLastPara="0" vertOverflow="ellipsis" vert="horz" wrap="square" anchor="ctr" anchorCtr="1"/>
          <a:lstStyle/>
          <a:p>
            <a:pPr>
              <a:defRPr lang="zh-CN" sz="800" b="0" i="0" u="none" strike="noStrike" kern="1200" baseline="0">
                <a:solidFill>
                  <a:schemeClr val="tx1">
                    <a:lumMod val="65000"/>
                    <a:lumOff val="35000"/>
                  </a:schemeClr>
                </a:solidFill>
                <a:latin typeface="+mn-lt"/>
                <a:ea typeface="+mn-ea"/>
                <a:cs typeface="+mn-cs"/>
              </a:defRPr>
            </a:pPr>
          </a:p>
        </c:txPr>
        <c:crossAx val="136214206"/>
        <c:crosses val="autoZero"/>
        <c:crossBetween val="between"/>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lang="zh-CN" sz="800"/>
      </a:pPr>
    </a:p>
  </c:txPr>
  <c:externalData r:id="rId1">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3.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4.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5.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100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10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1000" kern="1200"/>
    <cs:bodyPr rot="0" spcFirstLastPara="1" vertOverflow="clip" horzOverflow="clip" vert="horz" wrap="square" lIns="36576" tIns="18288" rIns="36576" bIns="18288" anchor="ctr" anchorCtr="1">
      <a:spAutoFit/>
    </cs:bodyPr>
  </cs:dataLabelCallout>
  <cs:dataPoint>
    <cs:lnRef idx="0">
      <cs:styleClr val="auto"/>
    </cs:lnRef>
    <cs:fillRef idx="1">
      <cs:styleClr val="auto"/>
    </cs:fillRef>
    <cs:effectRef idx="0"/>
    <cs:fontRef idx="minor">
      <a:schemeClr val="dk1"/>
    </cs:fontRef>
    <cs:spPr>
      <a:ln>
        <a:noFill/>
      </a:ln>
      <a:effectLst/>
    </cs:spPr>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lt1">
            <a:lumMod val="902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75000"/>
        <a:lumOff val="25000"/>
      </a:schemeClr>
    </cs:fontRef>
    <cs:defRPr sz="1400" b="1" kern="120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xml><?xml version="1.0" encoding="utf-8"?>
<cs:chartStyle xmlns:cs="http://schemas.microsoft.com/office/drawing/2012/chartStyle" xmlns:a="http://schemas.openxmlformats.org/drawingml/2006/main" id="10082">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10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1000" kern="1200"/>
    <cs:bodyPr rot="0" spcFirstLastPara="1" vertOverflow="clip" horzOverflow="clip" vert="horz" wrap="square" lIns="36576" tIns="18288" rIns="36576" bIns="18288" anchor="ctr" anchorCtr="1">
      <a:spAutoFit/>
    </cs:bodyPr>
  </cs:dataLabelCallout>
  <cs:dataPoint>
    <cs:lnRef idx="0">
      <cs:styleClr val="auto"/>
    </cs:lnRef>
    <cs:fillRef idx="1">
      <cs:styleClr val="auto"/>
    </cs:fillRef>
    <cs:effectRef idx="0"/>
    <cs:fontRef idx="minor">
      <a:schemeClr val="dk1"/>
    </cs:fontRef>
    <cs:spPr>
      <a:ln>
        <a:solidFill>
          <a:schemeClr val="bg1"/>
        </a:solidFill>
      </a:ln>
      <a:effectLst/>
    </cs:spPr>
  </cs:dataPoint>
  <cs:dataPoint3D>
    <cs:lnRef idx="0"/>
    <cs:fillRef idx="1">
      <cs:styleClr val="auto"/>
    </cs:fillRef>
    <cs:effectRef idx="0"/>
    <cs:fontRef idx="minor">
      <a:schemeClr val="tx1"/>
    </cs:fontRef>
    <cs:spPr>
      <a:ln w="2540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lt1">
            <a:lumMod val="902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75000"/>
        <a:lumOff val="25000"/>
      </a:schemeClr>
    </cs:fontRef>
    <cs:defRPr sz="1400" b="1" kern="120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3.xml><?xml version="1.0" encoding="utf-8"?>
<cs:chartStyle xmlns:cs="http://schemas.microsoft.com/office/drawing/2012/chartStyle" xmlns:a="http://schemas.openxmlformats.org/drawingml/2006/main" id="100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10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1000" kern="1200"/>
    <cs:bodyPr rot="0" spcFirstLastPara="1" vertOverflow="clip" horzOverflow="clip" vert="horz" wrap="square" lIns="36576" tIns="18288" rIns="36576" bIns="18288" anchor="ctr" anchorCtr="1">
      <a:spAutoFit/>
    </cs:bodyPr>
  </cs:dataLabelCallout>
  <cs:dataPoint>
    <cs:lnRef idx="0">
      <cs:styleClr val="auto"/>
    </cs:lnRef>
    <cs:fillRef idx="1">
      <cs:styleClr val="auto"/>
    </cs:fillRef>
    <cs:effectRef idx="0"/>
    <cs:fontRef idx="minor">
      <a:schemeClr val="dk1"/>
    </cs:fontRef>
    <cs:spPr>
      <a:ln>
        <a:noFill/>
      </a:ln>
      <a:effectLst/>
    </cs:spPr>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lt1">
            <a:lumMod val="902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75000"/>
        <a:lumOff val="25000"/>
      </a:schemeClr>
    </cs:fontRef>
    <cs:defRPr sz="1400" b="1" kern="120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4.xml><?xml version="1.0" encoding="utf-8"?>
<cs:chartStyle xmlns:cs="http://schemas.microsoft.com/office/drawing/2012/chartStyle" xmlns:a="http://schemas.openxmlformats.org/drawingml/2006/main" id="100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10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1000" kern="1200"/>
    <cs:bodyPr rot="0" spcFirstLastPara="1" vertOverflow="clip" horzOverflow="clip" vert="horz" wrap="square" lIns="36576" tIns="18288" rIns="36576" bIns="18288" anchor="ctr" anchorCtr="1">
      <a:spAutoFit/>
    </cs:bodyPr>
  </cs:dataLabelCallout>
  <cs:dataPoint>
    <cs:lnRef idx="0">
      <cs:styleClr val="auto"/>
    </cs:lnRef>
    <cs:fillRef idx="1">
      <cs:styleClr val="auto"/>
    </cs:fillRef>
    <cs:effectRef idx="0"/>
    <cs:fontRef idx="minor">
      <a:schemeClr val="dk1"/>
    </cs:fontRef>
    <cs:spPr>
      <a:ln>
        <a:noFill/>
      </a:ln>
      <a:effectLst/>
    </cs:spPr>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lt1">
            <a:lumMod val="902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75000"/>
        <a:lumOff val="25000"/>
      </a:schemeClr>
    </cs:fontRef>
    <cs:defRPr sz="1400" b="1" kern="120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5.xml><?xml version="1.0" encoding="utf-8"?>
<cs:chartStyle xmlns:cs="http://schemas.microsoft.com/office/drawing/2012/chartStyle" xmlns:a="http://schemas.openxmlformats.org/drawingml/2006/main" id="10082">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10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1000" kern="1200"/>
    <cs:bodyPr rot="0" spcFirstLastPara="1" vertOverflow="clip" horzOverflow="clip" vert="horz" wrap="square" lIns="36576" tIns="18288" rIns="36576" bIns="18288" anchor="ctr" anchorCtr="1">
      <a:spAutoFit/>
    </cs:bodyPr>
  </cs:dataLabelCallout>
  <cs:dataPoint>
    <cs:lnRef idx="0">
      <cs:styleClr val="auto"/>
    </cs:lnRef>
    <cs:fillRef idx="1">
      <cs:styleClr val="auto"/>
    </cs:fillRef>
    <cs:effectRef idx="0"/>
    <cs:fontRef idx="minor">
      <a:schemeClr val="dk1"/>
    </cs:fontRef>
    <cs:spPr>
      <a:ln>
        <a:solidFill>
          <a:schemeClr val="bg1"/>
        </a:solidFill>
      </a:ln>
      <a:effectLst/>
    </cs:spPr>
  </cs:dataPoint>
  <cs:dataPoint3D>
    <cs:lnRef idx="0"/>
    <cs:fillRef idx="1">
      <cs:styleClr val="auto"/>
    </cs:fillRef>
    <cs:effectRef idx="0"/>
    <cs:fontRef idx="minor">
      <a:schemeClr val="tx1"/>
    </cs:fontRef>
    <cs:spPr>
      <a:ln w="2540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lt1">
            <a:lumMod val="902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75000"/>
        <a:lumOff val="25000"/>
      </a:schemeClr>
    </cs:fontRef>
    <cs:defRPr sz="1400" b="1" kern="120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ops>
  <customShpExts>
    <customShpInfo spid="_x0000_s1026"/>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神州网信技术有限公司</Company>
  <Pages>29</Pages>
  <Words>1660</Words>
  <Characters>6225</Characters>
  <Lines>86</Lines>
  <Paragraphs>24</Paragraphs>
  <TotalTime>2</TotalTime>
  <ScaleCrop>false</ScaleCrop>
  <LinksUpToDate>false</LinksUpToDate>
  <CharactersWithSpaces>6550</CharactersWithSpaces>
  <Application>WPS Office_11.8.2.8875_F1E327BC-269C-435d-A152-05C5408002CA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2023-08-04T07:55:00Z</dcterms:created>
  <dc:creator>王明新TIAD</dc:creator>
  <cp:lastModifiedBy>hp</cp:lastModifiedBy>
  <cp:lastPrinted>2023-08-04T01:00:00Z</cp:lastPrinted>
  <dcterms:modified xsi:type="dcterms:W3CDTF">2026-09-20T02:31:02Z</dcterms:modified>
  <cp:revision>15</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2052-11.8.2.8875</vt:lpwstr>
  </property>
  <property fmtid="{D5CDD505-2E9C-101B-9397-08002B2CF9AE}" pid="3" name="ICV">
    <vt:lpwstr>5C1B136609854E18BDF3455763276D05_13</vt:lpwstr>
  </property>
  <property fmtid="{D5CDD505-2E9C-101B-9397-08002B2CF9AE}" pid="4" name="KSOTemplateUUID">
    <vt:lpwstr>v1.0_mb_S7ajbG3IpAnL1wSthNCxfw==</vt:lpwstr>
  </property>
  <property fmtid="{D5CDD505-2E9C-101B-9397-08002B2CF9AE}" pid="5" name="KSOTemplateDocerSaveRecord">
    <vt:lpwstr>eyJoZGlkIjoiMGUwMDdiZjE4MTAzNDUzMDk3OTAyNWU5OGVmNGE2MmMiLCJ1c2VySWQiOiIxNTIwMzY1OTkzIn0=</vt:lpwstr>
  </property>
</Properties>
</file>